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Polestar Automotive Holding UK Limited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001-40265)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211455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March 25, 2022 (March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GORES GUGGENHEIM,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001-40265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85-4385646</w:t>
      </w:r>
    </w:p>
    <w:p>
      <w:pPr>
        <w:spacing w:after="0" w:line="31" w:lineRule="exact"/>
        <w:rPr>
          <w:sz w:val="24"/>
          <w:szCs w:val="24"/>
          <w:color w:val="auto"/>
        </w:rPr>
      </w:pPr>
    </w:p>
    <w:p>
      <w:pPr>
        <w:sectPr>
          <w:pgSz w:w="11900" w:h="16838" w:orient="portrait"/>
          <w:cols w:equalWidth="0" w:num="3">
            <w:col w:w="4500" w:space="720"/>
            <w:col w:w="2880" w:space="720"/>
            <w:col w:w="2200"/>
          </w:cols>
          <w:pgMar w:left="440" w:top="229"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0" w:space="720"/>
            <w:col w:w="2760" w:space="720"/>
            <w:col w:w="2340"/>
          </w:cols>
          <w:pgMar w:left="440" w:top="229" w:right="439" w:bottom="1440" w:gutter="0" w:footer="0" w:header="0"/>
          <w:type w:val="continuous"/>
        </w:sectPr>
      </w:pPr>
    </w:p>
    <w:p>
      <w:pPr>
        <w:jc w:val="center"/>
        <w:ind w:right="1840"/>
        <w:spacing w:after="0"/>
        <w:rPr>
          <w:sz w:val="20"/>
          <w:szCs w:val="20"/>
          <w:color w:val="auto"/>
        </w:rPr>
      </w:pPr>
      <w:r>
        <w:rPr>
          <w:rFonts w:ascii="Arial" w:cs="Arial" w:eastAsia="Arial" w:hAnsi="Arial"/>
          <w:sz w:val="16"/>
          <w:szCs w:val="16"/>
          <w:b w:val="1"/>
          <w:bCs w:val="1"/>
          <w:color w:val="auto"/>
        </w:rPr>
        <w:t>6260 Lookout Road</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Boulder, CO</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80301</w:t>
      </w:r>
    </w:p>
    <w:p>
      <w:pPr>
        <w:spacing w:after="0" w:line="61" w:lineRule="exact"/>
        <w:rPr>
          <w:sz w:val="24"/>
          <w:szCs w:val="24"/>
          <w:color w:val="auto"/>
        </w:rPr>
      </w:pPr>
    </w:p>
    <w:p>
      <w:pPr>
        <w:sectPr>
          <w:pgSz w:w="11900" w:h="16838" w:orient="portrait"/>
          <w:cols w:equalWidth="0" w:num="2">
            <w:col w:w="7400" w:space="720"/>
            <w:col w:w="2900"/>
          </w:cols>
          <w:pgMar w:left="440" w:top="229" w:right="43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280" w:space="720"/>
            <w:col w:w="3020"/>
          </w:cols>
          <w:pgMar w:left="440" w:top="229"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(310) 209-3010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960" w:hanging="532"/>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1940" w:firstLine="428"/>
        <w:spacing w:after="0" w:line="417" w:lineRule="auto"/>
        <w:tabs>
          <w:tab w:leader="none" w:pos="97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Class A 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GGPI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Warrants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GGPIW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Units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GGPIU</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bl>
    <w:p>
      <w:pPr>
        <w:spacing w:after="0" w:line="13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Business Combination Agreement</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As previously disclosed, on September 27, 2021, Gores Guggenheim, Inc.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 Business Combination Agreement (as amended by that certain Amendment No. 1 to the Business Combination Agreement, dated December 17, 2021,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the Company, Polestar Automotive Holding Limited, a Hong Kong incorporated company (“</w:t>
      </w:r>
      <w:r>
        <w:rPr>
          <w:rFonts w:ascii="Arial" w:cs="Arial" w:eastAsia="Arial" w:hAnsi="Arial"/>
          <w:sz w:val="16"/>
          <w:szCs w:val="16"/>
          <w:u w:val="single" w:color="auto"/>
          <w:color w:val="auto"/>
        </w:rPr>
        <w:t>Parent</w:t>
      </w:r>
      <w:r>
        <w:rPr>
          <w:rFonts w:ascii="Arial" w:cs="Arial" w:eastAsia="Arial" w:hAnsi="Arial"/>
          <w:sz w:val="16"/>
          <w:szCs w:val="16"/>
          <w:color w:val="auto"/>
        </w:rPr>
        <w:t>”), Polestar Automotive (Singapore) Pte. Ltd., a private company limited by shares in Singapore, Polestar Holding AB, a private limited liability company incorporated under the laws of Sweden, Polestar Automotive Holding UK Limited, a limited company incorporated under the laws of England and Wales and a direct wholly owned subsidiary of Parent (“</w:t>
      </w:r>
      <w:r>
        <w:rPr>
          <w:rFonts w:ascii="Arial" w:cs="Arial" w:eastAsia="Arial" w:hAnsi="Arial"/>
          <w:sz w:val="16"/>
          <w:szCs w:val="16"/>
          <w:u w:val="single" w:color="auto"/>
          <w:color w:val="auto"/>
        </w:rPr>
        <w:t>ListCo</w:t>
      </w:r>
      <w:r>
        <w:rPr>
          <w:rFonts w:ascii="Arial" w:cs="Arial" w:eastAsia="Arial" w:hAnsi="Arial"/>
          <w:sz w:val="16"/>
          <w:szCs w:val="16"/>
          <w:color w:val="auto"/>
        </w:rPr>
        <w:t>”), and PAH UK Merger Sub Inc., a Delaware corporation and a direct wholly owned subsidiary of ListCo.</w:t>
      </w:r>
    </w:p>
    <w:p>
      <w:pPr>
        <w:spacing w:after="0" w:line="16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On March 24, 2022, the parties to the Business Combination Agreement entered into Amendment No. 2 to the Business Combination Agreement (“</w:t>
      </w:r>
      <w:r>
        <w:rPr>
          <w:rFonts w:ascii="Arial" w:cs="Arial" w:eastAsia="Arial" w:hAnsi="Arial"/>
          <w:sz w:val="18"/>
          <w:szCs w:val="18"/>
          <w:u w:val="single" w:color="auto"/>
          <w:color w:val="auto"/>
        </w:rPr>
        <w:t>BCA Amendment No. 2</w:t>
      </w:r>
      <w:r>
        <w:rPr>
          <w:rFonts w:ascii="Arial" w:cs="Arial" w:eastAsia="Arial" w:hAnsi="Arial"/>
          <w:sz w:val="18"/>
          <w:szCs w:val="18"/>
          <w:color w:val="auto"/>
        </w:rPr>
        <w:t>”). BCA Amendment No. 2 amends the Business Combination Agreement to: (i) account for the amendment of the Sponsor Subscription Agreement (as defined below) and the Volvo Cars Subscription Agreement (as defined below) and the execution of the March PIPE Subscription Agreements (as defined below) related thereto; (ii) account for the amendment of the Volvo Cars Preference Subscription Agreement (as defined below); (iii) reflect the amendment to the Sponsor and Supporting Sponsor Stockholders Lock-Up Agreement (as defined below); (iv) reflect the amendment to the Registration Rights Agreement (as defined below) and (v) make other administrative and conforming amendments to the Business Combination Agreement.</w:t>
      </w:r>
    </w:p>
    <w:p>
      <w:pPr>
        <w:spacing w:after="0" w:line="19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foregoing description of BCA Amendment No. 2 does not purport to be complete and is qualified in its entirety by the terms and conditions of BCA Amendment No. 2, a copy of which is attached hereto as Exhibit 2.1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March PIPE Subscription Agreements; Amendment of Sponsor Subscription Agreement and Volvo Cars Subscription Agreement</w:t>
      </w:r>
    </w:p>
    <w:p>
      <w:pPr>
        <w:spacing w:after="0" w:line="129"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color w:val="auto"/>
        </w:rPr>
        <w:t>As previously disclosed, on December 17, 2021, the Company and ListCo entered into an amended and restated subscription agreement (the “</w:t>
      </w:r>
      <w:r>
        <w:rPr>
          <w:rFonts w:ascii="Arial" w:cs="Arial" w:eastAsia="Arial" w:hAnsi="Arial"/>
          <w:sz w:val="17"/>
          <w:szCs w:val="17"/>
          <w:u w:val="single" w:color="auto"/>
          <w:color w:val="auto"/>
        </w:rPr>
        <w:t>Sponsor Subscription Agreement</w:t>
      </w:r>
      <w:r>
        <w:rPr>
          <w:rFonts w:ascii="Arial" w:cs="Arial" w:eastAsia="Arial" w:hAnsi="Arial"/>
          <w:sz w:val="17"/>
          <w:szCs w:val="17"/>
          <w:color w:val="auto"/>
        </w:rPr>
        <w:t>”) with Gores Guggenheim Sponsor LLC (the “</w:t>
      </w:r>
      <w:r>
        <w:rPr>
          <w:rFonts w:ascii="Arial" w:cs="Arial" w:eastAsia="Arial" w:hAnsi="Arial"/>
          <w:sz w:val="17"/>
          <w:szCs w:val="17"/>
          <w:u w:val="single" w:color="auto"/>
          <w:color w:val="auto"/>
        </w:rPr>
        <w:t>Sponsor</w:t>
      </w:r>
      <w:r>
        <w:rPr>
          <w:rFonts w:ascii="Arial" w:cs="Arial" w:eastAsia="Arial" w:hAnsi="Arial"/>
          <w:sz w:val="17"/>
          <w:szCs w:val="17"/>
          <w:color w:val="auto"/>
        </w:rPr>
        <w:t>”) pursuant to which the Sponsor agreed to subscribe for approximately 2.15 million Class A ordinary shares of ListCo in the form of American depository shares of ListCo (the “</w:t>
      </w:r>
      <w:r>
        <w:rPr>
          <w:rFonts w:ascii="Arial" w:cs="Arial" w:eastAsia="Arial" w:hAnsi="Arial"/>
          <w:sz w:val="17"/>
          <w:szCs w:val="17"/>
          <w:u w:val="single" w:color="auto"/>
          <w:color w:val="auto"/>
        </w:rPr>
        <w:t>ListCo Class A ADSs</w:t>
      </w:r>
      <w:r>
        <w:rPr>
          <w:rFonts w:ascii="Arial" w:cs="Arial" w:eastAsia="Arial" w:hAnsi="Arial"/>
          <w:sz w:val="17"/>
          <w:szCs w:val="17"/>
          <w:color w:val="auto"/>
        </w:rPr>
        <w:t>”) for a purchase price of $9.09 per ListCo Class A ADS on the date of closing (the “</w:t>
      </w:r>
      <w:r>
        <w:rPr>
          <w:rFonts w:ascii="Arial" w:cs="Arial" w:eastAsia="Arial" w:hAnsi="Arial"/>
          <w:sz w:val="17"/>
          <w:szCs w:val="17"/>
          <w:u w:val="single" w:color="auto"/>
          <w:color w:val="auto"/>
        </w:rPr>
        <w:t>Closing</w:t>
      </w:r>
      <w:r>
        <w:rPr>
          <w:rFonts w:ascii="Arial" w:cs="Arial" w:eastAsia="Arial" w:hAnsi="Arial"/>
          <w:sz w:val="17"/>
          <w:szCs w:val="17"/>
          <w:color w:val="auto"/>
        </w:rPr>
        <w:t>”) of the transactions contemplated by the Business Combination Agreement and the other transaction documents contemplated thereby (the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for an aggregate investment amount of approximately $19.5 million. Pursuant to the Sponsor Subscription Agreement, the Sponsor had the right to assign its commitment to purchase the ListCo Class A ADSs under the Sponsor Subscription Agreement in advance of the Closing.</w:t>
      </w:r>
    </w:p>
    <w:p>
      <w:pPr>
        <w:spacing w:after="0" w:line="177"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On March 24, 2022, (i) Sponsor assigned a portion of its commitment to purchase ListCo Class A ADSs, in an aggregate investment amount equaling approximately $11.4 million (the “</w:t>
      </w:r>
      <w:r>
        <w:rPr>
          <w:rFonts w:ascii="Arial" w:cs="Arial" w:eastAsia="Arial" w:hAnsi="Arial"/>
          <w:sz w:val="16"/>
          <w:szCs w:val="16"/>
          <w:u w:val="single" w:color="auto"/>
          <w:color w:val="auto"/>
        </w:rPr>
        <w:t>March Sponsor Assignment</w:t>
      </w:r>
      <w:r>
        <w:rPr>
          <w:rFonts w:ascii="Arial" w:cs="Arial" w:eastAsia="Arial" w:hAnsi="Arial"/>
          <w:sz w:val="16"/>
          <w:szCs w:val="16"/>
          <w:color w:val="auto"/>
        </w:rPr>
        <w:t>”), to certain investors and (ii) the Company, ListCo and Sponsor amended the Sponsor Subscription Agreement to reflect the March Sponsor Assignment. As a result, pursuant to the Sponsor Subscription Agreement, as amended, Sponsor has agreed to subscribe for approximately 891,000 ListCo Class A ADSs for a purchase price of $9.09 per ListCo Class A ADS on the date of Closing, for an aggregate investment of approximately $8.1 million. The Sponsor Subscription Agreement, as amended, is substantially similar to the PIPE Subscription Agreements (as defined below), except with regards to purchase price and that the Sponsor has the right to assign its commitment to purchase the ListCo Class A ADSs under the Sponsor Subscription Agreement in advance of the Closing.</w:t>
      </w:r>
    </w:p>
    <w:p>
      <w:pPr>
        <w:spacing w:after="0" w:line="166"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As previously disclosed, on December 17, 2021, the Company and ListCo entered into an amended and restated subscription agreement (the “</w:t>
      </w:r>
      <w:r>
        <w:rPr>
          <w:rFonts w:ascii="Arial" w:cs="Arial" w:eastAsia="Arial" w:hAnsi="Arial"/>
          <w:sz w:val="17"/>
          <w:szCs w:val="17"/>
          <w:u w:val="single" w:color="auto"/>
          <w:color w:val="auto"/>
        </w:rPr>
        <w:t>Volvo Cars Subscription Agreement</w:t>
      </w:r>
      <w:r>
        <w:rPr>
          <w:rFonts w:ascii="Arial" w:cs="Arial" w:eastAsia="Arial" w:hAnsi="Arial"/>
          <w:sz w:val="17"/>
          <w:szCs w:val="17"/>
          <w:color w:val="auto"/>
        </w:rPr>
        <w:t>”) with Snita Holding B.V., a corporation organized under the laws of Netherlands (“</w:t>
      </w:r>
      <w:r>
        <w:rPr>
          <w:rFonts w:ascii="Arial" w:cs="Arial" w:eastAsia="Arial" w:hAnsi="Arial"/>
          <w:sz w:val="17"/>
          <w:szCs w:val="17"/>
          <w:u w:val="single" w:color="auto"/>
          <w:color w:val="auto"/>
        </w:rPr>
        <w:t>Snita</w:t>
      </w:r>
      <w:r>
        <w:rPr>
          <w:rFonts w:ascii="Arial" w:cs="Arial" w:eastAsia="Arial" w:hAnsi="Arial"/>
          <w:sz w:val="17"/>
          <w:szCs w:val="17"/>
          <w:color w:val="auto"/>
        </w:rPr>
        <w:t>”), pursuant to which Snita agreed to subscribe for 2.70 million ListCo Class A ADSs for a purchase price of $10.00 per ListCo Class A ADS on the date of Closing, for an aggregate investment of $27.0 million. Pursuant to the Volvo Cars Subscription Agreement, Snita had the right to assign its commitment to purchase the ListCo Class A ADSs under the Volvo Cars Subscription Agreement in advance of the Closing.</w:t>
      </w:r>
    </w:p>
    <w:p>
      <w:pPr>
        <w:sectPr>
          <w:pgSz w:w="11900" w:h="16838" w:orient="portrait"/>
          <w:cols w:equalWidth="0" w:num="1">
            <w:col w:w="11000"/>
          </w:cols>
          <w:pgMar w:left="440" w:top="270" w:right="459" w:bottom="1440" w:gutter="0" w:footer="0" w:header="0"/>
        </w:sectPr>
      </w:pPr>
    </w:p>
    <w:bookmarkStart w:id="2" w:name="page3"/>
    <w:bookmarkEnd w:id="2"/>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March 24, 2022 (i) Snita assigned to certain investors a portion of its commitment to purchase ListCo Class A ADSs, in an aggregate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investment amount equaling approximately $15.8 million (the “</w:t>
      </w:r>
      <w:r>
        <w:rPr>
          <w:rFonts w:ascii="Arial" w:cs="Arial" w:eastAsia="Arial" w:hAnsi="Arial"/>
          <w:sz w:val="17"/>
          <w:szCs w:val="17"/>
          <w:u w:val="single" w:color="auto"/>
          <w:color w:val="auto"/>
        </w:rPr>
        <w:t>March Volvo Assignment</w:t>
      </w:r>
      <w:r>
        <w:rPr>
          <w:rFonts w:ascii="Arial" w:cs="Arial" w:eastAsia="Arial" w:hAnsi="Arial"/>
          <w:sz w:val="17"/>
          <w:szCs w:val="17"/>
          <w:color w:val="auto"/>
        </w:rPr>
        <w:t>,” and together with the March Sponsor Assignment,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March PIPE Assignment</w:t>
      </w:r>
      <w:r>
        <w:rPr>
          <w:rFonts w:ascii="Arial" w:cs="Arial" w:eastAsia="Arial" w:hAnsi="Arial"/>
          <w:sz w:val="16"/>
          <w:szCs w:val="16"/>
          <w:color w:val="auto"/>
        </w:rPr>
        <w:t>”) (the investors who collectively were assigned commitments in the March PIPE Assignment, the “</w:t>
      </w:r>
      <w:r>
        <w:rPr>
          <w:rFonts w:ascii="Arial" w:cs="Arial" w:eastAsia="Arial" w:hAnsi="Arial"/>
          <w:sz w:val="16"/>
          <w:szCs w:val="16"/>
          <w:u w:val="single" w:color="auto"/>
          <w:color w:val="auto"/>
        </w:rPr>
        <w:t>March PIPE Investors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(ii) the Company, ListCo and Snita amended the Volvo Car Subscription Agreement to reflect the March Volvo Assignment. As a result,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Volvo Cars Subscription Agreement, as amended, Snita has agreed to subscribe for approximately 1.1 million ListCo Class A ADSs for a purchase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price of $10.00 per ListCo Class A ADS on the date of Closing for an aggregate investment of approximately $11.2 million. The Volvo Cars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Subscription Agreement, as amended, is substantially similar to the PIPE Subscription Agreements, except with regards to purchase price and that Snita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in accordance with the terms of the Volvo Cars Subscription Agreement, assign its commitment to purchase the ListCo Class A ADSs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Volvo Cars Subscription Agreement in advance of the Closing.</w:t>
      </w:r>
    </w:p>
    <w:p>
      <w:pPr>
        <w:spacing w:after="0" w:line="211"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As previously disclosed, on September 27, 2021 and December 17, 2021, the Company and ListCo entered into subscription agreements (as amended and restated on December 17, 2021, as applicable, collectively, “</w:t>
      </w:r>
      <w:r>
        <w:rPr>
          <w:rFonts w:ascii="Arial" w:cs="Arial" w:eastAsia="Arial" w:hAnsi="Arial"/>
          <w:sz w:val="17"/>
          <w:szCs w:val="17"/>
          <w:u w:val="single" w:color="auto"/>
          <w:color w:val="auto"/>
        </w:rPr>
        <w:t>PIPE Subscription Agreements</w:t>
      </w:r>
      <w:r>
        <w:rPr>
          <w:rFonts w:ascii="Arial" w:cs="Arial" w:eastAsia="Arial" w:hAnsi="Arial"/>
          <w:sz w:val="17"/>
          <w:szCs w:val="17"/>
          <w:color w:val="auto"/>
        </w:rPr>
        <w:t>”) with certain investors (the “</w:t>
      </w:r>
      <w:r>
        <w:rPr>
          <w:rFonts w:ascii="Arial" w:cs="Arial" w:eastAsia="Arial" w:hAnsi="Arial"/>
          <w:sz w:val="17"/>
          <w:szCs w:val="17"/>
          <w:u w:val="single" w:color="auto"/>
          <w:color w:val="auto"/>
        </w:rPr>
        <w:t>PIPE</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Investors</w:t>
      </w:r>
      <w:r>
        <w:rPr>
          <w:rFonts w:ascii="Arial" w:cs="Arial" w:eastAsia="Arial" w:hAnsi="Arial"/>
          <w:sz w:val="17"/>
          <w:szCs w:val="17"/>
          <w:color w:val="auto"/>
        </w:rPr>
        <w:t>”), pursuant to which the PIPE Investors have agreed to purchase, substantially concurrently on the date of the Closing, an aggregate of approximately 21.7 million ListCo Class A ADSs for an average price of approximately $9.38 per ListCo Class A ADS, reflecting an aggregate investment amount of approximately $203.5 million. In connection with the March PIPE Assignment, on March 24, 2022, the Company and ListCo entered into subscription agreements (including, as applicable, amended and restated PIPE Subscription Agreements, the “</w:t>
      </w:r>
      <w:r>
        <w:rPr>
          <w:rFonts w:ascii="Arial" w:cs="Arial" w:eastAsia="Arial" w:hAnsi="Arial"/>
          <w:sz w:val="17"/>
          <w:szCs w:val="17"/>
          <w:u w:val="single" w:color="auto"/>
          <w:color w:val="auto"/>
        </w:rPr>
        <w:t>March PIPE Subscription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Agreements</w:t>
      </w:r>
      <w:r>
        <w:rPr>
          <w:rFonts w:ascii="Arial" w:cs="Arial" w:eastAsia="Arial" w:hAnsi="Arial"/>
          <w:sz w:val="17"/>
          <w:szCs w:val="17"/>
          <w:color w:val="auto"/>
        </w:rPr>
        <w:t>”) with the March PIPE Investors, which include certain affiliates and employees of Sponsor. Pursuant to the March PIPE Subscription Agreements, the March PIPE Investors have agreed to subscribe for approximately 2.8 million ListCo Class A ADSs (the “</w:t>
      </w:r>
      <w:r>
        <w:rPr>
          <w:rFonts w:ascii="Arial" w:cs="Arial" w:eastAsia="Arial" w:hAnsi="Arial"/>
          <w:sz w:val="17"/>
          <w:szCs w:val="17"/>
          <w:u w:val="single" w:color="auto"/>
          <w:color w:val="auto"/>
        </w:rPr>
        <w:t>March PIPE Shares</w:t>
      </w:r>
      <w:r>
        <w:rPr>
          <w:rFonts w:ascii="Arial" w:cs="Arial" w:eastAsia="Arial" w:hAnsi="Arial"/>
          <w:sz w:val="17"/>
          <w:szCs w:val="17"/>
          <w:color w:val="auto"/>
        </w:rPr>
        <w:t>”) for an average price of approximately $9.57 per ListCo Class A ADS, reflecting an aggregate investment amount of approximately $27.2 million. The March PIPE Subscription Agreements are substantially similar to the PIPE Subscription Agreements.</w:t>
      </w:r>
    </w:p>
    <w:p>
      <w:pPr>
        <w:spacing w:after="0" w:line="18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issuance of the March PIPE Shares pursuant to the March PIPE Subscription Agreements is contingent upon, among other customary closing conditions, the substantially concurrent consummation of the Business Combination. Pursuant to the March PIPE Subscription Agreements, ListCo agreed to file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(at ListCo’s sole cost and expense), within 30 calendar days after the date of Closing, a registration statement registering the resale of the March PIPE Shares, and to use its commercially reasonable efforts to have the registration statement declared effective as soon as practicable after the filing thereof.</w:t>
      </w:r>
    </w:p>
    <w:p>
      <w:pPr>
        <w:spacing w:after="0" w:line="176"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The foregoing description of the March PIPE Subscription Agreements does not purport to be complete and is qualified in its entirety by the terms and conditions of the PIPE Subscription Agreements, a form of which is attached hereto as Exhibit 10.1 and is incorporated herein by reference.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the Volvo Cars Preference Subscription Agreement</w:t>
      </w:r>
    </w:p>
    <w:p>
      <w:pPr>
        <w:spacing w:after="0" w:line="117"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As previously disclosed, on September 27, 2021, ListCo entered into a subscription agreement (the “</w:t>
      </w:r>
      <w:r>
        <w:rPr>
          <w:rFonts w:ascii="Arial" w:cs="Arial" w:eastAsia="Arial" w:hAnsi="Arial"/>
          <w:sz w:val="16"/>
          <w:szCs w:val="16"/>
          <w:u w:val="single" w:color="auto"/>
          <w:color w:val="auto"/>
        </w:rPr>
        <w:t>Volvo Cars Preference Subscription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with Snita. Pursuant to the Volvo Cars Preference Subscription Agreement, Snita has agreed to purchase, upon and subject to the Closing, mandatory convertible preference shares of ListCo for an average subscription price of $10.00 per share, for an aggregate investment amount equal to approximately $498 million (the “</w:t>
      </w:r>
      <w:r>
        <w:rPr>
          <w:rFonts w:ascii="Arial" w:cs="Arial" w:eastAsia="Arial" w:hAnsi="Arial"/>
          <w:sz w:val="16"/>
          <w:szCs w:val="16"/>
          <w:u w:val="single" w:color="auto"/>
          <w:color w:val="auto"/>
        </w:rPr>
        <w:t>Volvo Cars Preference Investment Amount</w:t>
      </w:r>
      <w:r>
        <w:rPr>
          <w:rFonts w:ascii="Arial" w:cs="Arial" w:eastAsia="Arial" w:hAnsi="Arial"/>
          <w:sz w:val="16"/>
          <w:szCs w:val="16"/>
          <w:color w:val="auto"/>
        </w:rPr>
        <w:t>”). On March 24, 2022, ListCo and Snita entered into an amendment to the Volvo Cars Preference Subscription Agreement to increase the aggregate Volvo Cars Preference Investment Amount to $588,826,100.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the Registration Rights Agreement</w:t>
      </w:r>
    </w:p>
    <w:p>
      <w:pPr>
        <w:spacing w:after="0" w:line="11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As previously disclosed, on September 27, 2021, ListCo, Parent, the Parent Shareholders (as defined in the Business Combination Agreement), Sponsor and the independent directors of the Company entered into a Registration Rights Agreement (as amended by that certain Amendment No. 1 to the Registration Rights Agreement, dated December 17, 2021,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sectPr>
      </w:pPr>
    </w:p>
    <w:bookmarkStart w:id="3" w:name="page4"/>
    <w:bookmarkEnd w:id="3"/>
    <w:p>
      <w:pPr>
        <w:jc w:val="both"/>
        <w:ind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March 24, 2022, the parties to the Registration Rights Agreement entered into Amendment No. 2 to the Registration Rights Agreement (the “</w:t>
      </w:r>
      <w:r>
        <w:rPr>
          <w:rFonts w:ascii="Arial" w:cs="Arial" w:eastAsia="Arial" w:hAnsi="Arial"/>
          <w:sz w:val="18"/>
          <w:szCs w:val="18"/>
          <w:u w:val="single" w:color="auto"/>
          <w:color w:val="auto"/>
        </w:rPr>
        <w:t>Registration Rights Agreement Amendment</w:t>
      </w:r>
      <w:r>
        <w:rPr>
          <w:rFonts w:ascii="Arial" w:cs="Arial" w:eastAsia="Arial" w:hAnsi="Arial"/>
          <w:sz w:val="18"/>
          <w:szCs w:val="18"/>
          <w:color w:val="auto"/>
        </w:rPr>
        <w:t>”), to provide for certain administrative changes to reflect BCA Amendment No. 2 and the March PIPE Subscription Agreements.</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foregoing description of the Registration Rights Agreement Amendment does not purport to be complete and is qualified in its entirety by the terms and conditions of the Registration Rights Agreement Amendment, a copy of which is attached hereto as Exhibit 10.2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the Sponsor and Supporting Stockholders Lock-Up Agreement</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As previously disclosed, on September 27, 2021, Sponsor, the Company, Parent, ListCo and certain of the Company’s directors, executive officers and affiliates entered into the Sponsor and Supporting Sponsor Stockholders Lock-Up Agreement (as amended by that certain Amendment No. 1 to the Sponsor and Supporting Sponsor Stockholders Lock-Up Agreement, dated December 17, 2021, the “</w:t>
      </w:r>
      <w:r>
        <w:rPr>
          <w:rFonts w:ascii="Arial" w:cs="Arial" w:eastAsia="Arial" w:hAnsi="Arial"/>
          <w:sz w:val="18"/>
          <w:szCs w:val="18"/>
          <w:u w:val="single" w:color="auto"/>
          <w:color w:val="auto"/>
        </w:rPr>
        <w:t>Sponsor and Supporting Sponsor Stockholders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Lock-Up Agreement</w:t>
      </w:r>
      <w:r>
        <w:rPr>
          <w:rFonts w:ascii="Arial" w:cs="Arial" w:eastAsia="Arial" w:hAnsi="Arial"/>
          <w:sz w:val="18"/>
          <w:szCs w:val="18"/>
          <w:color w:val="auto"/>
        </w:rPr>
        <w:t>”).</w:t>
      </w:r>
    </w:p>
    <w:p>
      <w:pPr>
        <w:spacing w:after="0" w:line="187"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On March 24, 2022, the parties to the Sponsor and Supporting Sponsor Stockholders Lock-Up Agreement entered into Amendment No. 2 to the Sponsor and Supporting Sponsor Stockholders Lock-Up Agreement (“</w:t>
      </w:r>
      <w:r>
        <w:rPr>
          <w:rFonts w:ascii="Arial" w:cs="Arial" w:eastAsia="Arial" w:hAnsi="Arial"/>
          <w:sz w:val="17"/>
          <w:szCs w:val="17"/>
          <w:u w:val="single" w:color="auto"/>
          <w:color w:val="auto"/>
        </w:rPr>
        <w:t>Lock-Up Agreement Amendment No. 2</w:t>
      </w:r>
      <w:r>
        <w:rPr>
          <w:rFonts w:ascii="Arial" w:cs="Arial" w:eastAsia="Arial" w:hAnsi="Arial"/>
          <w:sz w:val="17"/>
          <w:szCs w:val="17"/>
          <w:color w:val="auto"/>
        </w:rPr>
        <w:t>”). Lock-Up Agreement Amendment No. 2 provides for amendments to the Sponsor and Supporting Sponsor Stockholders Lock-Up Agreement to increase the amount of Company Class F Common Stock (“</w:t>
      </w:r>
      <w:r>
        <w:rPr>
          <w:rFonts w:ascii="Arial" w:cs="Arial" w:eastAsia="Arial" w:hAnsi="Arial"/>
          <w:sz w:val="17"/>
          <w:szCs w:val="17"/>
          <w:u w:val="single" w:color="auto"/>
          <w:color w:val="auto"/>
        </w:rPr>
        <w:t>Company Class F Common Stock</w:t>
      </w:r>
      <w:r>
        <w:rPr>
          <w:rFonts w:ascii="Arial" w:cs="Arial" w:eastAsia="Arial" w:hAnsi="Arial"/>
          <w:sz w:val="17"/>
          <w:szCs w:val="17"/>
          <w:color w:val="auto"/>
        </w:rPr>
        <w:t>”) that will be cancelled by the Company in connection with the Closing from 1,533,873 shares of Company Class F Common Stock to 1,540,835 shares of Company Class F Common Stock.</w:t>
      </w:r>
    </w:p>
    <w:p>
      <w:pPr>
        <w:spacing w:after="0" w:line="176"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The foregoing description of Lock-Up Agreement Amendment No. 2 does not purport to be complete and is qualified in its entirety by the terms and conditions of Lock-Up Agreement Amendment No. 2, a copy of which is attached hereto as Exhibit 10.3 and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Certain statements in this Current Report may be considered “forward-looking statements” as defined in the Private Securities Litigation Reform Act of 1995. Forward-looking statements generally relate to future events or the future financial or operating performance of the Company and Polestar Performance AB and its affiliates (“</w:t>
      </w:r>
      <w:r>
        <w:rPr>
          <w:rFonts w:ascii="Arial" w:cs="Arial" w:eastAsia="Arial" w:hAnsi="Arial"/>
          <w:sz w:val="17"/>
          <w:szCs w:val="17"/>
          <w:u w:val="single" w:color="auto"/>
          <w:color w:val="auto"/>
        </w:rPr>
        <w:t>Polestar</w:t>
      </w:r>
      <w:r>
        <w:rPr>
          <w:rFonts w:ascii="Arial" w:cs="Arial" w:eastAsia="Arial" w:hAnsi="Arial"/>
          <w:sz w:val="17"/>
          <w:szCs w:val="17"/>
          <w:color w:val="auto"/>
        </w:rPr>
        <w:t>”). For example, projections of future revenue, volumes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7" w:lineRule="exact"/>
        <w:rPr>
          <w:sz w:val="20"/>
          <w:szCs w:val="20"/>
          <w:color w:val="auto"/>
        </w:rPr>
      </w:pPr>
    </w:p>
    <w:p>
      <w:pPr>
        <w:ind w:right="200" w:firstLine="440"/>
        <w:spacing w:after="0" w:line="269" w:lineRule="auto"/>
        <w:rPr>
          <w:sz w:val="20"/>
          <w:szCs w:val="20"/>
          <w:color w:val="auto"/>
        </w:rPr>
      </w:pPr>
      <w:r>
        <w:rPr>
          <w:rFonts w:ascii="Arial" w:cs="Arial" w:eastAsia="Arial" w:hAnsi="Arial"/>
          <w:sz w:val="17"/>
          <w:szCs w:val="17"/>
          <w:color w:val="auto"/>
        </w:rPr>
        <w:t>These forward-looking statements are based upon estimates and assumptions that, while considered reasonable by the Company and its management, and Polestar and its management, as the case may be, are inherently uncertain. Factors that may cause actual results to differ materially from current expectations include, but are not limited to: (a) the occurrence of any event, change or other circumstances that could give rise to the termination of definitive agreements with respect to proposed Business Combination; (b) the outcome of any legal proceedings that may be instituted against the Company, the combined company or others following the announcement of the Business Combination and any definitive agreements with respect thereto; (c) the inability to complete the Business Combination due to the failure to obtain approval of the stockholders of the Company, to obtain financing to complete the Business Combination or to satisfy other conditions to Closing; (d) changes to the proposed structure of the Business Combination that may be required or appropriate as a result of applicable laws or regulations or as a condition to obtaining regulatory approval of the Business Combination; (e) the ability to meet stock exchange listing standards following the consummation of the Business Combination; (f) the risk that the</w:t>
      </w:r>
    </w:p>
    <w:p>
      <w:pPr>
        <w:sectPr>
          <w:pgSz w:w="11900" w:h="16838" w:orient="portrait"/>
          <w:cols w:equalWidth="0" w:num="1">
            <w:col w:w="11000"/>
          </w:cols>
          <w:pgMar w:left="440" w:top="274" w:right="459" w:bottom="1440" w:gutter="0" w:footer="0" w:header="0"/>
        </w:sectPr>
      </w:pPr>
    </w:p>
    <w:bookmarkStart w:id="4" w:name="page5"/>
    <w:bookmarkEnd w:id="4"/>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Combination disrupts current plans and operations of Polestar as a result of the announcement and consummation of the Business Combination; (g)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(h) costs related to the Business Combination; (i) risks associated with changes in applicable laws or regulations and Polestar’s international operations; (j) the possibility that Polestar or the combined company may be adversely affected by other economic, business, and/or competitive factors; (k) Polestar’s estimates of expenses and profitability; (l) Polestar’s ability to maintain agreements or partnerships with its strategic partners Volvo Cars and Zhejiang Geely Holding Group Co., Ltd and to develop new agreements or partnerships; (m) Polestar’s ability to maintain relationships with its existing suppliers and strategic partners, and source new suppliers for its critical components, and to complete building out its supply chain, while effectively managing the risks due to such relationships; (n) Polestar’s reliance on its partnerships with vehicle charging networks to provide charging solutions for its vehicles and its strategic partners for servicing its vehicles and their integrated software; (o) Polestar’s ability to establish its brand and capture additional market share, and the risks associated with negative press or reputational harm, including</w:t>
      </w:r>
    </w:p>
    <w:p>
      <w:pPr>
        <w:spacing w:after="0" w:line="4" w:lineRule="exact"/>
        <w:rPr>
          <w:sz w:val="20"/>
          <w:szCs w:val="20"/>
          <w:color w:val="auto"/>
        </w:rPr>
      </w:pPr>
    </w:p>
    <w:p>
      <w:pPr>
        <w:ind w:left="4" w:right="120"/>
        <w:spacing w:after="0" w:line="281" w:lineRule="auto"/>
        <w:rPr>
          <w:sz w:val="20"/>
          <w:szCs w:val="20"/>
          <w:color w:val="auto"/>
        </w:rPr>
      </w:pPr>
      <w:r>
        <w:rPr>
          <w:rFonts w:ascii="Arial" w:cs="Arial" w:eastAsia="Arial" w:hAnsi="Arial"/>
          <w:sz w:val="16"/>
          <w:szCs w:val="16"/>
          <w:color w:val="auto"/>
        </w:rPr>
        <w:t>from lithium-ion battery cells catching fire or venting smoke; (p) delays in the design, manufacture, launch and financing of Polestar’s vehicles and Polestar’s reliance on a limited number of vehicle models to generate revenues; (q) Polestar’s ability to continuously and rapidly innovate, develop and market new products; (r) risks related to future market adoption of Polestar’s offerings; (s) increases in costs, disruption of supply or shortage of materials, in particular for lithium-ion cells or semiconductors; (t)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(u) risks related to Polestar’s distribution model; (v) the effects of competition and the high barriers to entry in the automotive industry, and the pace and depth of electric vehicle adoption generally on Polestar’s future business;</w:t>
      </w:r>
    </w:p>
    <w:p>
      <w:pPr>
        <w:spacing w:after="0" w:line="4" w:lineRule="exact"/>
        <w:rPr>
          <w:sz w:val="20"/>
          <w:szCs w:val="20"/>
          <w:color w:val="auto"/>
        </w:rPr>
      </w:pPr>
    </w:p>
    <w:p>
      <w:pPr>
        <w:ind w:left="4" w:right="80" w:hanging="4"/>
        <w:spacing w:after="0" w:line="267" w:lineRule="auto"/>
        <w:tabs>
          <w:tab w:leader="none" w:pos="299"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regulatory requirements, governmental incentives and fuel and energy prices; (x) the impact of the global COVID-19 pandemic on the Company, Polestar, Polestar’s post business combination’s projected results of operations, financial performance or other financial metrics, or on any of the foregoing risks; and (y) other risks and uncertainties set forth in the section entitled “Risk Factors” and “Cautionary Note Regarding Forward-Looking Statements” in the Company’s final prospectus relating to its initial public offering (File No. 333-253338) declared effective by the SEC on March 22, 2021, and other documents filed, or to be filed, with the SEC by the Company or ListCo, including the Registration/Proxy Statement (as defined below). There may be additional risks that neither the Company, Polestar nor ListCo presently know or that the Company, Polestar or ListCo currently believe are immaterial that could also cause actual results to differ from those contained in the forward-looking 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the Company, Polestar nor ListCo undertakes any duty to update these forward-looking statements.</w:t>
      </w:r>
    </w:p>
    <w:p>
      <w:pPr>
        <w:spacing w:after="0" w:line="29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In connection with the proposed Business Combination, (a) ListCo has filed with the SEC a registration statement on Form F-4 containing a preliminary proxy statement of the Company and a preliminary prospectus (the “</w:t>
      </w:r>
      <w:r>
        <w:rPr>
          <w:rFonts w:ascii="Arial" w:cs="Arial" w:eastAsia="Arial" w:hAnsi="Arial"/>
          <w:sz w:val="17"/>
          <w:szCs w:val="17"/>
          <w:u w:val="single" w:color="auto"/>
          <w:color w:val="auto"/>
        </w:rPr>
        <w:t>Registration/Proxy Statement</w:t>
      </w:r>
      <w:r>
        <w:rPr>
          <w:rFonts w:ascii="Arial" w:cs="Arial" w:eastAsia="Arial" w:hAnsi="Arial"/>
          <w:sz w:val="17"/>
          <w:szCs w:val="17"/>
          <w:color w:val="auto"/>
        </w:rPr>
        <w:t>”) and (b) the Company will file a definitive proxy statement relating to the proposed Business Combination (the “</w:t>
      </w:r>
      <w:r>
        <w:rPr>
          <w:rFonts w:ascii="Arial" w:cs="Arial" w:eastAsia="Arial" w:hAnsi="Arial"/>
          <w:sz w:val="17"/>
          <w:szCs w:val="17"/>
          <w:u w:val="single" w:color="auto"/>
          <w:color w:val="auto"/>
        </w:rPr>
        <w:t>Definitive Proxy Statement</w:t>
      </w:r>
      <w:r>
        <w:rPr>
          <w:rFonts w:ascii="Arial" w:cs="Arial" w:eastAsia="Arial" w:hAnsi="Arial"/>
          <w:sz w:val="17"/>
          <w:szCs w:val="17"/>
          <w:color w:val="auto"/>
        </w:rPr>
        <w:t>”) and will mail the Definitive Proxy Statement and other relevant materials to its stockholders after the Registration/Proxy Statement is declared effective. The Registration/Proxy Statement contains and the Definitive Proxy Statement will contain important information about the proposed Business Combination and the other matters to be voted upon at a meeting of the Company’s stockholders to be held to approve the proposed Business Combination. This Current Report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the Company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the Company, Polestar, ListCo and the Business Combination. When available, the Definitive Proxy Statement and other relevant materials for the proposed Business Combination will be mailed to stockholders</w:t>
      </w:r>
    </w:p>
    <w:p>
      <w:pPr>
        <w:sectPr>
          <w:pgSz w:w="11900" w:h="16838" w:orient="portrait"/>
          <w:cols w:equalWidth="0" w:num="1">
            <w:col w:w="11004"/>
          </w:cols>
          <w:pgMar w:left="436" w:top="274" w:right="459" w:bottom="1440" w:gutter="0" w:footer="0" w:header="0"/>
        </w:sectPr>
      </w:pPr>
    </w:p>
    <w:bookmarkStart w:id="5" w:name="page6"/>
    <w:bookmarkEnd w:id="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Company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3"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Company and its directors and executive officers may be deemed participants in the solicitation of proxies from the Company’s stockholders with respect to the proposed Business Combination. A list of the names of those directors and executive officers and a description of their interests in the Company is set forth in the Company’s filings with the SEC (including the Company’s final prospectus related to its initial public offering (File</w:t>
      </w:r>
    </w:p>
    <w:p>
      <w:pPr>
        <w:spacing w:after="0" w:line="2"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is contained in the Registration/Proxy Statement and will be contained in the Definitive Proxy Statement.</w:t>
      </w:r>
    </w:p>
    <w:p>
      <w:pPr>
        <w:spacing w:after="0" w:line="15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Polestar and ListCo, and certain of their directors and executive officers may also be deemed to be participants in the solicitation of proxies from the stockholders of the Company in connection with the proposed Business Combination. A list of the names of such directors and executive officers and information regarding their interests in the proposed Business Combination is included in the Registration/Proxy Statement and will be included in the Definitive Proxy Statement.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This Current Report is not a proxy statement or solicitation of a proxy, consent or authorization with respect to any securities or in respect of the potential transaction and shall not constitute an offer to sell or a solicitation of an offer to buy the securities of the Company, Polestar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jc w:val="center"/>
              <w:ind w:right="2548"/>
              <w:spacing w:after="0"/>
              <w:rPr>
                <w:sz w:val="20"/>
                <w:szCs w:val="20"/>
                <w:color w:val="auto"/>
              </w:rPr>
            </w:pPr>
            <w:r>
              <w:rPr>
                <w:rFonts w:ascii="Arial" w:cs="Arial" w:eastAsia="Arial" w:hAnsi="Arial"/>
                <w:sz w:val="14"/>
                <w:szCs w:val="14"/>
                <w:b w:val="1"/>
                <w:bCs w:val="1"/>
                <w:color w:val="auto"/>
                <w:w w:val="98"/>
              </w:rPr>
              <w:t>Exhibit</w:t>
            </w:r>
          </w:p>
        </w:tc>
        <w:tc>
          <w:tcPr>
            <w:tcW w:w="3100" w:type="dxa"/>
            <w:vAlign w:val="bottom"/>
            <w:vMerge w:val="restart"/>
          </w:tcPr>
          <w:p>
            <w:pPr>
              <w:ind w:left="2640"/>
              <w:spacing w:after="0"/>
              <w:rPr>
                <w:sz w:val="20"/>
                <w:szCs w:val="20"/>
                <w:color w:val="auto"/>
              </w:rPr>
            </w:pPr>
            <w:r>
              <w:rPr>
                <w:rFonts w:ascii="Arial" w:cs="Arial" w:eastAsia="Arial" w:hAnsi="Arial"/>
                <w:sz w:val="14"/>
                <w:szCs w:val="14"/>
                <w:b w:val="1"/>
                <w:bCs w:val="1"/>
                <w:u w:val="single" w:color="auto"/>
                <w:color w:val="auto"/>
                <w:w w:val="94"/>
              </w:rPr>
              <w:t>Exhibit</w:t>
            </w:r>
          </w:p>
        </w:tc>
        <w:tc>
          <w:tcPr>
            <w:tcW w:w="0" w:type="dxa"/>
            <w:vAlign w:val="bottom"/>
          </w:tcPr>
          <w:p>
            <w:pPr>
              <w:spacing w:after="0"/>
              <w:rPr>
                <w:sz w:val="1"/>
                <w:szCs w:val="1"/>
                <w:color w:val="auto"/>
              </w:rPr>
            </w:pPr>
          </w:p>
        </w:tc>
      </w:tr>
      <w:tr>
        <w:trPr>
          <w:trHeight w:val="186"/>
        </w:trPr>
        <w:tc>
          <w:tcPr>
            <w:tcW w:w="3080" w:type="dxa"/>
            <w:vAlign w:val="bottom"/>
          </w:tcPr>
          <w:p>
            <w:pPr>
              <w:jc w:val="center"/>
              <w:ind w:right="2548"/>
              <w:spacing w:after="0"/>
              <w:rPr>
                <w:sz w:val="20"/>
                <w:szCs w:val="20"/>
                <w:color w:val="auto"/>
              </w:rPr>
            </w:pPr>
            <w:r>
              <w:rPr>
                <w:rFonts w:ascii="Arial" w:cs="Arial" w:eastAsia="Arial" w:hAnsi="Arial"/>
                <w:sz w:val="14"/>
                <w:szCs w:val="14"/>
                <w:b w:val="1"/>
                <w:bCs w:val="1"/>
                <w:color w:val="auto"/>
                <w:w w:val="97"/>
              </w:rPr>
              <w:t>No.</w:t>
            </w:r>
          </w:p>
        </w:tc>
        <w:tc>
          <w:tcPr>
            <w:tcW w:w="3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91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2"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BCA Amendment No. 2, dated March 24, 2022.</w:t>
      </w:r>
    </w:p>
    <w:p>
      <w:pPr>
        <w:spacing w:after="0" w:line="117" w:lineRule="exact"/>
        <w:rPr>
          <w:sz w:val="20"/>
          <w:szCs w:val="20"/>
          <w:color w:val="auto"/>
        </w:rPr>
      </w:pPr>
    </w:p>
    <w:p>
      <w:pPr>
        <w:ind w:left="880" w:right="40" w:hanging="876"/>
        <w:spacing w:after="0" w:line="277" w:lineRule="auto"/>
        <w:tabs>
          <w:tab w:leader="none" w:pos="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Subscription Agreement (previously filed as Exhibit 10.1 to the Company’s Current Report on Form 8-K, filed with the Securities and Exchange Commission on September 27, 2021).</w:t>
      </w:r>
    </w:p>
    <w:p>
      <w:pPr>
        <w:spacing w:after="0" w:line="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Registration Rights Agreement Amendment, dated March 24, 2022 (included as Annex II to Exhibit 2.1)</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Lock-Up Agreement Amendment No. 2, dated March 24, 2022 (included as Annex I to Exhibit 2.1)</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74"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Arial" w:cs="Arial" w:eastAsia="Arial" w:hAnsi="Arial"/>
                <w:sz w:val="18"/>
                <w:szCs w:val="18"/>
                <w:color w:val="auto"/>
              </w:rPr>
              <w:t>Gores Guggenheim, Inc.</w:t>
            </w:r>
          </w:p>
        </w:tc>
      </w:tr>
      <w:tr>
        <w:trPr>
          <w:trHeight w:val="446"/>
        </w:trPr>
        <w:tc>
          <w:tcPr>
            <w:tcW w:w="3540" w:type="dxa"/>
            <w:vAlign w:val="bottom"/>
          </w:tcPr>
          <w:p>
            <w:pPr>
              <w:spacing w:after="0"/>
              <w:rPr>
                <w:sz w:val="20"/>
                <w:szCs w:val="20"/>
                <w:color w:val="auto"/>
              </w:rPr>
            </w:pPr>
            <w:r>
              <w:rPr>
                <w:rFonts w:ascii="Arial" w:cs="Arial" w:eastAsia="Arial" w:hAnsi="Arial"/>
                <w:sz w:val="18"/>
                <w:szCs w:val="18"/>
                <w:color w:val="auto"/>
              </w:rPr>
              <w:t>Date: March 25, 2022</w:t>
            </w:r>
          </w:p>
        </w:tc>
        <w:tc>
          <w:tcPr>
            <w:tcW w:w="2620" w:type="dxa"/>
            <w:vAlign w:val="bottom"/>
          </w:tcPr>
          <w:p>
            <w:pPr>
              <w:ind w:left="19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McBride</w:t>
            </w:r>
          </w:p>
        </w:tc>
      </w:tr>
      <w:tr>
        <w:trPr>
          <w:trHeight w:val="209"/>
        </w:trPr>
        <w:tc>
          <w:tcPr>
            <w:tcW w:w="3540" w:type="dxa"/>
            <w:vAlign w:val="bottom"/>
          </w:tcPr>
          <w:p>
            <w:pPr>
              <w:spacing w:after="0"/>
              <w:rPr>
                <w:sz w:val="18"/>
                <w:szCs w:val="18"/>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Andrew McBride</w:t>
            </w:r>
          </w:p>
        </w:tc>
      </w:tr>
      <w:tr>
        <w:trPr>
          <w:trHeight w:val="230"/>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 and Secretary</w:t>
            </w:r>
          </w:p>
        </w:tc>
      </w:tr>
    </w:tbl>
    <w:p>
      <w:pPr>
        <w:sectPr>
          <w:pgSz w:w="11900" w:h="16838" w:orient="portrait"/>
          <w:cols w:equalWidth="0" w:num="1">
            <w:col w:w="11020"/>
          </w:cols>
          <w:pgMar w:left="440" w:top="274"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BUSINESS COMBINATION AGREEMENT</w:t>
      </w:r>
    </w:p>
    <w:p>
      <w:pPr>
        <w:spacing w:after="0" w:line="229"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THIS AMENDMENT NO. 2 TO BUSINESS COMBINATION AGREEMENT (this “</w:t>
      </w:r>
      <w:r>
        <w:rPr>
          <w:rFonts w:ascii="Arial" w:cs="Arial" w:eastAsia="Arial" w:hAnsi="Arial"/>
          <w:sz w:val="16"/>
          <w:szCs w:val="16"/>
          <w:u w:val="single" w:color="auto"/>
          <w:color w:val="auto"/>
        </w:rPr>
        <w:t>Amendment No. 2</w:t>
      </w:r>
      <w:r>
        <w:rPr>
          <w:rFonts w:ascii="Arial" w:cs="Arial" w:eastAsia="Arial" w:hAnsi="Arial"/>
          <w:sz w:val="16"/>
          <w:szCs w:val="16"/>
          <w:color w:val="auto"/>
        </w:rPr>
        <w:t>”) is made and entered into as of March 24, 2022, by and among Gores Guggenheim, Inc., a Delaware corporation (“</w:t>
      </w:r>
      <w:r>
        <w:rPr>
          <w:rFonts w:ascii="Arial" w:cs="Arial" w:eastAsia="Arial" w:hAnsi="Arial"/>
          <w:sz w:val="16"/>
          <w:szCs w:val="16"/>
          <w:u w:val="single" w:color="auto"/>
          <w:color w:val="auto"/>
        </w:rPr>
        <w:t>GG</w:t>
      </w:r>
      <w:r>
        <w:rPr>
          <w:rFonts w:ascii="Arial" w:cs="Arial" w:eastAsia="Arial" w:hAnsi="Arial"/>
          <w:sz w:val="16"/>
          <w:szCs w:val="16"/>
          <w:color w:val="auto"/>
        </w:rPr>
        <w:t>”), Polestar Automotive Holding Limited, a Hong Kong incorporated company (“</w:t>
      </w:r>
      <w:r>
        <w:rPr>
          <w:rFonts w:ascii="Arial" w:cs="Arial" w:eastAsia="Arial" w:hAnsi="Arial"/>
          <w:sz w:val="16"/>
          <w:szCs w:val="16"/>
          <w:u w:val="single" w:color="auto"/>
          <w:color w:val="auto"/>
        </w:rPr>
        <w:t>Parent</w:t>
      </w:r>
      <w:r>
        <w:rPr>
          <w:rFonts w:ascii="Arial" w:cs="Arial" w:eastAsia="Arial" w:hAnsi="Arial"/>
          <w:sz w:val="16"/>
          <w:szCs w:val="16"/>
          <w:color w:val="auto"/>
        </w:rPr>
        <w:t>”), Polestar Automotive (Singapore) Pte. Ltd., a private company limited by shares in Singapore (“</w:t>
      </w:r>
      <w:r>
        <w:rPr>
          <w:rFonts w:ascii="Arial" w:cs="Arial" w:eastAsia="Arial" w:hAnsi="Arial"/>
          <w:sz w:val="16"/>
          <w:szCs w:val="16"/>
          <w:u w:val="single" w:color="auto"/>
          <w:color w:val="auto"/>
        </w:rPr>
        <w:t>Polestar Singapore</w:t>
      </w:r>
      <w:r>
        <w:rPr>
          <w:rFonts w:ascii="Arial" w:cs="Arial" w:eastAsia="Arial" w:hAnsi="Arial"/>
          <w:sz w:val="16"/>
          <w:szCs w:val="16"/>
          <w:color w:val="auto"/>
        </w:rPr>
        <w:t>”), Polestar Holding AB, a private limited liability company incorporated under the laws of Sweden (“</w:t>
      </w:r>
      <w:r>
        <w:rPr>
          <w:rFonts w:ascii="Arial" w:cs="Arial" w:eastAsia="Arial" w:hAnsi="Arial"/>
          <w:sz w:val="16"/>
          <w:szCs w:val="16"/>
          <w:u w:val="single" w:color="auto"/>
          <w:color w:val="auto"/>
        </w:rPr>
        <w:t>Polestar Sweden</w:t>
      </w:r>
      <w:r>
        <w:rPr>
          <w:rFonts w:ascii="Arial" w:cs="Arial" w:eastAsia="Arial" w:hAnsi="Arial"/>
          <w:sz w:val="16"/>
          <w:szCs w:val="16"/>
          <w:color w:val="auto"/>
        </w:rPr>
        <w:t>”), Polestar Automotive Holding UK Limited, a limited company incorporated under the laws of England and Wales and a direct wholly owned subsidiary of Parent (“</w:t>
      </w:r>
      <w:r>
        <w:rPr>
          <w:rFonts w:ascii="Arial" w:cs="Arial" w:eastAsia="Arial" w:hAnsi="Arial"/>
          <w:sz w:val="16"/>
          <w:szCs w:val="16"/>
          <w:u w:val="single" w:color="auto"/>
          <w:color w:val="auto"/>
        </w:rPr>
        <w:t>ListCo</w:t>
      </w:r>
      <w:r>
        <w:rPr>
          <w:rFonts w:ascii="Arial" w:cs="Arial" w:eastAsia="Arial" w:hAnsi="Arial"/>
          <w:sz w:val="16"/>
          <w:szCs w:val="16"/>
          <w:color w:val="auto"/>
        </w:rPr>
        <w:t>”), and PAH UK Merger Sub Inc., a Delaware corporation and a direct wholly owned subsidiary of ListCo (“</w:t>
      </w:r>
      <w:r>
        <w:rPr>
          <w:rFonts w:ascii="Arial" w:cs="Arial" w:eastAsia="Arial" w:hAnsi="Arial"/>
          <w:sz w:val="16"/>
          <w:szCs w:val="16"/>
          <w:u w:val="single" w:color="auto"/>
          <w:color w:val="auto"/>
        </w:rPr>
        <w:t>Merger Sub,</w:t>
      </w:r>
      <w:r>
        <w:rPr>
          <w:rFonts w:ascii="Arial" w:cs="Arial" w:eastAsia="Arial" w:hAnsi="Arial"/>
          <w:sz w:val="16"/>
          <w:szCs w:val="16"/>
          <w:color w:val="auto"/>
        </w:rPr>
        <w:t>” and together with GG, Parent, the Company and ListCo, the “</w:t>
      </w:r>
      <w:r>
        <w:rPr>
          <w:rFonts w:ascii="Arial" w:cs="Arial" w:eastAsia="Arial" w:hAnsi="Arial"/>
          <w:sz w:val="16"/>
          <w:szCs w:val="16"/>
          <w:u w:val="single" w:color="auto"/>
          <w:color w:val="auto"/>
        </w:rPr>
        <w:t>Parties</w:t>
      </w:r>
      <w:r>
        <w:rPr>
          <w:rFonts w:ascii="Arial" w:cs="Arial" w:eastAsia="Arial" w:hAnsi="Arial"/>
          <w:sz w:val="16"/>
          <w:szCs w:val="16"/>
          <w:color w:val="auto"/>
        </w:rPr>
        <w:t>” and each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amends that certain Business Combination Agreement, dated as of September 27, 2021, by and among the Parties, as amended by that certain Amendment No. 1 to Business Combination Agreement, dated as of December 17, 2021, by and among the Parties (“</w:t>
      </w:r>
      <w:r>
        <w:rPr>
          <w:rFonts w:ascii="Arial" w:cs="Arial" w:eastAsia="Arial" w:hAnsi="Arial"/>
          <w:sz w:val="16"/>
          <w:szCs w:val="16"/>
          <w:u w:val="single" w:color="auto"/>
          <w:color w:val="auto"/>
        </w:rPr>
        <w:t>Amendment No. 1</w:t>
      </w:r>
      <w:r>
        <w:rPr>
          <w:rFonts w:ascii="Arial" w:cs="Arial" w:eastAsia="Arial" w:hAnsi="Arial"/>
          <w:sz w:val="16"/>
          <w:szCs w:val="16"/>
          <w:color w:val="auto"/>
        </w:rPr>
        <w:t>,” and such Business Combination Agreement as amended,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Except as otherwise set forth herein, capitalized terms used herein have the meanings set forth in the Business Combination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020" w:firstLine="991"/>
        <w:spacing w:after="0" w:line="277" w:lineRule="auto"/>
        <w:rPr>
          <w:sz w:val="20"/>
          <w:szCs w:val="20"/>
          <w:color w:val="auto"/>
        </w:rPr>
      </w:pPr>
      <w:r>
        <w:rPr>
          <w:rFonts w:ascii="Arial" w:cs="Arial" w:eastAsia="Arial" w:hAnsi="Arial"/>
          <w:sz w:val="18"/>
          <w:szCs w:val="18"/>
          <w:color w:val="auto"/>
        </w:rPr>
        <w:t>WHEREAS, the Parties entered into the Business Combination Agreement on September 27, 2021 and Amendment No. 1 on December 17, 2021;</w:t>
      </w:r>
    </w:p>
    <w:p>
      <w:pPr>
        <w:spacing w:after="0" w:line="170"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 xml:space="preserve">WHEREAS, concurrently with the execution of this Amendment No. 2, (a) Sponsor is assigning to certain investors certain of its obligations to purchase ListCo Class A ADSs under, and Sponsor and certain of its Affiliates, GG and ListCo are amending, that certain amended and restated subscription agreement dated December 17, 2021, by and among such parties, (b) Snita is assigning to certain investors certain of its obligations to purchase ListCo Class A ADSs under, and Snita, GG and ListCo are amending, that certain amended and restated subscription agreement dated December 17, 2021, by and among such parties and (c) such investors referenced in clauses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GG and ListCo are entering into certain subscription agreements dated March 24, 2022 or amending and restating certain subscription agreements dated December 17, 2021, to reflect such assignment in each case by and among the applicable investors and parties;</w:t>
      </w:r>
    </w:p>
    <w:p>
      <w:pPr>
        <w:spacing w:after="0" w:line="177" w:lineRule="exact"/>
        <w:rPr>
          <w:sz w:val="20"/>
          <w:szCs w:val="20"/>
          <w:color w:val="auto"/>
        </w:rPr>
      </w:pPr>
    </w:p>
    <w:p>
      <w:pPr>
        <w:ind w:right="280" w:firstLine="991"/>
        <w:spacing w:after="0" w:line="342" w:lineRule="auto"/>
        <w:rPr>
          <w:sz w:val="20"/>
          <w:szCs w:val="20"/>
          <w:color w:val="auto"/>
        </w:rPr>
      </w:pPr>
      <w:r>
        <w:rPr>
          <w:rFonts w:ascii="Arial" w:cs="Arial" w:eastAsia="Arial" w:hAnsi="Arial"/>
          <w:sz w:val="16"/>
          <w:szCs w:val="16"/>
          <w:color w:val="auto"/>
        </w:rPr>
        <w:t>WHEREAS, concurrently with the execution of this Amendment No. 2, Sponsor, GG, ListCo and the Supporting Sponsor Stockholders named as parties thereto are entering into that certain Amendment No. 2 to the Sponsor and Supporting Sponsor Stockholders Lock-Up Agreement;</w:t>
      </w:r>
    </w:p>
    <w:p>
      <w:pPr>
        <w:spacing w:after="0" w:line="124"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WHEREAS, concurrently with the execution of this Amendment No. 2, ListCo, Parent, Sponsor and the other holders named as parties thereto are entering into that certain Amendment No. 2 to the Registration Rights Agreement; and</w:t>
      </w:r>
    </w:p>
    <w:p>
      <w:pPr>
        <w:spacing w:after="0" w:line="170"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WHEREAS, concurrently with the execution of this Amendment No. 2, ListCo and Snita are entering into that certain Amendment No. 1 to VCC Preference Subscription Agreement, dated as of the date hereof;</w:t>
      </w:r>
    </w:p>
    <w:p>
      <w:pPr>
        <w:sectPr>
          <w:pgSz w:w="11900" w:h="16838" w:orient="portrait"/>
          <w:cols w:equalWidth="0" w:num="1">
            <w:col w:w="11020"/>
          </w:cols>
          <w:pgMar w:left="440" w:top="270" w:right="439" w:bottom="1440" w:gutter="0" w:footer="0" w:header="0"/>
        </w:sectPr>
      </w:pPr>
    </w:p>
    <w:bookmarkStart w:id="8" w:name="page9"/>
    <w:bookmarkEnd w:id="8"/>
    <w:p>
      <w:pPr>
        <w:ind w:left="4" w:right="20" w:firstLine="991"/>
        <w:spacing w:after="0" w:line="224" w:lineRule="exact"/>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Parent and the Parent Shareholders have entered into that certain amendment to the Parent Shareholders Acknowledgment, dated as of March 24, 2022 (the “</w:t>
      </w:r>
      <w:r>
        <w:rPr>
          <w:rFonts w:ascii="Arial" w:cs="Arial" w:eastAsia="Arial" w:hAnsi="Arial"/>
          <w:sz w:val="17"/>
          <w:szCs w:val="17"/>
          <w:u w:val="single" w:color="auto"/>
          <w:color w:val="auto"/>
        </w:rPr>
        <w:t>Amendment to the Parent Shareholders Acknowledgment</w:t>
      </w:r>
      <w:r>
        <w:rPr>
          <w:rFonts w:ascii="Arial" w:cs="Arial" w:eastAsia="Arial" w:hAnsi="Arial"/>
          <w:sz w:val="17"/>
          <w:szCs w:val="17"/>
          <w:color w:val="auto"/>
        </w:rPr>
        <w:t>”), which amends the Acknowledgement Agreement to the Shareholders Agreement, dated as of September 27, 2021 (the “</w:t>
      </w:r>
      <w:r>
        <w:rPr>
          <w:rFonts w:ascii="Arial" w:cs="Arial" w:eastAsia="Arial" w:hAnsi="Arial"/>
          <w:sz w:val="17"/>
          <w:szCs w:val="17"/>
          <w:u w:val="single" w:color="auto"/>
          <w:color w:val="auto"/>
        </w:rPr>
        <w:t>Parent Shareholders Acknowledgment</w:t>
      </w:r>
      <w:r>
        <w:rPr>
          <w:rFonts w:ascii="Arial" w:cs="Arial" w:eastAsia="Arial" w:hAnsi="Arial"/>
          <w:sz w:val="17"/>
          <w:szCs w:val="17"/>
          <w:color w:val="auto"/>
        </w:rPr>
        <w:t xml:space="preserve">”), by and among VCC, Snita, </w:t>
      </w:r>
      <w:r>
        <w:rPr>
          <w:rFonts w:ascii="SimSun" w:cs="SimSun" w:eastAsia="SimSun" w:hAnsi="SimSun"/>
          <w:sz w:val="15"/>
          <w:szCs w:val="15"/>
          <w:color w:val="auto"/>
        </w:rPr>
        <w:t>浙江吉利控股集团有限公司</w:t>
      </w:r>
      <w:r>
        <w:rPr>
          <w:rFonts w:ascii="Arial" w:cs="Arial" w:eastAsia="Arial" w:hAnsi="Arial"/>
          <w:sz w:val="17"/>
          <w:szCs w:val="17"/>
          <w:color w:val="auto"/>
        </w:rPr>
        <w:t xml:space="preserve"> (Zhejiang Geely Holding Group Co., Ltd.), a limited liability company incorporated under the laws of PRC, PSD Investment Limited, a company incorporated under the laws of the British Virgin Islands; PSINV AB, a company duly incorporated and existing under the laws of Sweden, GLY New Mobility 1. LP, an exempted limited partnership established under the laws of the Cayman Islands, Northpole GLY 1 LP, an exempted limited partnership established under the laws of the Cayman Islands, </w:t>
      </w:r>
      <w:r>
        <w:rPr>
          <w:rFonts w:ascii="SimSun" w:cs="SimSun" w:eastAsia="SimSun" w:hAnsi="SimSun"/>
          <w:sz w:val="15"/>
          <w:szCs w:val="15"/>
          <w:color w:val="auto"/>
        </w:rPr>
        <w:t>淄博市財金控股集團有限公司</w:t>
      </w:r>
      <w:r>
        <w:rPr>
          <w:rFonts w:ascii="Arial" w:cs="Arial" w:eastAsia="Arial" w:hAnsi="Arial"/>
          <w:sz w:val="17"/>
          <w:szCs w:val="17"/>
          <w:color w:val="auto"/>
        </w:rPr>
        <w:t xml:space="preserve"> Zibo Financial Holding Group Co., Ltd, a limited liability company incorporated under the laws of PRC, </w:t>
      </w:r>
      <w:r>
        <w:rPr>
          <w:rFonts w:ascii="SimSun" w:cs="SimSun" w:eastAsia="SimSun" w:hAnsi="SimSun"/>
          <w:sz w:val="15"/>
          <w:szCs w:val="15"/>
          <w:color w:val="auto"/>
        </w:rPr>
        <w:t>淄博高新产业投资有限公司</w:t>
      </w:r>
      <w:r>
        <w:rPr>
          <w:rFonts w:ascii="Arial" w:cs="Arial" w:eastAsia="Arial" w:hAnsi="Arial"/>
          <w:sz w:val="17"/>
          <w:szCs w:val="17"/>
          <w:color w:val="auto"/>
        </w:rPr>
        <w:t xml:space="preserve"> Zibo High-Tech Industrial Investment Co., Ltd., a limited liability company incorporated under the laws of PRC, </w:t>
      </w:r>
      <w:r>
        <w:rPr>
          <w:rFonts w:ascii="SimSun" w:cs="SimSun" w:eastAsia="SimSun" w:hAnsi="SimSun"/>
          <w:sz w:val="15"/>
          <w:szCs w:val="15"/>
          <w:color w:val="auto"/>
        </w:rPr>
        <w:t>重庆承星股权投资基金合伙企业（有限合伙）</w:t>
      </w:r>
      <w:r>
        <w:rPr>
          <w:rFonts w:ascii="Arial" w:cs="Arial" w:eastAsia="Arial" w:hAnsi="Arial"/>
          <w:sz w:val="17"/>
          <w:szCs w:val="17"/>
          <w:color w:val="auto"/>
        </w:rPr>
        <w:t>, a limited partnership incorporated under the laws of PRC, Parent and ListCo; and</w:t>
      </w:r>
    </w:p>
    <w:p>
      <w:pPr>
        <w:spacing w:after="0" w:line="204" w:lineRule="exact"/>
        <w:rPr>
          <w:sz w:val="20"/>
          <w:szCs w:val="20"/>
          <w:color w:val="auto"/>
        </w:rPr>
      </w:pPr>
    </w:p>
    <w:p>
      <w:pPr>
        <w:ind w:left="4" w:right="40" w:firstLine="991"/>
        <w:spacing w:after="0" w:line="277" w:lineRule="auto"/>
        <w:rPr>
          <w:sz w:val="20"/>
          <w:szCs w:val="20"/>
          <w:color w:val="auto"/>
        </w:rPr>
      </w:pPr>
      <w:r>
        <w:rPr>
          <w:rFonts w:ascii="Arial" w:cs="Arial" w:eastAsia="Arial" w:hAnsi="Arial"/>
          <w:sz w:val="18"/>
          <w:szCs w:val="18"/>
          <w:color w:val="auto"/>
        </w:rPr>
        <w:t>WHEREAS, the Parties have determined to amend certain provisions of the Business Combination Agreement and certain exhibits thereto in furtherance of the consummation of the Transactions.</w:t>
      </w:r>
    </w:p>
    <w:p>
      <w:pPr>
        <w:spacing w:after="0" w:line="170" w:lineRule="exact"/>
        <w:rPr>
          <w:sz w:val="20"/>
          <w:szCs w:val="20"/>
          <w:color w:val="auto"/>
        </w:rPr>
      </w:pPr>
    </w:p>
    <w:p>
      <w:pPr>
        <w:ind w:left="4" w:right="140" w:firstLine="991"/>
        <w:spacing w:after="0" w:line="342" w:lineRule="auto"/>
        <w:rPr>
          <w:sz w:val="20"/>
          <w:szCs w:val="20"/>
          <w:color w:val="auto"/>
        </w:rPr>
      </w:pPr>
      <w:r>
        <w:rPr>
          <w:rFonts w:ascii="Arial" w:cs="Arial" w:eastAsia="Arial" w:hAnsi="Arial"/>
          <w:sz w:val="16"/>
          <w:szCs w:val="16"/>
          <w:color w:val="auto"/>
        </w:rPr>
        <w:t>NOW, THEREFORE, in consideration of the covenants, promises and representations set forth herein and in the Business Combination Agreement, and for other good and valuable consideration, the receipt and sufficiency of which are hereby acknowledged, the Parties agree as follows:</w:t>
      </w:r>
    </w:p>
    <w:p>
      <w:pPr>
        <w:spacing w:after="0" w:line="16" w:lineRule="exact"/>
        <w:rPr>
          <w:sz w:val="20"/>
          <w:szCs w:val="20"/>
          <w:color w:val="auto"/>
        </w:rPr>
      </w:pPr>
    </w:p>
    <w:p>
      <w:pPr>
        <w:ind w:left="184" w:hanging="184"/>
        <w:spacing w:after="0"/>
        <w:tabs>
          <w:tab w:leader="none" w:pos="18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The Amendments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Addition of Exhibit B-3</w:t>
      </w:r>
      <w:r>
        <w:rPr>
          <w:rFonts w:ascii="Arial" w:cs="Arial" w:eastAsia="Arial" w:hAnsi="Arial"/>
          <w:sz w:val="18"/>
          <w:szCs w:val="18"/>
          <w:color w:val="auto"/>
        </w:rPr>
        <w:t xml:space="preserve">. Exhibit B to the Business Combination Agreement is hereby amended by adding a new Exhibit B-3 with Amendment No. 2 to the Sponsor and Supporting Sponsor Stockholders Lock-Up Agreement, dated as of the date hereof and attached to this Amendment No. 2 as </w:t>
      </w:r>
      <w:r>
        <w:rPr>
          <w:rFonts w:ascii="Arial" w:cs="Arial" w:eastAsia="Arial" w:hAnsi="Arial"/>
          <w:sz w:val="18"/>
          <w:szCs w:val="18"/>
          <w:u w:val="single" w:color="auto"/>
          <w:color w:val="auto"/>
        </w:rPr>
        <w:t>Annex I.</w:t>
      </w:r>
    </w:p>
    <w:p>
      <w:pPr>
        <w:spacing w:after="0" w:line="76"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Addition of Exhibit C-3</w:t>
      </w:r>
      <w:r>
        <w:rPr>
          <w:rFonts w:ascii="Arial" w:cs="Arial" w:eastAsia="Arial" w:hAnsi="Arial"/>
          <w:sz w:val="18"/>
          <w:szCs w:val="18"/>
          <w:color w:val="auto"/>
        </w:rPr>
        <w:t xml:space="preserve">. Exhibit C to the Business Combination Agreement is hereby amended by adding a new Exhibit C-3 with Amendment No. 2 to the Registration Rights Agreement, dated as of the date hereof and attached to this Amendment No. 2 as </w:t>
      </w:r>
      <w:r>
        <w:rPr>
          <w:rFonts w:ascii="Arial" w:cs="Arial" w:eastAsia="Arial" w:hAnsi="Arial"/>
          <w:sz w:val="18"/>
          <w:szCs w:val="18"/>
          <w:u w:val="single" w:color="auto"/>
          <w:color w:val="auto"/>
        </w:rPr>
        <w:t>Annex II.</w:t>
      </w:r>
    </w:p>
    <w:p>
      <w:pPr>
        <w:spacing w:after="0" w:line="62"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Replacement of Exhibit D</w:t>
      </w:r>
      <w:r>
        <w:rPr>
          <w:rFonts w:ascii="Arial" w:cs="Arial" w:eastAsia="Arial" w:hAnsi="Arial"/>
          <w:sz w:val="17"/>
          <w:szCs w:val="17"/>
          <w:color w:val="auto"/>
        </w:rPr>
        <w:t xml:space="preserve">. Exhibit D to the Business Combination Agreement is hereby replaced in its entirety with (a) a new Exhibit D-1 with the Amendment to the Parent Shareholders Acknowledgment, dated as of March 24, 2022 attached to this Amendment No. 2 as </w:t>
      </w:r>
      <w:r>
        <w:rPr>
          <w:rFonts w:ascii="Arial" w:cs="Arial" w:eastAsia="Arial" w:hAnsi="Arial"/>
          <w:sz w:val="17"/>
          <w:szCs w:val="17"/>
          <w:u w:val="single" w:color="auto"/>
          <w:color w:val="auto"/>
        </w:rPr>
        <w:t>Annex III</w:t>
      </w:r>
      <w:r>
        <w:rPr>
          <w:rFonts w:ascii="Arial" w:cs="Arial" w:eastAsia="Arial" w:hAnsi="Arial"/>
          <w:sz w:val="17"/>
          <w:szCs w:val="17"/>
          <w:color w:val="auto"/>
        </w:rPr>
        <w:t xml:space="preserve"> and (b) a new Exhibit D-2 with the Parent Shareholders Acknowledgment attached to this Amendment No. 2 as </w:t>
      </w:r>
      <w:r>
        <w:rPr>
          <w:rFonts w:ascii="Arial" w:cs="Arial" w:eastAsia="Arial" w:hAnsi="Arial"/>
          <w:sz w:val="17"/>
          <w:szCs w:val="17"/>
          <w:u w:val="single" w:color="auto"/>
          <w:color w:val="auto"/>
        </w:rPr>
        <w:t>Annex IV</w:t>
      </w:r>
      <w:r>
        <w:rPr>
          <w:rFonts w:ascii="Arial" w:cs="Arial" w:eastAsia="Arial" w:hAnsi="Arial"/>
          <w:sz w:val="17"/>
          <w:szCs w:val="17"/>
          <w:color w:val="auto"/>
        </w:rPr>
        <w:t>.</w:t>
      </w:r>
    </w:p>
    <w:p>
      <w:pPr>
        <w:spacing w:after="0" w:line="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Amendment to Recitals</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9" w:name="page10"/>
    <w:bookmarkEnd w:id="9"/>
    <w:p>
      <w:pPr>
        <w:ind w:right="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1.4.1 The fourth WHEREAS clause of the Recitals of the Business Combination Agreement is hereby amended and restated in its entirety to read as follows:</w:t>
      </w:r>
    </w:p>
    <w:p>
      <w:pPr>
        <w:spacing w:after="0" w:line="62" w:lineRule="exact"/>
        <w:rPr>
          <w:sz w:val="20"/>
          <w:szCs w:val="20"/>
          <w:color w:val="auto"/>
        </w:rPr>
      </w:pPr>
    </w:p>
    <w:p>
      <w:pPr>
        <w:ind w:left="980"/>
        <w:spacing w:after="0" w:line="253" w:lineRule="auto"/>
        <w:rPr>
          <w:sz w:val="20"/>
          <w:szCs w:val="20"/>
          <w:color w:val="auto"/>
        </w:rPr>
      </w:pPr>
      <w:r>
        <w:rPr>
          <w:rFonts w:ascii="Arial" w:cs="Arial" w:eastAsia="Arial" w:hAnsi="Arial"/>
          <w:sz w:val="18"/>
          <w:szCs w:val="18"/>
          <w:color w:val="auto"/>
        </w:rPr>
        <w:t>WHEREAS, concurrently with the execution of this Agreement, Gores Guggenheim Sponsor LLC, a Delaware limited liability company (“</w:t>
      </w:r>
      <w:r>
        <w:rPr>
          <w:rFonts w:ascii="Arial" w:cs="Arial" w:eastAsia="Arial" w:hAnsi="Arial"/>
          <w:sz w:val="18"/>
          <w:szCs w:val="18"/>
          <w:u w:val="single" w:color="auto"/>
          <w:color w:val="auto"/>
        </w:rPr>
        <w:t>Sponsor</w:t>
      </w:r>
      <w:r>
        <w:rPr>
          <w:rFonts w:ascii="Arial" w:cs="Arial" w:eastAsia="Arial" w:hAnsi="Arial"/>
          <w:sz w:val="18"/>
          <w:szCs w:val="18"/>
          <w:color w:val="auto"/>
        </w:rPr>
        <w:t>”), each independent director of GG (collectively, the “</w:t>
      </w:r>
      <w:r>
        <w:rPr>
          <w:rFonts w:ascii="Arial" w:cs="Arial" w:eastAsia="Arial" w:hAnsi="Arial"/>
          <w:sz w:val="18"/>
          <w:szCs w:val="18"/>
          <w:u w:val="single" w:color="auto"/>
          <w:color w:val="auto"/>
        </w:rPr>
        <w:t>Supporting Sponsor Stockholders</w:t>
      </w:r>
      <w:r>
        <w:rPr>
          <w:rFonts w:ascii="Arial" w:cs="Arial" w:eastAsia="Arial" w:hAnsi="Arial"/>
          <w:sz w:val="18"/>
          <w:szCs w:val="18"/>
          <w:color w:val="auto"/>
        </w:rPr>
        <w:t>”), GG, Parent and ListCo are entering into the lock-up agreement (as may be amended from time to time, the “</w:t>
      </w:r>
      <w:r>
        <w:rPr>
          <w:rFonts w:ascii="Arial" w:cs="Arial" w:eastAsia="Arial" w:hAnsi="Arial"/>
          <w:sz w:val="18"/>
          <w:szCs w:val="18"/>
          <w:u w:val="single" w:color="auto"/>
          <w:color w:val="auto"/>
        </w:rPr>
        <w:t>Sponsor and Supporting Sponsor Stockholders Lock-Up</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attached hereto as Exhibits B-1 and B-2, pursuant to which, among other things, each of Sponsor and the Supporting Sponsor Stockholders is agreeing to (a) support and vote in favor of all of the Transaction Proposals, (b) waive all adjustments to the conversion ratio set forth in GG’s Governing Documents with respect to its GG Class F Shares, (c) be bound by certain transfer restrictions with respect to their GG Shares and GG Warrants, as applicable, prior to Closing, (d) be bound by certain lock-up provisions during the lock-up period described in the Sponsor and Supporting Sponsor Stockholders Lock-Up Agreement with respect to the ListCo Class A ADSs issued pursuant to this Agreement, subject to the terms and conditions set forth in the Sponsor and Supporting Stockholders Lock-Up Agreement and (e) with respect to Sponsor only, the forfeiture of up to 1,540,835 GG Class F Shares under the circumstances specified therein;</w:t>
      </w:r>
    </w:p>
    <w:p>
      <w:pPr>
        <w:spacing w:after="0" w:line="84"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1.4.2 The eighth WHEREAS clause of the Recitals of the Business Combination Agreement is hereby amended and restated in its entirety to read as follows:</w:t>
      </w:r>
    </w:p>
    <w:p>
      <w:pPr>
        <w:spacing w:after="0" w:line="62" w:lineRule="exact"/>
        <w:rPr>
          <w:sz w:val="20"/>
          <w:szCs w:val="20"/>
          <w:color w:val="auto"/>
        </w:rPr>
      </w:pPr>
    </w:p>
    <w:p>
      <w:pPr>
        <w:ind w:left="980" w:right="160"/>
        <w:spacing w:after="0" w:line="259" w:lineRule="auto"/>
        <w:rPr>
          <w:sz w:val="20"/>
          <w:szCs w:val="20"/>
          <w:color w:val="auto"/>
        </w:rPr>
      </w:pPr>
      <w:r>
        <w:rPr>
          <w:rFonts w:ascii="Arial" w:cs="Arial" w:eastAsia="Arial" w:hAnsi="Arial"/>
          <w:sz w:val="18"/>
          <w:szCs w:val="18"/>
          <w:color w:val="auto"/>
        </w:rPr>
        <w:t>WHEREAS, concurrently with the execution of this Agreement, Snita and ListCo are entering into the VCC Preference Subscription Agreement pursuant to which, among other things, VCC is agreeing to subscribe for and accept, and ListCo is agreeing to issue to VCC, on the Closing Date, the VCC Preference Shares, on the terms and subject to the conditions set forth in the VCC Preference Subscription Agreement;</w:t>
      </w:r>
    </w:p>
    <w:p>
      <w:pPr>
        <w:spacing w:after="0" w:line="79"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1.4.3 The thirteenth WHEREAS clause of the Recitals of the Business Combination Agreement is hereby amended and restated in its entirety to read as follows:</w:t>
      </w:r>
    </w:p>
    <w:p>
      <w:pPr>
        <w:spacing w:after="0" w:line="62" w:lineRule="exact"/>
        <w:rPr>
          <w:sz w:val="20"/>
          <w:szCs w:val="20"/>
          <w:color w:val="auto"/>
        </w:rPr>
      </w:pPr>
    </w:p>
    <w:p>
      <w:pPr>
        <w:ind w:left="980" w:right="20"/>
        <w:spacing w:after="0" w:line="263" w:lineRule="auto"/>
        <w:rPr>
          <w:sz w:val="20"/>
          <w:szCs w:val="20"/>
          <w:color w:val="auto"/>
        </w:rPr>
      </w:pPr>
      <w:r>
        <w:rPr>
          <w:rFonts w:ascii="Arial" w:cs="Arial" w:eastAsia="Arial" w:hAnsi="Arial"/>
          <w:sz w:val="18"/>
          <w:szCs w:val="18"/>
          <w:color w:val="auto"/>
        </w:rPr>
        <w:t>WHEREAS, concurrently with the execution of this Agreement, Parent and the Parent Shareholders are entering into an acknowledgement agreement to the Parent Shareholders Agreement, attached hereto as Exhibit D-1 and Exhibit D-2, on the terms and subject to the conditions set forth therein; and</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Amendments to Article I</w:t>
      </w:r>
      <w:r>
        <w:rPr>
          <w:rFonts w:ascii="Arial" w:cs="Arial" w:eastAsia="Arial" w:hAnsi="Arial"/>
          <w:sz w:val="18"/>
          <w:szCs w:val="18"/>
          <w:color w:val="auto"/>
        </w:rPr>
        <w:t>.</w:t>
      </w:r>
    </w:p>
    <w:p>
      <w:pPr>
        <w:spacing w:after="0" w:line="11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1.5.1 Section 1.01 of the Business Combination Agreement is hereby amended to restate the definition of “VCC Preference Subscription Agreement” in its entirety as follows:</w:t>
      </w:r>
    </w:p>
    <w:p>
      <w:pPr>
        <w:spacing w:after="0" w:line="62"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VCC Preference Subscription Agreement</w:t>
      </w:r>
      <w:r>
        <w:rPr>
          <w:rFonts w:ascii="Arial" w:cs="Arial" w:eastAsia="Arial" w:hAnsi="Arial"/>
          <w:sz w:val="18"/>
          <w:szCs w:val="18"/>
          <w:color w:val="auto"/>
        </w:rPr>
        <w:t>” means that certain VCC Preference Subscription Agreement, dated as of September 27, 2021 by and among ListCo and Snita, as may be amended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0" w:name="page11"/>
    <w:bookmarkEnd w:id="10"/>
    <w:p>
      <w:pPr>
        <w:ind w:left="4"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 </w:t>
      </w:r>
      <w:r>
        <w:rPr>
          <w:rFonts w:ascii="Arial" w:cs="Arial" w:eastAsia="Arial" w:hAnsi="Arial"/>
          <w:sz w:val="18"/>
          <w:szCs w:val="18"/>
          <w:u w:val="single" w:color="auto"/>
          <w:color w:val="auto"/>
        </w:rPr>
        <w:t>Amendment to Section 4.04(e)</w:t>
      </w:r>
      <w:r>
        <w:rPr>
          <w:rFonts w:ascii="Arial" w:cs="Arial" w:eastAsia="Arial" w:hAnsi="Arial"/>
          <w:sz w:val="18"/>
          <w:szCs w:val="18"/>
          <w:color w:val="auto"/>
        </w:rPr>
        <w:t>. Section 4.04(e) of the Business Combination Agreement is hereby amended and restated in its entirety to read as follows:</w:t>
      </w:r>
    </w:p>
    <w:p>
      <w:pPr>
        <w:spacing w:after="0" w:line="62" w:lineRule="exact"/>
        <w:rPr>
          <w:sz w:val="20"/>
          <w:szCs w:val="20"/>
          <w:color w:val="auto"/>
        </w:rPr>
      </w:pPr>
    </w:p>
    <w:p>
      <w:pPr>
        <w:ind w:left="984" w:right="20"/>
        <w:spacing w:after="0" w:line="287" w:lineRule="auto"/>
        <w:rPr>
          <w:sz w:val="20"/>
          <w:szCs w:val="20"/>
          <w:color w:val="auto"/>
        </w:rPr>
      </w:pPr>
      <w:r>
        <w:rPr>
          <w:rFonts w:ascii="Arial" w:cs="Arial" w:eastAsia="Arial" w:hAnsi="Arial"/>
          <w:sz w:val="16"/>
          <w:szCs w:val="16"/>
          <w:color w:val="auto"/>
        </w:rPr>
        <w:t>As of (i) March 24, 2022, GG and ListCo have entered into the PIPE Subscription Agreements with PIPE Investors, pursuant to which, and on the terms and subject to the conditions of which, such PIPE Investors have agreed, in connection with the Transactions, to purchase ListCo Class A ADSs for a PIPE Investment equal to the PIPE Investment Amount, (ii) the date of this Agreement, GG, the Sponsor Insiders and ListCo have entered into the Sponsor Subscription Agreement, pursuant to which, and on the terms and subject to the conditions of which, the Sponsor Insiders have agreed, in connection with the Transactions, to purchase ListCo Class A ADSs for a Sponsor Investment equal to the Sponsor Investment Amount, (iii) the date of this Agreement, GG, VCC and ListCo have entered into the VCC PIPE Subscription Agreement, pursuant to which, and on the terms and subject to the conditions of which, VCC has agreed, in connection with the Transactions, to purchase ListCo Class A ADSs for a VCC PIPE Investment equal to the VCC PIPE Investment Amount and (iv) March 24, 2022, ListCo and Snita have entered into the VCC Preference Subscription Agreement, pursuant to which, on the terms and subject to the condition of which, Snita has agreed, in connection with the Transactions, to subscribe for VCC Preference Shares. The Subscription Agreements and the VCC Preference Subscription Agreement are in full force and effect with respect to, and binding on, ListCo and, to Parent’s knowledge, on each other party thereto, in accordance with their terms.</w:t>
      </w:r>
    </w:p>
    <w:p>
      <w:pPr>
        <w:spacing w:after="0" w:line="60"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Amendment to Section 5.04(c)</w:t>
      </w:r>
      <w:r>
        <w:rPr>
          <w:rFonts w:ascii="Arial" w:cs="Arial" w:eastAsia="Arial" w:hAnsi="Arial"/>
          <w:sz w:val="18"/>
          <w:szCs w:val="18"/>
          <w:color w:val="auto"/>
        </w:rPr>
        <w:t>. Section 5.04(c) of the Business Combination Agreement is hereby amended and restated in its entirety to read as follows:</w:t>
      </w:r>
    </w:p>
    <w:p>
      <w:pPr>
        <w:spacing w:after="0" w:line="62" w:lineRule="exact"/>
        <w:rPr>
          <w:sz w:val="20"/>
          <w:szCs w:val="20"/>
          <w:color w:val="auto"/>
        </w:rPr>
      </w:pPr>
    </w:p>
    <w:p>
      <w:pPr>
        <w:ind w:left="984"/>
        <w:spacing w:after="0" w:line="269" w:lineRule="auto"/>
        <w:rPr>
          <w:sz w:val="20"/>
          <w:szCs w:val="20"/>
          <w:color w:val="auto"/>
        </w:rPr>
      </w:pPr>
      <w:r>
        <w:rPr>
          <w:rFonts w:ascii="Arial" w:cs="Arial" w:eastAsia="Arial" w:hAnsi="Arial"/>
          <w:sz w:val="17"/>
          <w:szCs w:val="17"/>
          <w:color w:val="auto"/>
        </w:rPr>
        <w:t>As of (i) March 24, 2022, GG and ListCo have entered into the PIPE Subscription Agreements with PIPE Investors, pursuant to which, and on the terms and subject to the conditions of which, such PIPE Investors have agreed, in connection with the Transactions, to purchase ListCo Class A ADSs for a PIPE Investment equal to the PIPE Investment Amount, (ii) the date of this Agreement, GG, the Sponsor Insiders and ListCo have entered into a Sponsor Subscription Agreement, pursuant to which, and on the terms and subject to the conditions of which, the Sponsor Insiders have agreed, in connection with the Transactions, to purchase ListCo Class A ADSs for a Sponsor Investment equal to the Sponsor Investment Amount and (iii) the date of this Agreement, GG, VCC and ListCo have entered into a VCC PIPE Subscription Agreement, pursuant to which, and on the terms and subject to the conditions of which, VCC has agreed, in connection with the Transactions, to purchase ListCo Class A ADSs for a VCC PIPE Investment equal to the VCC PIPE Investment Amount. The Subscription Agreements are in full force and effect with respect to, and binding on, GG and, to the knowledge of GG, on each PIPE Investor party thereto, in accordance with their terms.</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This Amendment No. 2 shall be effective as of the date first written above. For the avoidance of any doubt, all references:</w:t>
      </w:r>
    </w:p>
    <w:p>
      <w:pPr>
        <w:spacing w:after="0" w:line="35" w:lineRule="exact"/>
        <w:rPr>
          <w:sz w:val="20"/>
          <w:szCs w:val="20"/>
          <w:color w:val="auto"/>
        </w:rPr>
      </w:pPr>
    </w:p>
    <w:p>
      <w:pPr>
        <w:ind w:left="4" w:right="60" w:hanging="4"/>
        <w:spacing w:after="0" w:line="271" w:lineRule="auto"/>
        <w:tabs>
          <w:tab w:leader="none" w:pos="249"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Business Combination Agreement to “this Agreement” and (b) to the Business Combination Agreement in any other agreements, exhibits and schedules will, in each case, be deemed to be references to the Business Combination Agreement as amended by this Amendment No. 2. Except as amended hereby, the Business Combination Agreement will continue in full force and effect and shall be otherwise unaffected hereby. This Amendment No. 2 shall be binding upon and shall inure to the benefit of the Parties and their respective successors and assigns. This Amendment No. 2 only may be amended by the Parties by execution of an instrument in writing signed on behalf of each of the Parties.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11" w:name="page12"/>
    <w:bookmarkEnd w:id="11"/>
    <w:p>
      <w:pPr>
        <w:ind w:left="4" w:hanging="4"/>
        <w:spacing w:after="0" w:line="286" w:lineRule="auto"/>
        <w:tabs>
          <w:tab w:leader="none" w:pos="184"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r>
        <w:rPr>
          <w:rFonts w:ascii="Arial" w:cs="Arial" w:eastAsia="Arial" w:hAnsi="Arial"/>
          <w:sz w:val="17"/>
          <w:szCs w:val="17"/>
          <w:color w:val="auto"/>
        </w:rPr>
        <w:t xml:space="preserve">. Sections 1.02 (Construction); 11.03 (Assignment); 11.06 (Governing Law); 11.07 (Captions; Counterparts); 11.09 (Entire Agreement); 11.10 (Amendments); 11.11 (Severability); 11.12 (Jurisdiction); 11.13 (Waiver of Jury Trial) and 11.14 (Enforcement) of the Business Combination Agreement are incorporated herein and shall apply to this Amendment No. 2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65" w:lineRule="exact"/>
        <w:rPr>
          <w:sz w:val="20"/>
          <w:szCs w:val="20"/>
          <w:color w:val="auto"/>
        </w:rPr>
      </w:pPr>
    </w:p>
    <w:p>
      <w:pPr>
        <w:jc w:val="center"/>
        <w:ind w:right="-43"/>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Amendment No. 2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GORES GUGGENHEIM,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Mark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Mark Stone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PAH UK MERGER SUB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Jan Mikael Alkmark</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POLESTAR AUTOMOTIVE HOLDING LIMITED</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Carla De Geyseleer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Carla De Geyseleer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POLESTAR AUTOMOTIVE (SINGAPORE) PTE. LTD.</w:t>
      </w: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Alex 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Alex Ang</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Jan Mikael Alkmark</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POLESTAR HOLDING AB (SWEDEN)</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Johan Malmqvist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Johan Malmqvist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Anna Rudensjö</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Anna Rudensjö</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2 to Business Combination Agreement</w:t>
      </w:r>
      <w:r>
        <w:rPr>
          <w:rFonts w:ascii="Arial" w:cs="Arial" w:eastAsia="Arial" w:hAnsi="Arial"/>
          <w:sz w:val="18"/>
          <w:szCs w:val="18"/>
          <w:color w:val="auto"/>
        </w:rPr>
        <w:t>]</w:t>
      </w:r>
    </w:p>
    <w:p>
      <w:pPr>
        <w:sectPr>
          <w:pgSz w:w="11900" w:h="16838" w:orient="portrait"/>
          <w:cols w:equalWidth="0" w:num="1">
            <w:col w:w="10560"/>
          </w:cols>
          <w:pgMar w:left="880" w:top="274" w:right="459" w:bottom="1440" w:gutter="0" w:footer="0" w:header="0"/>
        </w:sectPr>
      </w:pPr>
    </w:p>
    <w:bookmarkStart w:id="13" w:name="page14"/>
    <w:bookmarkEnd w:id="13"/>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AUTOMOTIVE HOLDING UK LIMITED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Mikael Alkmark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2 to Business Combination Agreement</w:t>
      </w:r>
      <w:r>
        <w:rPr>
          <w:rFonts w:ascii="Arial" w:cs="Arial" w:eastAsia="Arial" w:hAnsi="Arial"/>
          <w:sz w:val="18"/>
          <w:szCs w:val="18"/>
          <w:color w:val="auto"/>
        </w:rPr>
        <w:t>]</w:t>
      </w:r>
    </w:p>
    <w:p>
      <w:pPr>
        <w:sectPr>
          <w:pgSz w:w="11900" w:h="16838" w:orient="portrait"/>
          <w:cols w:equalWidth="0" w:num="1">
            <w:col w:w="9960"/>
          </w:cols>
          <w:pgMar w:left="1440" w:top="270" w:right="4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2 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Sponsor and Supporting Sponsor Stockholders Lock-Up Agreement</w:t>
      </w:r>
    </w:p>
    <w:p>
      <w:pPr>
        <w:sectPr>
          <w:pgSz w:w="11900" w:h="16838" w:orient="portrait"/>
          <w:cols w:equalWidth="0" w:num="1">
            <w:col w:w="9019"/>
          </w:cols>
          <w:pgMar w:left="1440" w:top="270" w:right="1440"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NO. 2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SPONSOR AND SUPPORTING SPONSOR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LOCK-UP AGREEMENT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AMENDMENT NO. 2 TO THE SPONSOR AND SUPPORTING SPONSOR STOCKHOLDERS LOCK-UP AGREEMENT (this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Amendment No. 2</w:t>
      </w:r>
      <w:r>
        <w:rPr>
          <w:rFonts w:ascii="Arial" w:cs="Arial" w:eastAsia="Arial" w:hAnsi="Arial"/>
          <w:sz w:val="17"/>
          <w:szCs w:val="17"/>
          <w:color w:val="auto"/>
        </w:rPr>
        <w:t>”), dated as of March 24, 2022, is made by and among Gores Guggenheim Sponsor LLC, 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(“Sponsor”), Gores Guggenheim, Inc., a Delaware corporation (“GG”), Polestar Automotive Holding Limited, a Hong Kong Company (“</w:t>
      </w:r>
      <w:r>
        <w:rPr>
          <w:rFonts w:ascii="Arial" w:cs="Arial" w:eastAsia="Arial" w:hAnsi="Arial"/>
          <w:sz w:val="17"/>
          <w:szCs w:val="17"/>
          <w:u w:val="single" w:color="auto"/>
          <w:color w:val="auto"/>
        </w:rPr>
        <w:t>Parent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Polestar Automotive Holding UK Limited, a limited company incorporated under the laws of England and Wales and a direct wholly owned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Parent (“ListCo”), and each of the undersigned directors of GG (each a “</w:t>
      </w:r>
      <w:r>
        <w:rPr>
          <w:rFonts w:ascii="Arial" w:cs="Arial" w:eastAsia="Arial" w:hAnsi="Arial"/>
          <w:sz w:val="16"/>
          <w:szCs w:val="16"/>
          <w:u w:val="single" w:color="auto"/>
          <w:color w:val="auto"/>
        </w:rPr>
        <w:t>Supporting Sponsor Stockholder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Supporting Sponsor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Stockholders</w:t>
      </w:r>
      <w:r>
        <w:rPr>
          <w:rFonts w:ascii="Arial" w:cs="Arial" w:eastAsia="Arial" w:hAnsi="Arial"/>
          <w:sz w:val="16"/>
          <w:szCs w:val="16"/>
          <w:color w:val="auto"/>
        </w:rPr>
        <w:t>”) and amends that certain Sponsor and Supporting Sponsor Stockholders Lock-Up Agreement, dated as of September 27, 2021, by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among Sponsor, GG, Parent, ListCo and the Supporting Sponsor Stockholders (the “Parties”), as amended by that certain Amendment No. 1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Sponsor and Supporting Sponsor Stockholders Lock-Up Agreement, dated as of December 17, 2021, by and among the Parties (“</w:t>
      </w:r>
      <w:r>
        <w:rPr>
          <w:rFonts w:ascii="Arial" w:cs="Arial" w:eastAsia="Arial" w:hAnsi="Arial"/>
          <w:sz w:val="16"/>
          <w:szCs w:val="16"/>
          <w:u w:val="single" w:color="auto"/>
          <w:color w:val="auto"/>
        </w:rPr>
        <w:t>Amendment No. 1</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such Lock-Up Agreement as amended, the “</w:t>
      </w:r>
      <w:r>
        <w:rPr>
          <w:rFonts w:ascii="Arial" w:cs="Arial" w:eastAsia="Arial" w:hAnsi="Arial"/>
          <w:sz w:val="16"/>
          <w:szCs w:val="16"/>
          <w:u w:val="single" w:color="auto"/>
          <w:color w:val="auto"/>
        </w:rPr>
        <w:t>Lock-Up Agreement</w:t>
      </w:r>
      <w:r>
        <w:rPr>
          <w:rFonts w:ascii="Arial" w:cs="Arial" w:eastAsia="Arial" w:hAnsi="Arial"/>
          <w:sz w:val="16"/>
          <w:szCs w:val="16"/>
          <w:color w:val="auto"/>
        </w:rPr>
        <w:t>”). Capitalized terms used but not otherwise defined herein shall have the meanings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ascribed to such terms in the Business Combination Agreement (as defined in the Lock-Up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Parties entered into the Lock-Up Agreement on September 27, 2021 and Amendment No. 1 on December 17, 2021; and</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Parties have determined to amend certain provisions of the Lock-Up Agreement.</w:t>
      </w:r>
    </w:p>
    <w:p>
      <w:pPr>
        <w:spacing w:after="0" w:line="225"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NOW THEREFORE, in consideration of the covenants and agreements contained herein, and certain other good and valuable consideration, the receipt and sufficiency of which are hereby acknowledged, the parties hereto, intending to be legally bound, hereby agree as follows:</w:t>
      </w:r>
    </w:p>
    <w:p>
      <w:pPr>
        <w:spacing w:after="0" w:line="16" w:lineRule="exact"/>
        <w:rPr>
          <w:sz w:val="20"/>
          <w:szCs w:val="20"/>
          <w:color w:val="auto"/>
        </w:rPr>
      </w:pPr>
    </w:p>
    <w:p>
      <w:pPr>
        <w:ind w:left="1160" w:hanging="173"/>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The Amendments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 The third recital of the Lock-Up Agreement is hereby replaced in its entirety as follows:</w:t>
      </w:r>
    </w:p>
    <w:p>
      <w:pPr>
        <w:spacing w:after="0" w:line="117" w:lineRule="exact"/>
        <w:rPr>
          <w:sz w:val="20"/>
          <w:szCs w:val="20"/>
          <w:color w:val="auto"/>
        </w:rPr>
      </w:pPr>
    </w:p>
    <w:p>
      <w:pPr>
        <w:ind w:left="1980" w:right="60"/>
        <w:spacing w:after="0" w:line="273" w:lineRule="auto"/>
        <w:rPr>
          <w:sz w:val="20"/>
          <w:szCs w:val="20"/>
          <w:color w:val="auto"/>
        </w:rPr>
      </w:pPr>
      <w:r>
        <w:rPr>
          <w:rFonts w:ascii="Arial" w:cs="Arial" w:eastAsia="Arial" w:hAnsi="Arial"/>
          <w:sz w:val="17"/>
          <w:szCs w:val="17"/>
          <w:color w:val="auto"/>
        </w:rPr>
        <w:t>WHEREAS, the Business Combination Agreement contemplates that the Parties will enter into this Agreement concurrently with the entry into the Business Combination Agreement by the parties thereto, pursuant to which, among other things, each of Sponsor and each Supporting Sponsor Stockholder is agreeing to (a) support and vote in favor of all of the Transaction Proposals, (b) waive all adjustments to the conversion ratio set forth in GG’s Governing Documents with respect to its GG Class F Shares, (c) be bound by certain transfer restrictions with respect to their GG Shares and GG Warrants, as applicable, prior to Closing, (d) be bound by certain lock-up provisions during</w:t>
      </w:r>
    </w:p>
    <w:p>
      <w:pPr>
        <w:sectPr>
          <w:pgSz w:w="11900" w:h="16838" w:orient="portrait"/>
          <w:cols w:equalWidth="0" w:num="1">
            <w:col w:w="11000"/>
          </w:cols>
          <w:pgMar w:left="440" w:top="270" w:right="459" w:bottom="1440" w:gutter="0" w:footer="0" w:header="0"/>
        </w:sectPr>
      </w:pPr>
    </w:p>
    <w:bookmarkStart w:id="16" w:name="page17"/>
    <w:bookmarkEnd w:id="16"/>
    <w:p>
      <w:pPr>
        <w:ind w:left="1980" w:right="2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Lock-Up Period (as defined herein) with respect to the ListCo Class A ADSs issued pursuant to the Business Combination Agreement in respect of the GG Class F Shares held by the Sponsor or the Supporting Sponsor Stockholders immediately prior to the Closing (the “</w:t>
      </w:r>
      <w:r>
        <w:rPr>
          <w:rFonts w:ascii="Arial" w:cs="Arial" w:eastAsia="Arial" w:hAnsi="Arial"/>
          <w:sz w:val="16"/>
          <w:szCs w:val="16"/>
          <w:u w:val="single" w:color="auto"/>
          <w:color w:val="auto"/>
        </w:rPr>
        <w:t>ListCo Covered Shares</w:t>
      </w:r>
      <w:r>
        <w:rPr>
          <w:rFonts w:ascii="Arial" w:cs="Arial" w:eastAsia="Arial" w:hAnsi="Arial"/>
          <w:sz w:val="16"/>
          <w:szCs w:val="16"/>
          <w:color w:val="auto"/>
        </w:rPr>
        <w:t>”), subject to the terms and conditions set forth herein and</w:t>
      </w:r>
    </w:p>
    <w:p>
      <w:pPr>
        <w:spacing w:after="0" w:line="2" w:lineRule="exact"/>
        <w:rPr>
          <w:sz w:val="20"/>
          <w:szCs w:val="20"/>
          <w:color w:val="auto"/>
        </w:rPr>
      </w:pPr>
    </w:p>
    <w:p>
      <w:pPr>
        <w:ind w:left="1980" w:right="440" w:hanging="1"/>
        <w:spacing w:after="0" w:line="260" w:lineRule="auto"/>
        <w:tabs>
          <w:tab w:leader="none" w:pos="2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respect to Sponsor only, the forfeiture of up to 1,540,835 GG Class F Shares under the circumstances specified herein.</w:t>
      </w:r>
    </w:p>
    <w:p>
      <w:pPr>
        <w:spacing w:after="0" w:line="7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b. Section 4 is replaced in its entirety as follows:</w:t>
      </w:r>
    </w:p>
    <w:p>
      <w:pPr>
        <w:spacing w:after="0" w:line="117" w:lineRule="exact"/>
        <w:rPr>
          <w:sz w:val="20"/>
          <w:szCs w:val="20"/>
          <w:color w:val="auto"/>
        </w:rPr>
      </w:pPr>
    </w:p>
    <w:p>
      <w:pPr>
        <w:ind w:left="1980"/>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Surrender of Shares</w:t>
      </w:r>
      <w:r>
        <w:rPr>
          <w:rFonts w:ascii="Arial" w:cs="Arial" w:eastAsia="Arial" w:hAnsi="Arial"/>
          <w:sz w:val="18"/>
          <w:szCs w:val="18"/>
          <w:color w:val="auto"/>
        </w:rPr>
        <w:t>. “Sponsor agrees that, subject to the satisfaction or waiver of each of the conditions to Closing set forth in Section 9.01 and 9.03 of the Business Combination Agreement, immediately prior to the Closing, Sponsor shall surrender 1,540,835 shares of GG Class F Shares (the “</w:t>
      </w:r>
      <w:r>
        <w:rPr>
          <w:rFonts w:ascii="Arial" w:cs="Arial" w:eastAsia="Arial" w:hAnsi="Arial"/>
          <w:sz w:val="18"/>
          <w:szCs w:val="18"/>
          <w:u w:val="single" w:color="auto"/>
          <w:color w:val="auto"/>
        </w:rPr>
        <w:t>Surrendered Shares</w:t>
      </w:r>
      <w:r>
        <w:rPr>
          <w:rFonts w:ascii="Arial" w:cs="Arial" w:eastAsia="Arial" w:hAnsi="Arial"/>
          <w:sz w:val="18"/>
          <w:szCs w:val="18"/>
          <w:color w:val="auto"/>
        </w:rPr>
        <w:t>”), which Surrendered Shares will be cancelled by GG.”</w:t>
      </w:r>
    </w:p>
    <w:p>
      <w:pPr>
        <w:spacing w:after="0" w:line="187" w:lineRule="exact"/>
        <w:rPr>
          <w:sz w:val="20"/>
          <w:szCs w:val="20"/>
          <w:color w:val="auto"/>
        </w:rPr>
      </w:pPr>
    </w:p>
    <w:p>
      <w:pPr>
        <w:ind w:left="1160" w:hanging="173"/>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Effect of Amendment</w:t>
      </w:r>
      <w:r>
        <w:rPr>
          <w:rFonts w:ascii="Arial" w:cs="Arial" w:eastAsia="Arial" w:hAnsi="Arial"/>
          <w:sz w:val="16"/>
          <w:szCs w:val="16"/>
          <w:color w:val="auto"/>
        </w:rPr>
        <w:t>. This Amendment No. 2 shall be effective as of the date first written above. For the avoidance of any doubt, all</w:t>
      </w:r>
    </w:p>
    <w:p>
      <w:pPr>
        <w:spacing w:after="0" w:line="46" w:lineRule="exact"/>
        <w:rPr>
          <w:rFonts w:ascii="Arial" w:cs="Arial" w:eastAsia="Arial" w:hAnsi="Arial"/>
          <w:sz w:val="16"/>
          <w:szCs w:val="16"/>
          <w:color w:val="auto"/>
        </w:rPr>
      </w:pPr>
    </w:p>
    <w:p>
      <w:pPr>
        <w:ind w:right="100"/>
        <w:spacing w:after="0" w:line="253" w:lineRule="auto"/>
        <w:rPr>
          <w:rFonts w:ascii="Arial" w:cs="Arial" w:eastAsia="Arial" w:hAnsi="Arial"/>
          <w:sz w:val="16"/>
          <w:szCs w:val="16"/>
          <w:color w:val="auto"/>
        </w:rPr>
      </w:pPr>
      <w:r>
        <w:rPr>
          <w:rFonts w:ascii="Arial" w:cs="Arial" w:eastAsia="Arial" w:hAnsi="Arial"/>
          <w:sz w:val="18"/>
          <w:szCs w:val="18"/>
          <w:color w:val="auto"/>
        </w:rPr>
        <w:t>references: (a) in the Lock-Up Agreement to “this Agreement” and (b) to the Lock-Up Agreement in any other agreements, exhibits and schedules will, in each case, be deemed to be references to the Lock-Up Agreement as amended by this Amendment No. 2. Except as amended hereby, the Lock-Up Agreement will continue in full force and effect and shall be otherwise unaffected hereby. This Amendment No. 2 shall be binding upon and shall inure to the benefit of the Parties and their respective successors and assigns. This Amendment No. 2 only may be amended by the Parties by execution of an instrument in writing signed on behalf of each of the Parties.</w:t>
      </w:r>
    </w:p>
    <w:p>
      <w:pPr>
        <w:spacing w:after="0" w:line="190" w:lineRule="exact"/>
        <w:rPr>
          <w:rFonts w:ascii="Arial" w:cs="Arial" w:eastAsia="Arial" w:hAnsi="Arial"/>
          <w:sz w:val="16"/>
          <w:szCs w:val="16"/>
          <w:color w:val="auto"/>
        </w:rPr>
      </w:pPr>
    </w:p>
    <w:p>
      <w:pPr>
        <w:ind w:right="20" w:firstLine="987"/>
        <w:spacing w:after="0" w:line="286" w:lineRule="auto"/>
        <w:tabs>
          <w:tab w:leader="none" w:pos="1171"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xml:space="preserve">. Sections 1.02 (Construction); 11.03 (Assignment); 11.06 (Governing Law); 11.07 (Captions; Counterparts); 11.09 (Entire Agreement); 11.10 (Amendments); 11.11 (Severability); 11.12 (Jurisdiction); 11.13 (Waiver of Jury Trial) and 11.14 (Enforcement) of the Business Combination Agreement are incorporated herein and shall apply to this Amendment No. 2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7" w:name="page18"/>
    <w:bookmarkEnd w:id="1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each of the Parties has caused this Amendment No. 2 to be duly executed on its behalf as of the day and year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GORES GUGGENHEIM SPONSOR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GG SPONSOR,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AEG Holdings,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Alec Gores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Alec Gores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Chairman</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GORES GUGGENHEIM SPONSOR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GGP SPONSOR HOLDINGS,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Rosenfield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Andrew Rosenfield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GORES GUGGENHEIM,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Mark Stone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2 to Sponsor and Supporting Sponsor Stockholders Lock-Up Agreement</w:t>
      </w:r>
      <w:r>
        <w:rPr>
          <w:rFonts w:ascii="Arial" w:cs="Arial" w:eastAsia="Arial" w:hAnsi="Arial"/>
          <w:sz w:val="18"/>
          <w:szCs w:val="18"/>
          <w:color w:val="auto"/>
        </w:rPr>
        <w:t>]</w:t>
      </w:r>
    </w:p>
    <w:p>
      <w:pPr>
        <w:sectPr>
          <w:pgSz w:w="11900" w:h="16838" w:orient="portrait"/>
          <w:cols w:equalWidth="0" w:num="1">
            <w:col w:w="10740"/>
          </w:cols>
          <w:pgMar w:left="440" w:top="270" w:right="719" w:bottom="1440" w:gutter="0" w:footer="0" w:header="0"/>
        </w:sectPr>
      </w:pPr>
    </w:p>
    <w:bookmarkStart w:id="18" w:name="page19"/>
    <w:bookmarkEnd w:id="1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AUTOMOTIVE HOLDING LIMITED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Carla De Geyseleer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Carla De Geyseleer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Jan Mikael Alkmark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2 to Sponsor and Supporting Sponsor Stockholders Lock-Up Agreement</w:t>
      </w:r>
      <w:r>
        <w:rPr>
          <w:rFonts w:ascii="Arial" w:cs="Arial" w:eastAsia="Arial" w:hAnsi="Arial"/>
          <w:sz w:val="18"/>
          <w:szCs w:val="18"/>
          <w:color w:val="auto"/>
        </w:rPr>
        <w:t>]</w:t>
      </w:r>
    </w:p>
    <w:p>
      <w:pPr>
        <w:sectPr>
          <w:pgSz w:w="11900" w:h="16838" w:orient="portrait"/>
          <w:cols w:equalWidth="0" w:num="1">
            <w:col w:w="9960"/>
          </w:cols>
          <w:pgMar w:left="1440" w:top="270"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SUPPORTING SPONSOR STOCKHOLDER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Elizabeth Marcellino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Elizabeth Marcellino</w:t>
      </w:r>
    </w:p>
    <w:p>
      <w:pPr>
        <w:spacing w:after="0" w:line="225"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2 to Sponsor and Supporting Sponsor Stockholders Lock-Up Agreement</w:t>
      </w: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SUPPORTING SPONSOR STOCKHOLDER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Nancy Tellem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Nancy Tellem</w:t>
      </w:r>
    </w:p>
    <w:p>
      <w:pPr>
        <w:spacing w:after="0" w:line="225"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2 to Sponsor and Supporting Sponsor Stockholders Lock-Up Agreement</w:t>
      </w: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SUPPORTING SPONSOR STOCKHOLDER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Randall Bort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Randall Bort</w:t>
      </w:r>
    </w:p>
    <w:p>
      <w:pPr>
        <w:spacing w:after="0" w:line="225"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2 to Sponsor and Supporting Sponsor Stockholders Lock-Up Agreement</w:t>
      </w: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2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Registration Rights Agreement</w:t>
      </w:r>
    </w:p>
    <w:p>
      <w:pPr>
        <w:sectPr>
          <w:pgSz w:w="11900" w:h="16838" w:orient="portrait"/>
          <w:cols w:equalWidth="0" w:num="1">
            <w:col w:w="9019"/>
          </w:cols>
          <w:pgMar w:left="1440" w:top="270" w:right="1440"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2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REGISTRATION RIGHTS AGREEMENT</w:t>
      </w:r>
    </w:p>
    <w:p>
      <w:pPr>
        <w:spacing w:after="0" w:line="211" w:lineRule="exact"/>
        <w:rPr>
          <w:sz w:val="20"/>
          <w:szCs w:val="20"/>
          <w:color w:val="auto"/>
        </w:rPr>
      </w:pPr>
    </w:p>
    <w:p>
      <w:pPr>
        <w:ind w:firstLine="440"/>
        <w:spacing w:after="0" w:line="220" w:lineRule="exact"/>
        <w:rPr>
          <w:sz w:val="20"/>
          <w:szCs w:val="20"/>
          <w:color w:val="auto"/>
        </w:rPr>
      </w:pPr>
      <w:r>
        <w:rPr>
          <w:rFonts w:ascii="Arial" w:cs="Arial" w:eastAsia="Arial" w:hAnsi="Arial"/>
          <w:sz w:val="17"/>
          <w:szCs w:val="17"/>
          <w:color w:val="auto"/>
        </w:rPr>
        <w:t>This AMENDMENT NO. 2 TO THE REGISTRATION RIGHTS AGREEMENT (this “</w:t>
      </w:r>
      <w:r>
        <w:rPr>
          <w:rFonts w:ascii="Arial" w:cs="Arial" w:eastAsia="Arial" w:hAnsi="Arial"/>
          <w:sz w:val="17"/>
          <w:szCs w:val="17"/>
          <w:u w:val="single" w:color="auto"/>
          <w:color w:val="auto"/>
        </w:rPr>
        <w:t>Amendment No. 2</w:t>
      </w:r>
      <w:r>
        <w:rPr>
          <w:rFonts w:ascii="Arial" w:cs="Arial" w:eastAsia="Arial" w:hAnsi="Arial"/>
          <w:sz w:val="17"/>
          <w:szCs w:val="17"/>
          <w:color w:val="auto"/>
        </w:rPr>
        <w:t>”), dated as of March 24, 2022, is made by and among (a) Polestar Automotive Holding UK Limited, a limited company organized under the laws of England and Wales (the “</w:t>
      </w:r>
      <w:r>
        <w:rPr>
          <w:rFonts w:ascii="Arial" w:cs="Arial" w:eastAsia="Arial" w:hAnsi="Arial"/>
          <w:sz w:val="17"/>
          <w:szCs w:val="17"/>
          <w:u w:val="single" w:color="auto"/>
          <w:color w:val="auto"/>
        </w:rPr>
        <w:t>Company</w:t>
      </w:r>
      <w:r>
        <w:rPr>
          <w:rFonts w:ascii="Arial" w:cs="Arial" w:eastAsia="Arial" w:hAnsi="Arial"/>
          <w:sz w:val="17"/>
          <w:szCs w:val="17"/>
          <w:color w:val="auto"/>
        </w:rPr>
        <w:t>”), (b) Polestar Automotive Holding Limited, a Hong Kong incorporated company (“</w:t>
      </w:r>
      <w:r>
        <w:rPr>
          <w:rFonts w:ascii="Arial" w:cs="Arial" w:eastAsia="Arial" w:hAnsi="Arial"/>
          <w:sz w:val="17"/>
          <w:szCs w:val="17"/>
          <w:u w:val="single" w:color="auto"/>
          <w:color w:val="auto"/>
        </w:rPr>
        <w:t>Parent</w:t>
      </w:r>
      <w:r>
        <w:rPr>
          <w:rFonts w:ascii="Arial" w:cs="Arial" w:eastAsia="Arial" w:hAnsi="Arial"/>
          <w:sz w:val="17"/>
          <w:szCs w:val="17"/>
          <w:color w:val="auto"/>
        </w:rPr>
        <w:t>”), (c) Zibo High-Tech Industrial Investment Co., Ltd., Zibo Financial Holding Group Co., Ltd, Chongqing Liangjiang (</w:t>
      </w:r>
      <w:r>
        <w:rPr>
          <w:rFonts w:ascii="SimSun" w:cs="SimSun" w:eastAsia="SimSun" w:hAnsi="SimSun"/>
          <w:sz w:val="15"/>
          <w:szCs w:val="15"/>
          <w:color w:val="auto"/>
        </w:rPr>
        <w:t>重庆承星股权投资基金合伙企业（有限合伙）</w:t>
      </w:r>
      <w:r>
        <w:rPr>
          <w:rFonts w:ascii="Arial" w:cs="Arial" w:eastAsia="Arial" w:hAnsi="Arial"/>
          <w:sz w:val="17"/>
          <w:szCs w:val="17"/>
          <w:color w:val="auto"/>
        </w:rPr>
        <w:t>), Northpole GLY 1 LP, GLY New Mobility 1. LP, SNITA Holding B.V. (“</w:t>
      </w:r>
      <w:r>
        <w:rPr>
          <w:rFonts w:ascii="Arial" w:cs="Arial" w:eastAsia="Arial" w:hAnsi="Arial"/>
          <w:sz w:val="17"/>
          <w:szCs w:val="17"/>
          <w:u w:val="single" w:color="auto"/>
          <w:color w:val="auto"/>
        </w:rPr>
        <w:t>Snita</w:t>
      </w:r>
      <w:r>
        <w:rPr>
          <w:rFonts w:ascii="Arial" w:cs="Arial" w:eastAsia="Arial" w:hAnsi="Arial"/>
          <w:sz w:val="17"/>
          <w:szCs w:val="17"/>
          <w:color w:val="auto"/>
        </w:rPr>
        <w:t>”), PSINV AB, PSD Investment Limited (collectively, the “</w:t>
      </w:r>
      <w:r>
        <w:rPr>
          <w:rFonts w:ascii="Arial" w:cs="Arial" w:eastAsia="Arial" w:hAnsi="Arial"/>
          <w:sz w:val="17"/>
          <w:szCs w:val="17"/>
          <w:u w:val="single" w:color="auto"/>
          <w:color w:val="auto"/>
        </w:rPr>
        <w:t>Parent Holders</w:t>
      </w:r>
      <w:r>
        <w:rPr>
          <w:rFonts w:ascii="Arial" w:cs="Arial" w:eastAsia="Arial" w:hAnsi="Arial"/>
          <w:sz w:val="17"/>
          <w:szCs w:val="17"/>
          <w:color w:val="auto"/>
        </w:rPr>
        <w:t>”) and (d) Gores Guggenheim Sponsor LLC, a Delaware limited liability company (the “</w:t>
      </w:r>
      <w:r>
        <w:rPr>
          <w:rFonts w:ascii="Arial" w:cs="Arial" w:eastAsia="Arial" w:hAnsi="Arial"/>
          <w:sz w:val="17"/>
          <w:szCs w:val="17"/>
          <w:u w:val="single" w:color="auto"/>
          <w:color w:val="auto"/>
        </w:rPr>
        <w:t>Sponsor</w:t>
      </w:r>
      <w:r>
        <w:rPr>
          <w:rFonts w:ascii="Arial" w:cs="Arial" w:eastAsia="Arial" w:hAnsi="Arial"/>
          <w:sz w:val="17"/>
          <w:szCs w:val="17"/>
          <w:color w:val="auto"/>
        </w:rPr>
        <w:t>”), Randall Bort, Elizabeth Marcellino and Nancy Tellem (collectively, the “</w:t>
      </w:r>
      <w:r>
        <w:rPr>
          <w:rFonts w:ascii="Arial" w:cs="Arial" w:eastAsia="Arial" w:hAnsi="Arial"/>
          <w:sz w:val="17"/>
          <w:szCs w:val="17"/>
          <w:u w:val="single" w:color="auto"/>
          <w:color w:val="auto"/>
        </w:rPr>
        <w:t>Gores Holders</w:t>
      </w:r>
      <w:r>
        <w:rPr>
          <w:rFonts w:ascii="Arial" w:cs="Arial" w:eastAsia="Arial" w:hAnsi="Arial"/>
          <w:sz w:val="17"/>
          <w:szCs w:val="17"/>
          <w:color w:val="auto"/>
        </w:rPr>
        <w:t>,” and together with the Company, Parent, Zibo High-Tech Industrial Investment Co., Ltd., Zibo Financial Holding Group Co., Ltd, Chongqing Liangjiang (</w:t>
      </w:r>
      <w:r>
        <w:rPr>
          <w:rFonts w:ascii="SimSun" w:cs="SimSun" w:eastAsia="SimSun" w:hAnsi="SimSun"/>
          <w:sz w:val="15"/>
          <w:szCs w:val="15"/>
          <w:color w:val="auto"/>
        </w:rPr>
        <w:t>重庆承星股权投资基金合伙企业（有限合伙）</w:t>
      </w:r>
      <w:r>
        <w:rPr>
          <w:rFonts w:ascii="Arial" w:cs="Arial" w:eastAsia="Arial" w:hAnsi="Arial"/>
          <w:sz w:val="17"/>
          <w:szCs w:val="17"/>
          <w:color w:val="auto"/>
        </w:rPr>
        <w:t>), Northpole GLY 1 LP, GLY New Mobility 1. LP, Snita, Parent Holders and Sponsor, the “</w:t>
      </w:r>
      <w:r>
        <w:rPr>
          <w:rFonts w:ascii="Arial" w:cs="Arial" w:eastAsia="Arial" w:hAnsi="Arial"/>
          <w:sz w:val="17"/>
          <w:szCs w:val="17"/>
          <w:u w:val="single" w:color="auto"/>
          <w:color w:val="auto"/>
        </w:rPr>
        <w:t>RRA Parties</w:t>
      </w:r>
      <w:r>
        <w:rPr>
          <w:rFonts w:ascii="Arial" w:cs="Arial" w:eastAsia="Arial" w:hAnsi="Arial"/>
          <w:sz w:val="17"/>
          <w:szCs w:val="17"/>
          <w:color w:val="auto"/>
        </w:rPr>
        <w:t>”) and amends that certain Registration Rights Agreement, dated as of September 27, 2021, by and among the RRA Parties, as amended by that certain Amendment No. 1 to the Registration Rights Agreement, dated December 17, 2021, by and among the RRA Parties (“</w:t>
      </w:r>
      <w:r>
        <w:rPr>
          <w:rFonts w:ascii="Arial" w:cs="Arial" w:eastAsia="Arial" w:hAnsi="Arial"/>
          <w:sz w:val="17"/>
          <w:szCs w:val="17"/>
          <w:u w:val="single" w:color="auto"/>
          <w:color w:val="auto"/>
        </w:rPr>
        <w:t>Amendment No. 1</w:t>
      </w:r>
      <w:r>
        <w:rPr>
          <w:rFonts w:ascii="Arial" w:cs="Arial" w:eastAsia="Arial" w:hAnsi="Arial"/>
          <w:sz w:val="17"/>
          <w:szCs w:val="17"/>
          <w:color w:val="auto"/>
        </w:rPr>
        <w:t>,” and such Registration Rights Agreement as amended,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Capitalized terms used but not otherwise defined herein shall have the meanings ascribed to such terms in the Business Combination Agreement (as defined below).</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RRA Parties entered into the Registration Rights Agreement on September 27, 2021 and Amendment No. 1 on December 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 xml:space="preserve">WHEREAS, concurrently with the execution of this Amendment No. 2, (a) Sponsor is assigning to certain investors certain of its obligations to purchase ListCo Class A ADSs under, and Sponsor and certain of its Affiliates, GG and the Company are amending, that certain amended and restated subscription agreement dated December 17, 2021, by and among such parties, (b) Snita is assigning to certain investors certain of its obligations to purchase ListCo Class A ADSs under, and Snita, GG and the Company are amending, that certain amended and restated subscription agreement dated December 17, 2021, by and among such parties and (c) such investors referenced in clauses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GG and the Company are entering into certain subscription agreements dated March 24, 2022 or amending and restating certain subscription agreements dated December 17, 2021, to reflect such assignment in each case by and among the applicable investors and parties;</w:t>
      </w:r>
    </w:p>
    <w:p>
      <w:pPr>
        <w:spacing w:after="0" w:line="17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WHEREAS, concurrently with the execution of this Amendment No. 2, Sponsor, ListCo and Snita are entering into that certain Amendment No. 1 to VCC Preference Subscription Agreement, dated as of the date hereof;</w:t>
      </w:r>
    </w:p>
    <w:p>
      <w:pPr>
        <w:sectPr>
          <w:pgSz w:w="11900" w:h="16838" w:orient="portrait"/>
          <w:cols w:equalWidth="0" w:num="1">
            <w:col w:w="10980"/>
          </w:cols>
          <w:pgMar w:left="440" w:top="270" w:right="479" w:bottom="1440" w:gutter="0" w:footer="0" w:header="0"/>
        </w:sectPr>
      </w:pPr>
    </w:p>
    <w:bookmarkStart w:id="24" w:name="page25"/>
    <w:bookmarkEnd w:id="24"/>
    <w:p>
      <w:pPr>
        <w:ind w:right="14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concurrently with the execution of this Amendment No. 2, the Parties are entering into that certain Amendment No. 2 to Business Combination Agreement (the “</w:t>
      </w:r>
      <w:r>
        <w:rPr>
          <w:rFonts w:ascii="Arial" w:cs="Arial" w:eastAsia="Arial" w:hAnsi="Arial"/>
          <w:sz w:val="17"/>
          <w:szCs w:val="17"/>
          <w:u w:val="single" w:color="auto"/>
          <w:color w:val="auto"/>
        </w:rPr>
        <w:t>BCA Amendment No. 2</w:t>
      </w:r>
      <w:r>
        <w:rPr>
          <w:rFonts w:ascii="Arial" w:cs="Arial" w:eastAsia="Arial" w:hAnsi="Arial"/>
          <w:sz w:val="17"/>
          <w:szCs w:val="17"/>
          <w:color w:val="auto"/>
        </w:rPr>
        <w:t>”) dated as of March 24, 2022, by and among Gores Guggenheim, Inc., a Delaware corporation (“GG”), Parent, Polestar Automotive (Singapore) Pte. Ltd., a private company limited by shares in Singapore (“Polestar Singapore”), Polestar Holding AB, a private limited liability company incorporated under the laws of Sweden (“Polestar Sweden”), the Company, and PAH UK Merger Sub Inc., a Delaware corporation and a direct wholly owned subsidiary of ListCo (“Merger Sub”), which amends and restates that certain Business Combination Agreement, dated as of September 27, 2021, by and among GG, Parent, Polestar Singapore, Polestar Sweden, the Company and Merger Sub (such agreement, as amended by BCA Amendment No. 1 and BCA Amendment No. 2, and as may be further amended from time to time, the “</w:t>
      </w:r>
      <w:r>
        <w:rPr>
          <w:rFonts w:ascii="Arial" w:cs="Arial" w:eastAsia="Arial" w:hAnsi="Arial"/>
          <w:sz w:val="17"/>
          <w:szCs w:val="17"/>
          <w:u w:val="single" w:color="auto"/>
          <w:color w:val="auto"/>
        </w:rPr>
        <w:t>Business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Combination Agreement</w:t>
      </w:r>
      <w:r>
        <w:rPr>
          <w:rFonts w:ascii="Arial" w:cs="Arial" w:eastAsia="Arial" w:hAnsi="Arial"/>
          <w:sz w:val="17"/>
          <w:szCs w:val="17"/>
          <w:color w:val="auto"/>
        </w:rPr>
        <w:t>”); and</w:t>
      </w:r>
    </w:p>
    <w:p>
      <w:pPr>
        <w:spacing w:after="0" w:line="178"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NOW THEREFORE, in consideration of the covenants and agreements contained herein, and certain other good and valuable consideration, the receipt and sufficiency of which are hereby acknowledged, the parties hereto, intending to be legally bound, hereby agree as follows:</w:t>
      </w:r>
    </w:p>
    <w:p>
      <w:pPr>
        <w:spacing w:after="0" w:line="16" w:lineRule="exact"/>
        <w:rPr>
          <w:sz w:val="20"/>
          <w:szCs w:val="20"/>
          <w:color w:val="auto"/>
        </w:rPr>
      </w:pPr>
    </w:p>
    <w:p>
      <w:pPr>
        <w:ind w:left="1160" w:hanging="173"/>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The Amendments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eighth recital of the Registration Rights Agreement is hereby amended and restated in its entirety as follows:</w:t>
      </w:r>
    </w:p>
    <w:p>
      <w:pPr>
        <w:spacing w:after="0" w:line="117" w:lineRule="exact"/>
        <w:rPr>
          <w:rFonts w:ascii="Arial" w:cs="Arial" w:eastAsia="Arial" w:hAnsi="Arial"/>
          <w:sz w:val="18"/>
          <w:szCs w:val="18"/>
          <w:color w:val="auto"/>
        </w:rPr>
      </w:pPr>
    </w:p>
    <w:p>
      <w:pPr>
        <w:ind w:left="1980" w:right="40"/>
        <w:spacing w:after="0" w:line="263" w:lineRule="auto"/>
        <w:rPr>
          <w:rFonts w:ascii="Arial" w:cs="Arial" w:eastAsia="Arial" w:hAnsi="Arial"/>
          <w:sz w:val="18"/>
          <w:szCs w:val="18"/>
          <w:color w:val="auto"/>
        </w:rPr>
      </w:pPr>
      <w:r>
        <w:rPr>
          <w:rFonts w:ascii="Arial" w:cs="Arial" w:eastAsia="Arial" w:hAnsi="Arial"/>
          <w:sz w:val="18"/>
          <w:szCs w:val="18"/>
          <w:color w:val="auto"/>
        </w:rPr>
        <w:t>WHEREAS, Snita has subscribed for convertible preference shares of ListCo (the “</w:t>
      </w:r>
      <w:r>
        <w:rPr>
          <w:rFonts w:ascii="Arial" w:cs="Arial" w:eastAsia="Arial" w:hAnsi="Arial"/>
          <w:sz w:val="18"/>
          <w:szCs w:val="18"/>
          <w:u w:val="single" w:color="auto"/>
          <w:color w:val="auto"/>
        </w:rPr>
        <w:t>VCC Preference Shares</w:t>
      </w:r>
      <w:r>
        <w:rPr>
          <w:rFonts w:ascii="Arial" w:cs="Arial" w:eastAsia="Arial" w:hAnsi="Arial"/>
          <w:sz w:val="18"/>
          <w:szCs w:val="18"/>
          <w:color w:val="auto"/>
        </w:rPr>
        <w:t>”) pursuant to a subscription agreement dated September 27, 2021 by and between the Company and Snita (as may be amended from time to time, the “</w:t>
      </w:r>
      <w:r>
        <w:rPr>
          <w:rFonts w:ascii="Arial" w:cs="Arial" w:eastAsia="Arial" w:hAnsi="Arial"/>
          <w:sz w:val="18"/>
          <w:szCs w:val="18"/>
          <w:u w:val="single" w:color="auto"/>
          <w:color w:val="auto"/>
        </w:rPr>
        <w:t>VCC Preference Shares Subscription Agreement</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960" w:right="140" w:hanging="533"/>
        <w:spacing w:after="0" w:line="277"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Section 1.1 of the Registration Rights Agreement is hereby amended to restate the definition of “Subscription Agreements” in the Registration Rights Agreement in its entirety as follows:</w:t>
      </w:r>
    </w:p>
    <w:p>
      <w:pPr>
        <w:spacing w:after="0" w:line="62"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has the meaning given in the Business Combination Agreement.</w:t>
      </w:r>
    </w:p>
    <w:p>
      <w:pPr>
        <w:spacing w:after="0" w:line="225" w:lineRule="exact"/>
        <w:rPr>
          <w:rFonts w:ascii="Arial" w:cs="Arial" w:eastAsia="Arial" w:hAnsi="Arial"/>
          <w:sz w:val="18"/>
          <w:szCs w:val="18"/>
          <w:color w:val="auto"/>
        </w:rPr>
      </w:pPr>
    </w:p>
    <w:p>
      <w:pPr>
        <w:ind w:left="1160" w:hanging="173"/>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Effect of Amendment</w:t>
      </w:r>
      <w:r>
        <w:rPr>
          <w:rFonts w:ascii="Arial" w:cs="Arial" w:eastAsia="Arial" w:hAnsi="Arial"/>
          <w:sz w:val="16"/>
          <w:szCs w:val="16"/>
          <w:color w:val="auto"/>
        </w:rPr>
        <w:t>. This Amendment No. 2 shall be effective as of the date first written above. For the avoidance of any doubt, all</w:t>
      </w:r>
    </w:p>
    <w:p>
      <w:pPr>
        <w:spacing w:after="0" w:line="46" w:lineRule="exact"/>
        <w:rPr>
          <w:rFonts w:ascii="Arial" w:cs="Arial" w:eastAsia="Arial" w:hAnsi="Arial"/>
          <w:sz w:val="16"/>
          <w:szCs w:val="16"/>
          <w:color w:val="auto"/>
        </w:rPr>
      </w:pPr>
    </w:p>
    <w:p>
      <w:pPr>
        <w:spacing w:after="0" w:line="271" w:lineRule="auto"/>
        <w:rPr>
          <w:rFonts w:ascii="Arial" w:cs="Arial" w:eastAsia="Arial" w:hAnsi="Arial"/>
          <w:sz w:val="16"/>
          <w:szCs w:val="16"/>
          <w:color w:val="auto"/>
        </w:rPr>
      </w:pPr>
      <w:r>
        <w:rPr>
          <w:rFonts w:ascii="Arial" w:cs="Arial" w:eastAsia="Arial" w:hAnsi="Arial"/>
          <w:sz w:val="17"/>
          <w:szCs w:val="17"/>
          <w:color w:val="auto"/>
        </w:rPr>
        <w:t>references: (a) in the Registration Rights Agreement to “this Agreement” and (b) to the Registration Rights Agreement in any other agreements, exhibits and schedules will, in each case, be deemed to be references to the Registration Rights Agreement as amended by this Amendment No. 2. Except as amended hereby, the Registration Rights Agreement will continue in full force and effect and shall be otherwise unaffected hereby. This Amendment No. 2 shall be binding upon and shall inure to the benefit of the Parties and their respective successors and assigns. This Amendment No. 2 only may be amended by the Parties by execution of an instrument in writing signed on behalf of each of the Parties.</w:t>
      </w:r>
    </w:p>
    <w:p>
      <w:pPr>
        <w:spacing w:after="0" w:line="178" w:lineRule="exact"/>
        <w:rPr>
          <w:rFonts w:ascii="Arial" w:cs="Arial" w:eastAsia="Arial" w:hAnsi="Arial"/>
          <w:sz w:val="16"/>
          <w:szCs w:val="16"/>
          <w:color w:val="auto"/>
        </w:rPr>
      </w:pPr>
    </w:p>
    <w:p>
      <w:pPr>
        <w:ind w:firstLine="987"/>
        <w:spacing w:after="0" w:line="286" w:lineRule="auto"/>
        <w:tabs>
          <w:tab w:leader="none" w:pos="1171"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xml:space="preserve">. Sections 1.02 (Construction); 11.03 (Assignment); 11.06 (Governing Law); 11.07 (Captions; Counterparts); 11.09 (Entire Agreement); 11.10 (Amendments); 11.11 (Severability); 11.12 (Jurisdiction); 11.13 (Waiver of Jury Trial) and 11.14 (Enforcement) of the Business Combination Agreement are incorporated herein and shall apply to this Amendment No. 2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pages follow]</w:t>
      </w:r>
    </w:p>
    <w:p>
      <w:pPr>
        <w:sectPr>
          <w:pgSz w:w="11900" w:h="16838" w:orient="portrait"/>
          <w:cols w:equalWidth="0" w:num="1">
            <w:col w:w="9019"/>
          </w:cols>
          <w:pgMar w:left="1440" w:top="274" w:right="1440"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019"/>
          </w:cols>
          <w:pgMar w:left="1440" w:top="274"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Amendment No. 2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Mikael Alkmark</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0520"/>
          </w:cols>
          <w:pgMar w:left="880" w:top="274" w:right="49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Amendment No. 2 to be executed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GORES HOLDERS:</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GORES GUGGENHEIM SPONSOR LLC</w:t>
      </w: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Alec Gores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Alec Gores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Randall Bort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Randall Bort</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Elizabeth Marcellino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Elizabeth Marcellino</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Nancy Tellem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Nancy Tellem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Amendment No. 2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PARENT HOLDERS: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ZIBO HIGH-TECH INDUSTRIAL INVESTMENT CO.,</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LTD.</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Ning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Ning Chen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ZIBO FINANCIAL HOLDING GROUP CO., LTD</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Xiqing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Xiqing Wang</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21" w:lineRule="exact"/>
        <w:rPr>
          <w:sz w:val="20"/>
          <w:szCs w:val="20"/>
          <w:color w:val="auto"/>
        </w:rPr>
      </w:pPr>
    </w:p>
    <w:p>
      <w:pPr>
        <w:ind w:left="6180"/>
        <w:spacing w:after="0" w:line="207" w:lineRule="exact"/>
        <w:rPr>
          <w:sz w:val="20"/>
          <w:szCs w:val="20"/>
          <w:color w:val="auto"/>
        </w:rPr>
      </w:pPr>
      <w:r>
        <w:rPr>
          <w:rFonts w:ascii="Arial" w:cs="Arial" w:eastAsia="Arial" w:hAnsi="Arial"/>
          <w:sz w:val="18"/>
          <w:szCs w:val="18"/>
          <w:b w:val="1"/>
          <w:bCs w:val="1"/>
          <w:color w:val="auto"/>
        </w:rPr>
        <w:t>CHONGQING LIANGJIANG (</w:t>
      </w:r>
      <w:r>
        <w:rPr>
          <w:rFonts w:ascii="SimSun" w:cs="SimSun" w:eastAsia="SimSun" w:hAnsi="SimSun"/>
          <w:sz w:val="16"/>
          <w:szCs w:val="16"/>
          <w:color w:val="auto"/>
        </w:rPr>
        <w:t>重庆承星股权投资基金合</w:t>
      </w:r>
    </w:p>
    <w:p>
      <w:pPr>
        <w:spacing w:after="0" w:line="27" w:lineRule="exact"/>
        <w:rPr>
          <w:sz w:val="20"/>
          <w:szCs w:val="20"/>
          <w:color w:val="auto"/>
        </w:rPr>
      </w:pPr>
    </w:p>
    <w:p>
      <w:pPr>
        <w:ind w:left="6180"/>
        <w:spacing w:after="0" w:line="207" w:lineRule="exact"/>
        <w:rPr>
          <w:sz w:val="20"/>
          <w:szCs w:val="20"/>
          <w:color w:val="auto"/>
        </w:rPr>
      </w:pPr>
      <w:r>
        <w:rPr>
          <w:rFonts w:ascii="SimSun" w:cs="SimSun" w:eastAsia="SimSun" w:hAnsi="SimSun"/>
          <w:sz w:val="16"/>
          <w:szCs w:val="16"/>
          <w:color w:val="auto"/>
          <w:highlight w:val="black"/>
        </w:rPr>
        <w:t>伙企业（有限合伙）</w:t>
      </w:r>
      <w:r>
        <w:rPr>
          <w:rFonts w:ascii="Arial" w:cs="Arial" w:eastAsia="Arial" w:hAnsi="Arial"/>
          <w:sz w:val="18"/>
          <w:szCs w:val="18"/>
          <w:b w:val="1"/>
          <w:bCs w:val="1"/>
          <w:color w:val="auto"/>
        </w:rPr>
        <w:t>)</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Yimin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Yimin Ai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NORTHPOLE GLY 1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Hrvoje Krkalo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Hrvoje Krkalo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2 to Registration Rights Agreement</w:t>
      </w:r>
      <w:r>
        <w:rPr>
          <w:rFonts w:ascii="Arial" w:cs="Arial" w:eastAsia="Arial" w:hAnsi="Arial"/>
          <w:sz w:val="18"/>
          <w:szCs w:val="18"/>
          <w:color w:val="auto"/>
        </w:rPr>
        <w:t>]</w:t>
      </w:r>
    </w:p>
    <w:p>
      <w:pPr>
        <w:sectPr>
          <w:pgSz w:w="11900" w:h="16838" w:orient="portrait"/>
          <w:cols w:equalWidth="0" w:num="1">
            <w:col w:w="10560"/>
          </w:cols>
          <w:pgMar w:left="880" w:top="274" w:right="459" w:bottom="1440" w:gutter="0" w:footer="0" w:header="0"/>
        </w:sectPr>
      </w:pPr>
    </w:p>
    <w:bookmarkStart w:id="29" w:name="page30"/>
    <w:bookmarkEnd w:id="2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GLY NEW MOBILITY 1.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Hrvoje Krkalo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Hrvoje Krkalo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Email:</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SNITA HOLDING B.V.</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Lex Kerssemakers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Lex Kerssemakers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Per Ansgar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Per Ansgar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PSINV AB</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Fredrik Aaben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Fredrik Aaben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Per Ansgar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Per Ansgar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Email:</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PSD INVESTMENT LIMITED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Shufu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Shufu Li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 to Registration Rights Agreement</w:t>
      </w:r>
      <w:r>
        <w:rPr>
          <w:rFonts w:ascii="Arial" w:cs="Arial" w:eastAsia="Arial" w:hAnsi="Arial"/>
          <w:sz w:val="16"/>
          <w:szCs w:val="16"/>
          <w:color w:val="auto"/>
        </w:rPr>
        <w:t>]</w:t>
      </w:r>
    </w:p>
    <w:p>
      <w:pPr>
        <w:sectPr>
          <w:pgSz w:w="11900" w:h="16838" w:orient="portrait"/>
          <w:cols w:equalWidth="0" w:num="1">
            <w:col w:w="9019"/>
          </w:cols>
          <w:pgMar w:left="1440" w:top="270"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Amendment No. 2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PARENT:</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POLESTAR AUTOMOTIVE HOLDING LIMITED</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Carla De Geyseleer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Carla De Geyseleer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2 to Registration Rights Agreement</w:t>
      </w:r>
      <w:r>
        <w:rPr>
          <w:rFonts w:ascii="Arial" w:cs="Arial" w:eastAsia="Arial" w:hAnsi="Arial"/>
          <w:sz w:val="18"/>
          <w:szCs w:val="18"/>
          <w:color w:val="auto"/>
        </w:rPr>
        <w:t>]</w:t>
      </w:r>
    </w:p>
    <w:p>
      <w:pPr>
        <w:sectPr>
          <w:pgSz w:w="11900" w:h="16838" w:orient="portrait"/>
          <w:cols w:equalWidth="0" w:num="1">
            <w:col w:w="10200"/>
          </w:cols>
          <w:pgMar w:left="880" w:top="274" w:right="81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Amendment to the Parent Shareholders Acknowledgment</w:t>
      </w:r>
    </w:p>
    <w:p>
      <w:pPr>
        <w:sectPr>
          <w:pgSz w:w="11900" w:h="16838" w:orient="portrait"/>
          <w:cols w:equalWidth="0" w:num="1">
            <w:col w:w="9019"/>
          </w:cols>
          <w:pgMar w:left="1440" w:top="270" w:right="1440" w:bottom="1440" w:gutter="0" w:footer="0" w:header="0"/>
        </w:sectPr>
      </w:pPr>
    </w:p>
    <w:bookmarkStart w:id="32" w:name="page33"/>
    <w:bookmarkEnd w:id="3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TO ACKNOWLEDGEMENT AGREEMENT TO THE</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SHAREHOLDERS AGREEMENT</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THIS AMENDMENT TO ACKNOWLEDGEMENT AGREEMENT TO THE SHAREHOLDERS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is made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and entered into as of March 24, 2022, by and among (1) VOLVO CAR CORPORATION ( </w:t>
      </w:r>
      <w:r>
        <w:rPr>
          <w:sz w:val="1"/>
          <w:szCs w:val="1"/>
          <w:color w:val="auto"/>
        </w:rPr>
        <w:drawing>
          <wp:inline distT="0" distB="0" distL="0" distR="0">
            <wp:extent cx="925830" cy="1117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25830" cy="111760"/>
                    </a:xfrm>
                    <a:prstGeom prst="rect">
                      <a:avLst/>
                    </a:prstGeom>
                    <a:noFill/>
                    <a:ln>
                      <a:noFill/>
                    </a:ln>
                  </pic:spPr>
                </pic:pic>
              </a:graphicData>
            </a:graphic>
          </wp:inline>
        </w:drawing>
      </w:r>
      <w:r>
        <w:rPr>
          <w:rFonts w:ascii="Arial" w:cs="Arial" w:eastAsia="Arial" w:hAnsi="Arial"/>
          <w:sz w:val="16"/>
          <w:szCs w:val="16"/>
          <w:color w:val="auto"/>
        </w:rPr>
        <w:t xml:space="preserve"> ), a company incorporated under the</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8"/>
          <w:szCs w:val="18"/>
          <w:color w:val="auto"/>
        </w:rPr>
        <w:t>laws of Sweden; (2) SNITA HOLDING B.V., a company wholly owned by Volvo and incorporated under the laws of Netherlands; (3)</w:t>
      </w:r>
    </w:p>
    <w:p>
      <w:pPr>
        <w:spacing w:after="0" w:line="9" w:lineRule="exact"/>
        <w:rPr>
          <w:sz w:val="20"/>
          <w:szCs w:val="20"/>
          <w:color w:val="auto"/>
        </w:rPr>
      </w:pPr>
    </w:p>
    <w:p>
      <w:pPr>
        <w:ind w:left="2444"/>
        <w:spacing w:after="0"/>
        <w:rPr>
          <w:sz w:val="20"/>
          <w:szCs w:val="20"/>
          <w:color w:val="auto"/>
        </w:rPr>
      </w:pPr>
      <w:r>
        <w:rPr>
          <w:rFonts w:ascii="Arial" w:cs="Arial" w:eastAsia="Arial" w:hAnsi="Arial"/>
          <w:sz w:val="17"/>
          <w:szCs w:val="17"/>
          <w:color w:val="auto"/>
        </w:rPr>
        <w:t>(ZHEJIANG GEELY HOLDING GROUP CO., LTD.), a limited liability company incorporated under the laws of</w:t>
      </w:r>
    </w:p>
    <w:p>
      <w:pPr>
        <w:spacing w:after="0" w:line="34" w:lineRule="exact"/>
        <w:rPr>
          <w:sz w:val="20"/>
          <w:szCs w:val="20"/>
          <w:color w:val="auto"/>
        </w:rPr>
      </w:pPr>
    </w:p>
    <w:p>
      <w:pPr>
        <w:ind w:left="4"/>
        <w:spacing w:after="0"/>
        <w:rPr>
          <w:sz w:val="20"/>
          <w:szCs w:val="20"/>
          <w:color w:val="auto"/>
        </w:rPr>
      </w:pPr>
      <w:r>
        <w:rPr>
          <w:rFonts w:ascii="Arial" w:cs="Arial" w:eastAsia="Arial" w:hAnsi="Arial"/>
          <w:sz w:val="17"/>
          <w:szCs w:val="17"/>
          <w:color w:val="auto"/>
        </w:rPr>
        <w:t>PRC; (4) PSD INVESTMENT LIMITED, a company incorporated under the laws of the British Virgin Islands; (5) PSINV AB, a company duly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incorporated and existing under the laws of Sweden; (6) GLY NEW MOBILITY 1. LP, an exempted limited partnership established under the laws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Cayman Islands; (7) NORTHPOLE GLY 1 LP, an exempted limited partnership established under the laws of the Cayman Islands; (8)</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7"/>
          <w:szCs w:val="17"/>
          <w:color w:val="auto"/>
        </w:rPr>
        <w:t>ZIBO FINANCIAL HOLDING GROUP CO., LTD, a limited liability company incorporated under the laws of</w:t>
      </w:r>
    </w:p>
    <w:p>
      <w:pPr>
        <w:spacing w:after="0" w:line="34"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PRC; (9) </w:t>
      </w:r>
      <w:r>
        <w:rPr>
          <w:sz w:val="1"/>
          <w:szCs w:val="1"/>
          <w:color w:val="auto"/>
        </w:rPr>
        <w:drawing>
          <wp:inline distT="0" distB="0" distL="0" distR="0">
            <wp:extent cx="1551305" cy="1117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51305" cy="111760"/>
                    </a:xfrm>
                    <a:prstGeom prst="rect">
                      <a:avLst/>
                    </a:prstGeom>
                    <a:noFill/>
                    <a:ln>
                      <a:noFill/>
                    </a:ln>
                  </pic:spPr>
                </pic:pic>
              </a:graphicData>
            </a:graphic>
          </wp:inline>
        </w:drawing>
      </w:r>
      <w:r>
        <w:rPr>
          <w:rFonts w:ascii="Arial" w:cs="Arial" w:eastAsia="Arial" w:hAnsi="Arial"/>
          <w:sz w:val="17"/>
          <w:szCs w:val="17"/>
          <w:color w:val="auto"/>
        </w:rPr>
        <w:t xml:space="preserve"> ZIBO HIGH-TECH INDUSTRIAL INVESTMENT CO., LTD., a limited liability company incorporated</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under the laws of PRC; (10) </w:t>
      </w:r>
      <w:r>
        <w:rPr>
          <w:sz w:val="1"/>
          <w:szCs w:val="1"/>
          <w:color w:val="auto"/>
        </w:rPr>
        <w:drawing>
          <wp:inline distT="0" distB="0" distL="0" distR="0">
            <wp:extent cx="1825625" cy="11112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5625" cy="111125"/>
                    </a:xfrm>
                    <a:prstGeom prst="rect">
                      <a:avLst/>
                    </a:prstGeom>
                    <a:noFill/>
                    <a:ln>
                      <a:noFill/>
                    </a:ln>
                  </pic:spPr>
                </pic:pic>
              </a:graphicData>
            </a:graphic>
          </wp:inline>
        </w:drawing>
      </w:r>
      <w:r>
        <w:rPr>
          <w:rFonts w:ascii="Arial" w:cs="Arial" w:eastAsia="Arial" w:hAnsi="Arial"/>
          <w:sz w:val="16"/>
          <w:szCs w:val="16"/>
          <w:color w:val="auto"/>
        </w:rPr>
        <w:t xml:space="preserve"> ( </w:t>
      </w:r>
      <w:r>
        <w:rPr>
          <w:sz w:val="1"/>
          <w:szCs w:val="1"/>
          <w:color w:val="auto"/>
        </w:rPr>
        <w:drawing>
          <wp:inline distT="0" distB="0" distL="0" distR="0">
            <wp:extent cx="505460" cy="1111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5460" cy="111125"/>
                    </a:xfrm>
                    <a:prstGeom prst="rect">
                      <a:avLst/>
                    </a:prstGeom>
                    <a:noFill/>
                    <a:ln>
                      <a:noFill/>
                    </a:ln>
                  </pic:spPr>
                </pic:pic>
              </a:graphicData>
            </a:graphic>
          </wp:inline>
        </w:drawing>
      </w:r>
      <w:r>
        <w:rPr>
          <w:rFonts w:ascii="Arial" w:cs="Arial" w:eastAsia="Arial" w:hAnsi="Arial"/>
          <w:sz w:val="16"/>
          <w:szCs w:val="16"/>
          <w:color w:val="auto"/>
        </w:rPr>
        <w:t xml:space="preserve"> )</w:t>
      </w:r>
      <w:r>
        <w:rPr>
          <w:rFonts w:ascii="Arial" w:cs="Arial" w:eastAsia="Arial" w:hAnsi="Arial"/>
          <w:sz w:val="17"/>
          <w:szCs w:val="17"/>
          <w:color w:val="auto"/>
        </w:rPr>
        <w:t>, a limited partnership incorporated under the laws of PRC;</w:t>
      </w:r>
    </w:p>
    <w:p>
      <w:pPr>
        <w:spacing w:after="0" w:line="16" w:lineRule="exact"/>
        <w:rPr>
          <w:sz w:val="20"/>
          <w:szCs w:val="20"/>
          <w:color w:val="auto"/>
        </w:rPr>
      </w:pPr>
    </w:p>
    <w:p>
      <w:pPr>
        <w:ind w:left="4" w:right="20" w:hanging="4"/>
        <w:spacing w:after="0" w:line="254" w:lineRule="auto"/>
        <w:tabs>
          <w:tab w:leader="none" w:pos="3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POLESTAR AUTOMOTIVE HOLDING LIMITED </w:t>
      </w:r>
      <w:r>
        <w:rPr>
          <w:rFonts w:ascii="Arial" w:cs="Arial" w:eastAsia="Arial" w:hAnsi="Arial"/>
          <w:sz w:val="1"/>
          <w:szCs w:val="1"/>
          <w:color w:val="auto"/>
        </w:rPr>
        <w:drawing>
          <wp:inline distT="0" distB="0" distL="0" distR="0">
            <wp:extent cx="111125" cy="11112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drawing>
          <wp:inline distT="0" distB="0" distL="0" distR="0">
            <wp:extent cx="1088390" cy="11112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88390" cy="111125"/>
                    </a:xfrm>
                    <a:prstGeom prst="rect">
                      <a:avLst/>
                    </a:prstGeom>
                    <a:noFill/>
                    <a:ln>
                      <a:noFill/>
                    </a:ln>
                  </pic:spPr>
                </pic:pic>
              </a:graphicData>
            </a:graphic>
          </wp:inline>
        </w:drawing>
      </w:r>
      <w:r>
        <w:rPr>
          <w:rFonts w:ascii="Arial" w:cs="Arial" w:eastAsia="Arial" w:hAnsi="Arial"/>
          <w:sz w:val="18"/>
          <w:szCs w:val="18"/>
          <w:color w:val="auto"/>
        </w:rPr>
        <w:t xml:space="preserve"> , a private company limited by shares incorporated under the laws of Hong Kong (“</w:t>
      </w:r>
      <w:r>
        <w:rPr>
          <w:rFonts w:ascii="Arial" w:cs="Arial" w:eastAsia="Arial" w:hAnsi="Arial"/>
          <w:sz w:val="18"/>
          <w:szCs w:val="18"/>
          <w:u w:val="single" w:color="auto"/>
          <w:color w:val="auto"/>
        </w:rPr>
        <w:t>Company</w:t>
      </w:r>
      <w:r>
        <w:rPr>
          <w:rFonts w:ascii="Arial" w:cs="Arial" w:eastAsia="Arial" w:hAnsi="Arial"/>
          <w:sz w:val="18"/>
          <w:szCs w:val="18"/>
          <w:color w:val="auto"/>
        </w:rPr>
        <w:t>”); and (12) POLESTAR AUTOMOTIVE HOLDING UK LIMITED, a limited company incorporated under the laws of England and Wales (“</w:t>
      </w:r>
      <w:r>
        <w:rPr>
          <w:rFonts w:ascii="Arial" w:cs="Arial" w:eastAsia="Arial" w:hAnsi="Arial"/>
          <w:sz w:val="18"/>
          <w:szCs w:val="18"/>
          <w:u w:val="single" w:color="auto"/>
          <w:color w:val="auto"/>
        </w:rPr>
        <w:t>ListCo</w:t>
      </w:r>
      <w:r>
        <w:rPr>
          <w:rFonts w:ascii="Arial" w:cs="Arial" w:eastAsia="Arial" w:hAnsi="Arial"/>
          <w:sz w:val="18"/>
          <w:szCs w:val="18"/>
          <w:color w:val="auto"/>
        </w:rPr>
        <w:t>”), each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and amends that certain Acknowledgement Agreement to the Shareholders Agreement, dated as of September 27, 2021, by and among the Parties, (the “</w:t>
      </w:r>
      <w:r>
        <w:rPr>
          <w:rFonts w:ascii="Arial" w:cs="Arial" w:eastAsia="Arial" w:hAnsi="Arial"/>
          <w:sz w:val="18"/>
          <w:szCs w:val="18"/>
          <w:u w:val="single" w:color="auto"/>
          <w:color w:val="auto"/>
        </w:rPr>
        <w:t>Acknowledgement Agreement to the Shareholders Agreement</w:t>
      </w:r>
      <w:r>
        <w:rPr>
          <w:rFonts w:ascii="Arial" w:cs="Arial" w:eastAsia="Arial" w:hAnsi="Arial"/>
          <w:sz w:val="18"/>
          <w:szCs w:val="18"/>
          <w:color w:val="auto"/>
        </w:rPr>
        <w:t>”). Except as otherwise set forth herein, capitalized terms used herein have the meanings set forth in the Acknowledgement Agreement to the Shareholders Agreement.</w:t>
      </w: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the Parties entered into the Acknowledgement Agreement to the Shareholders Agreement on September 27, 2021; and</w:t>
      </w:r>
    </w:p>
    <w:p>
      <w:pPr>
        <w:spacing w:after="0" w:line="225"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WHEREAS, the Parties have determined to amend certain provisions of the Acknowledgement Agreement to the Shareholders Agreement in furtherance of the consummation of the Transaction.</w:t>
      </w:r>
    </w:p>
    <w:p>
      <w:pPr>
        <w:spacing w:after="0" w:line="170"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NOW, THEREFORE, in consideration of the covenants, promises and representations set forth herein and in the Acknowledgement Agreement to the Shareholders Agreement, and for other good and valuable consideration, the receipt and sufficiency of which are hereby acknowledged, the Parties agree as follows:</w:t>
      </w:r>
    </w:p>
    <w:p>
      <w:pPr>
        <w:spacing w:after="0" w:line="211"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The Amendments</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Amendment to Section 6.1</w:t>
      </w:r>
      <w:r>
        <w:rPr>
          <w:rFonts w:ascii="Arial" w:cs="Arial" w:eastAsia="Arial" w:hAnsi="Arial"/>
          <w:sz w:val="18"/>
          <w:szCs w:val="18"/>
          <w:color w:val="auto"/>
        </w:rPr>
        <w:t>. Section 6.1 of the Acknowledgement Agreement to the Shareholders Agreement is hereby amended and restated in its entirety to read as follows: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Independent Directors</w:t>
      </w:r>
      <w:r>
        <w:rPr>
          <w:rFonts w:ascii="Arial" w:cs="Arial" w:eastAsia="Arial" w:hAnsi="Arial"/>
          <w:sz w:val="18"/>
          <w:szCs w:val="18"/>
          <w:color w:val="auto"/>
        </w:rPr>
        <w:t>. The Parties (other than ListCo) undertake to ListCo and Gores Guggenheim Sponsor, LLC (“</w:t>
      </w:r>
      <w:r>
        <w:rPr>
          <w:rFonts w:ascii="Arial" w:cs="Arial" w:eastAsia="Arial" w:hAnsi="Arial"/>
          <w:sz w:val="18"/>
          <w:szCs w:val="18"/>
          <w:u w:val="single" w:color="auto"/>
          <w:color w:val="auto"/>
        </w:rPr>
        <w:t>Sponsor</w:t>
      </w:r>
      <w:r>
        <w:rPr>
          <w:rFonts w:ascii="Arial" w:cs="Arial" w:eastAsia="Arial" w:hAnsi="Arial"/>
          <w:sz w:val="18"/>
          <w:szCs w:val="18"/>
          <w:color w:val="auto"/>
        </w:rPr>
        <w:t>”) that:</w:t>
      </w:r>
    </w:p>
    <w:p>
      <w:pPr>
        <w:spacing w:after="0" w:line="117" w:lineRule="exact"/>
        <w:rPr>
          <w:sz w:val="20"/>
          <w:szCs w:val="20"/>
          <w:color w:val="auto"/>
        </w:rPr>
      </w:pPr>
    </w:p>
    <w:p>
      <w:pPr>
        <w:ind w:left="4" w:right="240" w:firstLine="987"/>
        <w:spacing w:after="0" w:line="277" w:lineRule="auto"/>
        <w:tabs>
          <w:tab w:leader="none" w:pos="13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the Closing, the Board will be comprised of nine (9) directors (or such other number as reasonably determined by Company and Gores Guggenheim, Inc.), a majority of whom will be Independent Directors (as defined in the ListCo Articles);</w:t>
      </w:r>
    </w:p>
    <w:p>
      <w:pPr>
        <w:spacing w:after="0" w:line="62" w:lineRule="exact"/>
        <w:rPr>
          <w:rFonts w:ascii="Arial" w:cs="Arial" w:eastAsia="Arial" w:hAnsi="Arial"/>
          <w:sz w:val="18"/>
          <w:szCs w:val="18"/>
          <w:color w:val="auto"/>
        </w:rPr>
      </w:pPr>
    </w:p>
    <w:p>
      <w:pPr>
        <w:jc w:val="both"/>
        <w:ind w:left="4" w:right="580" w:firstLine="987"/>
        <w:spacing w:after="0" w:line="279" w:lineRule="auto"/>
        <w:tabs>
          <w:tab w:leader="none" w:pos="1385"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a period of three (3) years following the Closing they will not (and will procure that their affiliates will not) at any general meeting of ListCo vote in favour of the removal of, or instruct a nominee, depository or any other person to vote in favour of the removal of, any Independent Director of ListCo or otherwise support (by public statement or otherwise) such removal unless at least two (2) of the Independent Directors vote in favour thereof (or if there are fewer than two (2) Independent Directors then in office excluding</w:t>
      </w:r>
    </w:p>
    <w:p>
      <w:pPr>
        <w:sectPr>
          <w:pgSz w:w="11900" w:h="16838" w:orient="portrait"/>
          <w:cols w:equalWidth="0" w:num="1">
            <w:col w:w="11004"/>
          </w:cols>
          <w:pgMar w:left="436" w:top="270" w:right="459" w:bottom="1440" w:gutter="0" w:footer="0" w:header="0"/>
        </w:sectPr>
      </w:pPr>
    </w:p>
    <w:bookmarkStart w:id="33" w:name="page34"/>
    <w:bookmarkEnd w:id="33"/>
    <w:p>
      <w:pPr>
        <w:ind w:left="4"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Independent Director proposed to be removed, all of the Independent Directors (other than the Independent Director proposed to be removed), if any); and</w:t>
      </w:r>
    </w:p>
    <w:p>
      <w:pPr>
        <w:spacing w:after="0" w:line="62" w:lineRule="exact"/>
        <w:rPr>
          <w:sz w:val="20"/>
          <w:szCs w:val="20"/>
          <w:color w:val="auto"/>
        </w:rPr>
      </w:pPr>
    </w:p>
    <w:p>
      <w:pPr>
        <w:ind w:left="4" w:right="60" w:firstLine="987"/>
        <w:spacing w:after="0" w:line="286" w:lineRule="auto"/>
        <w:tabs>
          <w:tab w:leader="none" w:pos="1375" w:val="left"/>
        </w:tabs>
        <w:numPr>
          <w:ilvl w:val="1"/>
          <w:numId w:val="15"/>
        </w:numPr>
        <w:rPr>
          <w:rFonts w:ascii="Arial" w:cs="Arial" w:eastAsia="Arial" w:hAnsi="Arial"/>
          <w:sz w:val="17"/>
          <w:szCs w:val="17"/>
          <w:color w:val="auto"/>
        </w:rPr>
      </w:pPr>
      <w:r>
        <w:rPr>
          <w:rFonts w:ascii="Arial" w:cs="Arial" w:eastAsia="Arial" w:hAnsi="Arial"/>
          <w:sz w:val="17"/>
          <w:szCs w:val="17"/>
          <w:color w:val="auto"/>
        </w:rPr>
        <w:t>for a period of three (3) years following the Closing they will not (and will procure that their affiliates will not), alone or with others, require the Board of ListCo to convene a general meeting of ListCo at which any resolution referred to in paragraph (b) above will be proposed or require ListCo to give notice to members of ListCo of such a resolution to be proposed at a general meeting of ListCo.</w:t>
      </w:r>
    </w:p>
    <w:p>
      <w:pPr>
        <w:spacing w:after="0" w:line="165" w:lineRule="exact"/>
        <w:rPr>
          <w:rFonts w:ascii="Arial" w:cs="Arial" w:eastAsia="Arial" w:hAnsi="Arial"/>
          <w:sz w:val="17"/>
          <w:szCs w:val="17"/>
          <w:color w:val="auto"/>
        </w:rPr>
      </w:pPr>
    </w:p>
    <w:p>
      <w:pPr>
        <w:ind w:left="4" w:hanging="4"/>
        <w:spacing w:after="0" w:line="272" w:lineRule="auto"/>
        <w:tabs>
          <w:tab w:leader="none" w:pos="184"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Effect of Amendment</w:t>
      </w:r>
      <w:r>
        <w:rPr>
          <w:rFonts w:ascii="Arial" w:cs="Arial" w:eastAsia="Arial" w:hAnsi="Arial"/>
          <w:sz w:val="17"/>
          <w:szCs w:val="17"/>
          <w:color w:val="auto"/>
        </w:rPr>
        <w:t>. This Amendment shall be effective as of the date first written above. For the avoidance of any doubt, all references: (a) in the Acknowledgement Agreement to the Shareholders Agreement to “this Agreement” and (b) to the Acknowledgement Agreement to the Shareholders Agreement in any other agreements, exhibits and schedules will, in each case, be deemed to be references to the Acknowledgement Agreement to the Shareholders Agreement as amended by this Amendment. Except as amended hereby, the Acknowledgement Agreement to the Shareholders Agreement will continue in full force and effect and shall be otherwise unaffected hereby. This Amendment shall be binding upon and shall inure to the benefit of the Parties and their respective successors and assigns. This Amendment only may be amended by the Parties by execution of an instrument in writing signed on behalf of each of the Parties.</w:t>
      </w:r>
    </w:p>
    <w:p>
      <w:pPr>
        <w:spacing w:after="0" w:line="177" w:lineRule="exact"/>
        <w:rPr>
          <w:rFonts w:ascii="Arial" w:cs="Arial" w:eastAsia="Arial" w:hAnsi="Arial"/>
          <w:sz w:val="17"/>
          <w:szCs w:val="17"/>
          <w:color w:val="auto"/>
        </w:rPr>
      </w:pPr>
    </w:p>
    <w:p>
      <w:pPr>
        <w:ind w:left="4" w:right="220" w:hanging="4"/>
        <w:spacing w:after="0" w:line="259" w:lineRule="auto"/>
        <w:tabs>
          <w:tab w:leader="none" w:pos="18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xml:space="preserve">. Sections 1 (Definitions and Interpretation); 10.01 (Further Assurance); 10.02 (Severability); 10.03 (Assignment and Transfer); 10.04 (Variation and Waiver); 10.05 (Expenses); 10.06 (Counterparts); 10.07 (Third Party Rights); 10.08 (Governing Law); 10.09 (Dispute Resolution) of the Acknowledgement Agreement to the Shareholders Agreement are incorporated herein and shall apply to this Amendment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187" w:lineRule="exact"/>
        <w:rPr>
          <w:sz w:val="20"/>
          <w:szCs w:val="20"/>
          <w:color w:val="auto"/>
        </w:rPr>
      </w:pPr>
    </w:p>
    <w:p>
      <w:pPr>
        <w:jc w:val="center"/>
        <w:ind w:right="-43"/>
        <w:spacing w:after="0"/>
        <w:rPr>
          <w:sz w:val="20"/>
          <w:szCs w:val="20"/>
          <w:color w:val="auto"/>
        </w:rPr>
      </w:pPr>
      <w:r>
        <w:rPr>
          <w:rFonts w:ascii="Arial" w:cs="Arial" w:eastAsia="Arial" w:hAnsi="Arial"/>
          <w:sz w:val="18"/>
          <w:szCs w:val="18"/>
          <w:i w:val="1"/>
          <w:iCs w:val="1"/>
          <w:color w:val="auto"/>
        </w:rPr>
        <w:t>[Signature pages follow]</w:t>
      </w:r>
    </w:p>
    <w:p>
      <w:pPr>
        <w:sectPr>
          <w:pgSz w:w="11900" w:h="16838" w:orient="portrait"/>
          <w:cols w:equalWidth="0" w:num="1">
            <w:col w:w="10984"/>
          </w:cols>
          <w:pgMar w:left="436" w:top="274" w:right="47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Amendment to be executed as of the date first written above.</w:t>
      </w:r>
    </w:p>
    <w:p>
      <w:pPr>
        <w:sectPr>
          <w:pgSz w:w="11900" w:h="16838" w:orient="portrait"/>
          <w:cols w:equalWidth="0" w:num="1">
            <w:col w:w="11020"/>
          </w:cols>
          <w:pgMar w:left="440" w:top="274" w:right="439" w:bottom="1440" w:gutter="0" w:footer="0" w:header="0"/>
        </w:sectPr>
      </w:pPr>
    </w:p>
    <w:p>
      <w:pPr>
        <w:spacing w:after="0" w:line="27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w:t>
      </w:r>
      <w:r>
        <w:rPr>
          <w:rFonts w:ascii="Arial" w:cs="Arial" w:eastAsia="Arial" w:hAnsi="Arial"/>
          <w:sz w:val="18"/>
          <w:szCs w:val="18"/>
          <w:b w:val="1"/>
          <w:bCs w:val="1"/>
          <w:color w:val="auto"/>
        </w:rPr>
        <w:t xml:space="preserve"> VOLVO CAR CORPORATION</w:t>
      </w:r>
      <w:r>
        <w:rPr>
          <w:rFonts w:ascii="Arial" w:cs="Arial" w:eastAsia="Arial" w:hAnsi="Arial"/>
          <w:sz w:val="18"/>
          <w:szCs w:val="18"/>
          <w:color w:val="auto"/>
        </w:rPr>
        <w:t>,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in Sweden and owner of Snita Holding B.V. that is a Shareholder in the Company, by MARIA HEMBERG AND ANNWALL BJÖRN, being Persons who, in accordance with applicable laws or regulations of that place, are acting under the authority of such company, in the presence of:</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ROSMARIE SÖDERBOM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ROSMARIE SÖDERBOM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66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/s/ MARIA HEMBERG</w:t>
            </w:r>
          </w:p>
        </w:tc>
        <w:tc>
          <w:tcPr>
            <w:tcW w:w="0" w:type="dxa"/>
            <w:vAlign w:val="bottom"/>
          </w:tcPr>
          <w:p>
            <w:pPr>
              <w:spacing w:after="0"/>
              <w:rPr>
                <w:sz w:val="1"/>
                <w:szCs w:val="1"/>
                <w:color w:val="auto"/>
              </w:rPr>
            </w:pPr>
          </w:p>
        </w:tc>
      </w:tr>
      <w:tr>
        <w:trPr>
          <w:trHeight w:val="41"/>
        </w:trPr>
        <w:tc>
          <w:tcPr>
            <w:tcW w:w="220" w:type="dxa"/>
            <w:vAlign w:val="bottom"/>
            <w:vMerge w:val="restart"/>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0" w:type="dxa"/>
            <w:vAlign w:val="bottom"/>
            <w:vMerge w:val="continue"/>
          </w:tcPr>
          <w:p>
            <w:pPr>
              <w:spacing w:after="0"/>
              <w:rPr>
                <w:sz w:val="13"/>
                <w:szCs w:val="13"/>
                <w:color w:val="auto"/>
              </w:rPr>
            </w:pPr>
          </w:p>
        </w:tc>
        <w:tc>
          <w:tcPr>
            <w:tcW w:w="5080" w:type="dxa"/>
            <w:vAlign w:val="bottom"/>
          </w:tcPr>
          <w:p>
            <w:pPr>
              <w:spacing w:after="0" w:line="156" w:lineRule="exact"/>
              <w:rPr>
                <w:sz w:val="20"/>
                <w:szCs w:val="20"/>
                <w:color w:val="auto"/>
              </w:rPr>
            </w:pPr>
            <w:r>
              <w:rPr>
                <w:rFonts w:ascii="Arial" w:cs="Arial" w:eastAsia="Arial" w:hAnsi="Arial"/>
                <w:sz w:val="18"/>
                <w:szCs w:val="18"/>
                <w:color w:val="auto"/>
              </w:rPr>
              <w:t>Signature of MARIA HEMBERG</w:t>
            </w:r>
          </w:p>
        </w:tc>
        <w:tc>
          <w:tcPr>
            <w:tcW w:w="0" w:type="dxa"/>
            <w:vAlign w:val="bottom"/>
          </w:tcPr>
          <w:p>
            <w:pPr>
              <w:spacing w:after="0"/>
              <w:rPr>
                <w:sz w:val="1"/>
                <w:szCs w:val="1"/>
                <w:color w:val="auto"/>
              </w:rPr>
            </w:pPr>
          </w:p>
        </w:tc>
      </w:tr>
      <w:tr>
        <w:trPr>
          <w:trHeight w:val="215"/>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/s/ ANNWALL BJÖRN</w:t>
            </w:r>
          </w:p>
        </w:tc>
        <w:tc>
          <w:tcPr>
            <w:tcW w:w="0" w:type="dxa"/>
            <w:vAlign w:val="bottom"/>
          </w:tcPr>
          <w:p>
            <w:pPr>
              <w:spacing w:after="0"/>
              <w:rPr>
                <w:sz w:val="1"/>
                <w:szCs w:val="1"/>
                <w:color w:val="auto"/>
              </w:rPr>
            </w:pPr>
          </w:p>
        </w:tc>
      </w:tr>
      <w:tr>
        <w:trPr>
          <w:trHeight w:val="54"/>
        </w:trPr>
        <w:tc>
          <w:tcPr>
            <w:tcW w:w="220" w:type="dxa"/>
            <w:vAlign w:val="bottom"/>
            <w:vMerge w:val="restart"/>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20" w:type="dxa"/>
            <w:vAlign w:val="bottom"/>
            <w:vMerge w:val="continue"/>
          </w:tcPr>
          <w:p>
            <w:pPr>
              <w:spacing w:after="0"/>
              <w:rPr>
                <w:sz w:val="13"/>
                <w:szCs w:val="13"/>
                <w:color w:val="auto"/>
              </w:rPr>
            </w:pPr>
          </w:p>
        </w:tc>
        <w:tc>
          <w:tcPr>
            <w:tcW w:w="5080" w:type="dxa"/>
            <w:vAlign w:val="bottom"/>
          </w:tcPr>
          <w:p>
            <w:pPr>
              <w:spacing w:after="0" w:line="156" w:lineRule="exact"/>
              <w:rPr>
                <w:sz w:val="20"/>
                <w:szCs w:val="20"/>
                <w:color w:val="auto"/>
              </w:rPr>
            </w:pPr>
            <w:r>
              <w:rPr>
                <w:rFonts w:ascii="Arial" w:cs="Arial" w:eastAsia="Arial" w:hAnsi="Arial"/>
                <w:sz w:val="18"/>
                <w:szCs w:val="18"/>
                <w:color w:val="auto"/>
              </w:rPr>
              <w:t>Signature of ANNWALL BJÖRN</w:t>
            </w:r>
          </w:p>
        </w:tc>
        <w:tc>
          <w:tcPr>
            <w:tcW w:w="0" w:type="dxa"/>
            <w:vAlign w:val="bottom"/>
          </w:tcPr>
          <w:p>
            <w:pPr>
              <w:spacing w:after="0"/>
              <w:rPr>
                <w:sz w:val="1"/>
                <w:szCs w:val="1"/>
                <w:color w:val="auto"/>
              </w:rPr>
            </w:pPr>
          </w:p>
        </w:tc>
      </w:tr>
      <w:tr>
        <w:trPr>
          <w:trHeight w:val="175"/>
        </w:trPr>
        <w:tc>
          <w:tcPr>
            <w:tcW w:w="220" w:type="dxa"/>
            <w:vAlign w:val="bottom"/>
          </w:tcPr>
          <w:p>
            <w:pPr>
              <w:jc w:val="right"/>
              <w:ind w:right="82"/>
              <w:spacing w:after="0" w:line="175" w:lineRule="exact"/>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By executing this document, the signatories warrant that the</w:t>
            </w:r>
          </w:p>
        </w:tc>
        <w:tc>
          <w:tcPr>
            <w:tcW w:w="0" w:type="dxa"/>
            <w:vAlign w:val="bottom"/>
          </w:tcPr>
          <w:p>
            <w:pPr>
              <w:spacing w:after="0"/>
              <w:rPr>
                <w:sz w:val="1"/>
                <w:szCs w:val="1"/>
                <w:color w:val="auto"/>
              </w:rPr>
            </w:pPr>
          </w:p>
        </w:tc>
      </w:tr>
      <w:tr>
        <w:trPr>
          <w:trHeight w:val="148"/>
        </w:trPr>
        <w:tc>
          <w:tcPr>
            <w:tcW w:w="220" w:type="dxa"/>
            <w:vAlign w:val="bottom"/>
          </w:tcPr>
          <w:p>
            <w:pPr>
              <w:jc w:val="right"/>
              <w:ind w:right="82"/>
              <w:spacing w:after="0" w:line="148" w:lineRule="exact"/>
              <w:rPr>
                <w:sz w:val="20"/>
                <w:szCs w:val="20"/>
                <w:color w:val="auto"/>
              </w:rPr>
            </w:pPr>
            <w:r>
              <w:rPr>
                <w:rFonts w:ascii="Arial" w:cs="Arial" w:eastAsia="Arial" w:hAnsi="Arial"/>
                <w:sz w:val="16"/>
                <w:szCs w:val="16"/>
                <w:color w:val="auto"/>
                <w:w w:val="74"/>
              </w:rPr>
              <w:t>)</w:t>
            </w:r>
          </w:p>
        </w:tc>
        <w:tc>
          <w:tcPr>
            <w:tcW w:w="5080" w:type="dxa"/>
            <w:vAlign w:val="bottom"/>
            <w:vMerge w:val="restart"/>
          </w:tcPr>
          <w:p>
            <w:pPr>
              <w:spacing w:after="0"/>
              <w:rPr>
                <w:sz w:val="20"/>
                <w:szCs w:val="20"/>
                <w:color w:val="auto"/>
              </w:rPr>
            </w:pPr>
            <w:r>
              <w:rPr>
                <w:rFonts w:ascii="Arial" w:cs="Arial" w:eastAsia="Arial" w:hAnsi="Arial"/>
                <w:sz w:val="18"/>
                <w:szCs w:val="18"/>
                <w:color w:val="auto"/>
                <w:w w:val="92"/>
              </w:rPr>
              <w:t>signatories are duly authorised to execute this document on behalf of</w:t>
            </w:r>
          </w:p>
        </w:tc>
        <w:tc>
          <w:tcPr>
            <w:tcW w:w="0" w:type="dxa"/>
            <w:vAlign w:val="bottom"/>
          </w:tcPr>
          <w:p>
            <w:pPr>
              <w:spacing w:after="0"/>
              <w:rPr>
                <w:sz w:val="1"/>
                <w:szCs w:val="1"/>
                <w:color w:val="auto"/>
              </w:rPr>
            </w:pPr>
          </w:p>
        </w:tc>
      </w:tr>
      <w:tr>
        <w:trPr>
          <w:trHeight w:val="124"/>
        </w:trPr>
        <w:tc>
          <w:tcPr>
            <w:tcW w:w="220" w:type="dxa"/>
            <w:vAlign w:val="bottom"/>
          </w:tcPr>
          <w:p>
            <w:pPr>
              <w:jc w:val="right"/>
              <w:ind w:right="82"/>
              <w:spacing w:after="0" w:line="124" w:lineRule="exact"/>
              <w:rPr>
                <w:sz w:val="20"/>
                <w:szCs w:val="20"/>
                <w:color w:val="auto"/>
              </w:rPr>
            </w:pPr>
            <w:r>
              <w:rPr>
                <w:rFonts w:ascii="Arial" w:cs="Arial" w:eastAsia="Arial" w:hAnsi="Arial"/>
                <w:sz w:val="13"/>
                <w:szCs w:val="13"/>
                <w:color w:val="auto"/>
                <w:w w:val="91"/>
              </w:rPr>
              <w:t>)</w:t>
            </w:r>
          </w:p>
        </w:tc>
        <w:tc>
          <w:tcPr>
            <w:tcW w:w="5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VOLVO CAR CORPORATION</w:t>
            </w: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60" w:space="160"/>
            <w:col w:w="5300"/>
          </w:cols>
          <w:pgMar w:left="440" w:top="274" w:right="4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Amendment Acknowledgement Agreement to the Shareholders Agreement</w:t>
      </w:r>
      <w:r>
        <w:rPr>
          <w:rFonts w:ascii="Arial" w:cs="Arial" w:eastAsia="Arial" w:hAnsi="Arial"/>
          <w:sz w:val="15"/>
          <w:szCs w:val="15"/>
          <w:color w:val="auto"/>
        </w:rPr>
        <w:t>)</w:t>
      </w:r>
    </w:p>
    <w:p>
      <w:pPr>
        <w:sectPr>
          <w:pgSz w:w="11900" w:h="16838" w:orient="portrait"/>
          <w:cols w:equalWidth="0" w:num="1">
            <w:col w:w="11020"/>
          </w:cols>
          <w:pgMar w:left="440" w:top="274" w:right="4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Amendment to be executed as of the date first written above.</w:t>
      </w:r>
    </w:p>
    <w:p>
      <w:pPr>
        <w:sectPr>
          <w:pgSz w:w="11900" w:h="16838" w:orient="portrait"/>
          <w:cols w:equalWidth="0" w:num="1">
            <w:col w:w="11020"/>
          </w:cols>
          <w:pgMar w:left="440" w:top="274" w:right="439" w:bottom="1440" w:gutter="0" w:footer="0" w:header="0"/>
        </w:sectPr>
      </w:pP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for and on behalf of</w:t>
      </w:r>
      <w:r>
        <w:rPr>
          <w:rFonts w:ascii="Arial" w:cs="Arial" w:eastAsia="Arial" w:hAnsi="Arial"/>
          <w:sz w:val="17"/>
          <w:szCs w:val="17"/>
          <w:b w:val="1"/>
          <w:bCs w:val="1"/>
          <w:color w:val="auto"/>
        </w:rPr>
        <w:t xml:space="preserve"> SNITA HOLDING B.V.</w:t>
      </w:r>
      <w:r>
        <w:rPr>
          <w:rFonts w:ascii="Arial" w:cs="Arial" w:eastAsia="Arial" w:hAnsi="Arial"/>
          <w:sz w:val="17"/>
          <w:szCs w:val="17"/>
          <w:color w:val="auto"/>
        </w:rPr>
        <w:t>, a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incorporated in Netherlands, Shareholder of the Company and a Subsidiary of Volvo, by LEX KERSSEMAKERS and PER ANSGAR, being Persons who, in accordance with applicable laws or regulations of that place, are acting under the authority of such company, in the presence of:</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ROSMARIE SÖDERBOM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ROSMARIE SÖDERBOM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66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/s/ LEX KERSSEMAKERS</w:t>
            </w:r>
          </w:p>
        </w:tc>
        <w:tc>
          <w:tcPr>
            <w:tcW w:w="0" w:type="dxa"/>
            <w:vAlign w:val="bottom"/>
          </w:tcPr>
          <w:p>
            <w:pPr>
              <w:spacing w:after="0"/>
              <w:rPr>
                <w:sz w:val="1"/>
                <w:szCs w:val="1"/>
                <w:color w:val="auto"/>
              </w:rPr>
            </w:pPr>
          </w:p>
        </w:tc>
      </w:tr>
      <w:tr>
        <w:trPr>
          <w:trHeight w:val="41"/>
        </w:trPr>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0" w:type="dxa"/>
            <w:vAlign w:val="bottom"/>
            <w:vMerge w:val="continue"/>
          </w:tcPr>
          <w:p>
            <w:pPr>
              <w:spacing w:after="0"/>
              <w:rPr>
                <w:sz w:val="13"/>
                <w:szCs w:val="13"/>
                <w:color w:val="auto"/>
              </w:rPr>
            </w:pPr>
          </w:p>
        </w:tc>
        <w:tc>
          <w:tcPr>
            <w:tcW w:w="5080" w:type="dxa"/>
            <w:vAlign w:val="bottom"/>
          </w:tcPr>
          <w:p>
            <w:pPr>
              <w:spacing w:after="0" w:line="156" w:lineRule="exact"/>
              <w:rPr>
                <w:sz w:val="20"/>
                <w:szCs w:val="20"/>
                <w:color w:val="auto"/>
              </w:rPr>
            </w:pPr>
            <w:r>
              <w:rPr>
                <w:rFonts w:ascii="Arial" w:cs="Arial" w:eastAsia="Arial" w:hAnsi="Arial"/>
                <w:sz w:val="18"/>
                <w:szCs w:val="18"/>
                <w:color w:val="auto"/>
              </w:rPr>
              <w:t>Signature of LEX KERSSEMAKERS</w:t>
            </w:r>
          </w:p>
        </w:tc>
        <w:tc>
          <w:tcPr>
            <w:tcW w:w="0" w:type="dxa"/>
            <w:vAlign w:val="bottom"/>
          </w:tcPr>
          <w:p>
            <w:pPr>
              <w:spacing w:after="0"/>
              <w:rPr>
                <w:sz w:val="1"/>
                <w:szCs w:val="1"/>
                <w:color w:val="auto"/>
              </w:rPr>
            </w:pPr>
          </w:p>
        </w:tc>
      </w:tr>
      <w:tr>
        <w:trPr>
          <w:trHeight w:val="215"/>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/s/ PER ANSGAR</w:t>
            </w:r>
          </w:p>
        </w:tc>
        <w:tc>
          <w:tcPr>
            <w:tcW w:w="0" w:type="dxa"/>
            <w:vAlign w:val="bottom"/>
          </w:tcPr>
          <w:p>
            <w:pPr>
              <w:spacing w:after="0"/>
              <w:rPr>
                <w:sz w:val="1"/>
                <w:szCs w:val="1"/>
                <w:color w:val="auto"/>
              </w:rPr>
            </w:pPr>
          </w:p>
        </w:tc>
      </w:tr>
      <w:tr>
        <w:trPr>
          <w:trHeight w:val="54"/>
        </w:trPr>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20" w:type="dxa"/>
            <w:vAlign w:val="bottom"/>
            <w:vMerge w:val="continue"/>
          </w:tcPr>
          <w:p>
            <w:pPr>
              <w:spacing w:after="0"/>
              <w:rPr>
                <w:sz w:val="13"/>
                <w:szCs w:val="13"/>
                <w:color w:val="auto"/>
              </w:rPr>
            </w:pPr>
          </w:p>
        </w:tc>
        <w:tc>
          <w:tcPr>
            <w:tcW w:w="5080" w:type="dxa"/>
            <w:vAlign w:val="bottom"/>
          </w:tcPr>
          <w:p>
            <w:pPr>
              <w:spacing w:after="0" w:line="156" w:lineRule="exact"/>
              <w:rPr>
                <w:sz w:val="20"/>
                <w:szCs w:val="20"/>
                <w:color w:val="auto"/>
              </w:rPr>
            </w:pPr>
            <w:r>
              <w:rPr>
                <w:rFonts w:ascii="Arial" w:cs="Arial" w:eastAsia="Arial" w:hAnsi="Arial"/>
                <w:sz w:val="18"/>
                <w:szCs w:val="18"/>
                <w:color w:val="auto"/>
              </w:rPr>
              <w:t>Signature of PER ANSGAR</w:t>
            </w: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By executing this document, the signatories warrant that the</w:t>
            </w: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w w:val="92"/>
              </w:rPr>
              <w:t>signatories are duly authorised to execute this document on behalf of</w:t>
            </w: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SNITA HOLDING B.V.</w:t>
            </w:r>
          </w:p>
        </w:tc>
        <w:tc>
          <w:tcPr>
            <w:tcW w:w="0" w:type="dxa"/>
            <w:vAlign w:val="bottom"/>
          </w:tcPr>
          <w:p>
            <w:pPr>
              <w:spacing w:after="0"/>
              <w:rPr>
                <w:sz w:val="1"/>
                <w:szCs w:val="1"/>
                <w:color w:val="auto"/>
              </w:rPr>
            </w:pPr>
          </w:p>
        </w:tc>
      </w:tr>
      <w:tr>
        <w:trPr>
          <w:trHeight w:val="175"/>
        </w:trPr>
        <w:tc>
          <w:tcPr>
            <w:tcW w:w="220" w:type="dxa"/>
            <w:vAlign w:val="bottom"/>
          </w:tcPr>
          <w:p>
            <w:pPr>
              <w:jc w:val="right"/>
              <w:ind w:right="81"/>
              <w:spacing w:after="0" w:line="175" w:lineRule="exact"/>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2">
            <w:col w:w="5600" w:space="120"/>
            <w:col w:w="5300"/>
          </w:cols>
          <w:pgMar w:left="440" w:top="274" w:right="4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Amendment Acknowledgement Agreement to the Shareholders Agreement</w:t>
      </w:r>
      <w:r>
        <w:rPr>
          <w:rFonts w:ascii="Arial" w:cs="Arial" w:eastAsia="Arial" w:hAnsi="Arial"/>
          <w:sz w:val="15"/>
          <w:szCs w:val="15"/>
          <w:color w:val="auto"/>
        </w:rPr>
        <w:t>)</w:t>
      </w:r>
    </w:p>
    <w:p>
      <w:pPr>
        <w:sectPr>
          <w:pgSz w:w="11900" w:h="16838" w:orient="portrait"/>
          <w:cols w:equalWidth="0" w:num="1">
            <w:col w:w="11020"/>
          </w:cols>
          <w:pgMar w:left="440" w:top="274" w:right="4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Amendment to be executed as of the date first written above.</w:t>
      </w:r>
    </w:p>
    <w:p>
      <w:pPr>
        <w:sectPr>
          <w:pgSz w:w="11900" w:h="16838" w:orient="portrait"/>
          <w:cols w:equalWidth="0" w:num="1">
            <w:col w:w="11020"/>
          </w:cols>
          <w:pgMar w:left="440" w:top="274" w:right="439" w:bottom="1440" w:gutter="0" w:footer="0" w:header="0"/>
        </w:sectPr>
      </w:pPr>
    </w:p>
    <w:p>
      <w:pPr>
        <w:spacing w:after="0" w:line="28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 xml:space="preserve">for and on behalf of </w:t>
      </w:r>
      <w:r>
        <w:rPr>
          <w:sz w:val="1"/>
          <w:szCs w:val="1"/>
          <w:color w:val="auto"/>
        </w:rPr>
        <w:drawing>
          <wp:inline distT="0" distB="0" distL="0" distR="0">
            <wp:extent cx="720090" cy="11112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090" cy="111125"/>
                    </a:xfrm>
                    <a:prstGeom prst="rect">
                      <a:avLst/>
                    </a:prstGeom>
                    <a:noFill/>
                    <a:ln>
                      <a:noFill/>
                    </a:ln>
                  </pic:spPr>
                </pic:pic>
              </a:graphicData>
            </a:graphic>
          </wp:inline>
        </w:drawing>
        <w:drawing>
          <wp:inline distT="0" distB="0" distL="0" distR="0">
            <wp:extent cx="891540" cy="11112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91540" cy="111125"/>
                    </a:xfrm>
                    <a:prstGeom prst="rect">
                      <a:avLst/>
                    </a:prstGeom>
                    <a:noFill/>
                    <a:ln>
                      <a:noFill/>
                    </a:ln>
                  </pic:spPr>
                </pic:pic>
              </a:graphicData>
            </a:graphic>
          </wp:inline>
        </w:drawing>
      </w:r>
      <w:r>
        <w:rPr>
          <w:rFonts w:ascii="Arial" w:cs="Arial" w:eastAsia="Arial" w:hAnsi="Arial"/>
          <w:sz w:val="18"/>
          <w:szCs w:val="18"/>
          <w:b w:val="1"/>
          <w:bCs w:val="1"/>
          <w:color w:val="auto"/>
        </w:rPr>
        <w:t xml:space="preserve"> ZHEJIANG GEELY HOLDING GROUP CO., LTD.</w:t>
      </w:r>
      <w:r>
        <w:rPr>
          <w:rFonts w:ascii="Arial" w:cs="Arial" w:eastAsia="Arial" w:hAnsi="Arial"/>
          <w:sz w:val="18"/>
          <w:szCs w:val="18"/>
          <w:color w:val="auto"/>
        </w:rPr>
        <w:t>,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in PRC by SHUFU LI, being a Person who, in accordance with applicable laws or regulations of that place, is acting under the authority of such company, in the presence of:</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YIMIN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YIMIN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66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14605</wp:posOffset>
            </wp:positionV>
            <wp:extent cx="32143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Official seal of </w:t>
      </w:r>
      <w:r>
        <w:rPr>
          <w:sz w:val="1"/>
          <w:szCs w:val="1"/>
          <w:color w:val="auto"/>
        </w:rPr>
        <w:drawing>
          <wp:inline distT="0" distB="0" distL="0" distR="0">
            <wp:extent cx="1354455" cy="1117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54455" cy="111760"/>
                    </a:xfrm>
                    <a:prstGeom prst="rect">
                      <a:avLst/>
                    </a:prstGeom>
                    <a:noFill/>
                    <a:ln>
                      <a:noFill/>
                    </a:ln>
                  </pic:spPr>
                </pic:pic>
              </a:graphicData>
            </a:graphic>
          </wp:inline>
        </w:drawing>
        <w:drawing>
          <wp:inline distT="0" distB="0" distL="0" distR="0">
            <wp:extent cx="111760" cy="1117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Zhejiang Geely</w:t>
      </w:r>
    </w:p>
    <w:p>
      <w:pPr>
        <w:spacing w:after="0" w:line="20" w:lineRule="exact"/>
        <w:rPr>
          <w:sz w:val="20"/>
          <w:szCs w:val="20"/>
          <w:color w:val="auto"/>
        </w:rPr>
      </w:pPr>
    </w:p>
    <w:p>
      <w:pPr>
        <w:ind w:left="220" w:hanging="220"/>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Holding Group Co., Ltd.</w:t>
      </w:r>
    </w:p>
    <w:p>
      <w:pPr>
        <w:spacing w:after="0"/>
        <w:tabs>
          <w:tab w:leader="none" w:pos="0" w:val="left"/>
        </w:tabs>
        <w:numPr>
          <w:ilvl w:val="0"/>
          <w:numId w:val="17"/>
        </w:numPr>
        <w:rPr>
          <w:rFonts w:ascii="Arial" w:cs="Arial" w:eastAsia="Arial" w:hAnsi="Arial"/>
          <w:sz w:val="18"/>
          <w:szCs w:val="18"/>
          <w:color w:val="auto"/>
        </w:r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/s/ SHUFU LI</w:t>
            </w:r>
          </w:p>
        </w:tc>
        <w:tc>
          <w:tcPr>
            <w:tcW w:w="0" w:type="dxa"/>
            <w:vAlign w:val="bottom"/>
          </w:tcPr>
          <w:p>
            <w:pPr>
              <w:spacing w:after="0"/>
              <w:rPr>
                <w:sz w:val="1"/>
                <w:szCs w:val="1"/>
                <w:color w:val="auto"/>
              </w:rPr>
            </w:pPr>
          </w:p>
        </w:tc>
      </w:tr>
      <w:tr>
        <w:trPr>
          <w:trHeight w:val="54"/>
        </w:trPr>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20" w:type="dxa"/>
            <w:vAlign w:val="bottom"/>
            <w:vMerge w:val="continue"/>
          </w:tcPr>
          <w:p>
            <w:pPr>
              <w:spacing w:after="0"/>
              <w:rPr>
                <w:sz w:val="13"/>
                <w:szCs w:val="13"/>
                <w:color w:val="auto"/>
              </w:rPr>
            </w:pPr>
          </w:p>
        </w:tc>
        <w:tc>
          <w:tcPr>
            <w:tcW w:w="5080" w:type="dxa"/>
            <w:vAlign w:val="bottom"/>
          </w:tcPr>
          <w:p>
            <w:pPr>
              <w:spacing w:after="0" w:line="156" w:lineRule="exact"/>
              <w:rPr>
                <w:sz w:val="20"/>
                <w:szCs w:val="20"/>
                <w:color w:val="auto"/>
              </w:rPr>
            </w:pPr>
            <w:r>
              <w:rPr>
                <w:rFonts w:ascii="Arial" w:cs="Arial" w:eastAsia="Arial" w:hAnsi="Arial"/>
                <w:sz w:val="18"/>
                <w:szCs w:val="18"/>
                <w:color w:val="auto"/>
              </w:rPr>
              <w:t>Signature of SHUFU LI</w:t>
            </w:r>
          </w:p>
        </w:tc>
        <w:tc>
          <w:tcPr>
            <w:tcW w:w="0" w:type="dxa"/>
            <w:vAlign w:val="bottom"/>
          </w:tcPr>
          <w:p>
            <w:pPr>
              <w:spacing w:after="0"/>
              <w:rPr>
                <w:sz w:val="1"/>
                <w:szCs w:val="1"/>
                <w:color w:val="auto"/>
              </w:rPr>
            </w:pPr>
          </w:p>
        </w:tc>
      </w:tr>
      <w:tr>
        <w:trPr>
          <w:trHeight w:val="188"/>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vMerge w:val="restart"/>
          </w:tcPr>
          <w:p>
            <w:pPr>
              <w:spacing w:after="0"/>
              <w:rPr>
                <w:sz w:val="20"/>
                <w:szCs w:val="20"/>
                <w:color w:val="auto"/>
              </w:rPr>
            </w:pPr>
            <w:r>
              <w:rPr>
                <w:rFonts w:ascii="Arial" w:cs="Arial" w:eastAsia="Arial" w:hAnsi="Arial"/>
                <w:sz w:val="18"/>
                <w:szCs w:val="18"/>
                <w:color w:val="auto"/>
                <w:w w:val="91"/>
              </w:rPr>
              <w:t>By executing this document, the signatory warrants that the signatory</w:t>
            </w:r>
          </w:p>
        </w:tc>
        <w:tc>
          <w:tcPr>
            <w:tcW w:w="0" w:type="dxa"/>
            <w:vAlign w:val="bottom"/>
          </w:tcPr>
          <w:p>
            <w:pPr>
              <w:spacing w:after="0"/>
              <w:rPr>
                <w:sz w:val="1"/>
                <w:szCs w:val="1"/>
                <w:color w:val="auto"/>
              </w:rPr>
            </w:pPr>
          </w:p>
        </w:tc>
      </w:tr>
      <w:tr>
        <w:trPr>
          <w:trHeight w:val="151"/>
        </w:trPr>
        <w:tc>
          <w:tcPr>
            <w:tcW w:w="220" w:type="dxa"/>
            <w:vAlign w:val="bottom"/>
          </w:tcPr>
          <w:p>
            <w:pPr>
              <w:jc w:val="right"/>
              <w:ind w:right="81"/>
              <w:spacing w:after="0" w:line="151" w:lineRule="exact"/>
              <w:rPr>
                <w:sz w:val="20"/>
                <w:szCs w:val="20"/>
                <w:color w:val="auto"/>
              </w:rPr>
            </w:pPr>
            <w:r>
              <w:rPr>
                <w:rFonts w:ascii="Arial" w:cs="Arial" w:eastAsia="Arial" w:hAnsi="Arial"/>
                <w:sz w:val="16"/>
                <w:szCs w:val="16"/>
                <w:color w:val="auto"/>
                <w:w w:val="74"/>
              </w:rPr>
              <w:t>)</w:t>
            </w:r>
          </w:p>
        </w:tc>
        <w:tc>
          <w:tcPr>
            <w:tcW w:w="5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is duly authorised to execute this document on behalf of</w:t>
            </w:r>
          </w:p>
        </w:tc>
        <w:tc>
          <w:tcPr>
            <w:tcW w:w="0" w:type="dxa"/>
            <w:vAlign w:val="bottom"/>
          </w:tcPr>
          <w:p>
            <w:pPr>
              <w:spacing w:after="0"/>
              <w:rPr>
                <w:sz w:val="1"/>
                <w:szCs w:val="1"/>
                <w:color w:val="auto"/>
              </w:rPr>
            </w:pPr>
          </w:p>
        </w:tc>
      </w:tr>
      <w:tr>
        <w:trPr>
          <w:trHeight w:val="200"/>
        </w:trPr>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ind w:left="2620"/>
              <w:spacing w:after="0" w:line="200" w:lineRule="exact"/>
              <w:rPr>
                <w:sz w:val="20"/>
                <w:szCs w:val="20"/>
                <w:color w:val="auto"/>
              </w:rPr>
            </w:pPr>
            <w:r>
              <w:rPr>
                <w:rFonts w:ascii="Arial" w:cs="Arial" w:eastAsia="Arial" w:hAnsi="Arial"/>
                <w:sz w:val="18"/>
                <w:szCs w:val="18"/>
                <w:color w:val="auto"/>
              </w:rPr>
              <w:t>ZHEJIANG GEELY HOLDING</w:t>
            </w:r>
          </w:p>
        </w:tc>
        <w:tc>
          <w:tcPr>
            <w:tcW w:w="0" w:type="dxa"/>
            <w:vAlign w:val="bottom"/>
          </w:tcPr>
          <w:p>
            <w:pPr>
              <w:spacing w:after="0"/>
              <w:rPr>
                <w:sz w:val="1"/>
                <w:szCs w:val="1"/>
                <w:color w:val="auto"/>
              </w:rPr>
            </w:pPr>
          </w:p>
        </w:tc>
      </w:tr>
      <w:tr>
        <w:trPr>
          <w:trHeight w:val="68"/>
        </w:trPr>
        <w:tc>
          <w:tcPr>
            <w:tcW w:w="220" w:type="dxa"/>
            <w:vAlign w:val="bottom"/>
            <w:vMerge w:val="continue"/>
          </w:tcPr>
          <w:p>
            <w:pPr>
              <w:spacing w:after="0"/>
              <w:rPr>
                <w:sz w:val="5"/>
                <w:szCs w:val="5"/>
                <w:color w:val="auto"/>
              </w:rPr>
            </w:pPr>
          </w:p>
        </w:tc>
        <w:tc>
          <w:tcPr>
            <w:tcW w:w="5080" w:type="dxa"/>
            <w:vAlign w:val="bottom"/>
            <w:vMerge w:val="restart"/>
          </w:tcPr>
          <w:p>
            <w:pPr>
              <w:spacing w:after="0"/>
              <w:rPr>
                <w:sz w:val="20"/>
                <w:szCs w:val="20"/>
                <w:color w:val="auto"/>
              </w:rPr>
            </w:pPr>
            <w:r>
              <w:rPr>
                <w:rFonts w:ascii="Arial" w:cs="Arial" w:eastAsia="Arial" w:hAnsi="Arial"/>
                <w:sz w:val="18"/>
                <w:szCs w:val="18"/>
                <w:color w:val="auto"/>
              </w:rPr>
              <w:t>GROUP CO., LTD.</w:t>
            </w: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-599440</wp:posOffset>
            </wp:positionV>
            <wp:extent cx="1628775" cy="1111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28775" cy="111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220"/>
            <w:col w:w="5300"/>
          </w:cols>
          <w:pgMar w:left="440" w:top="274" w:right="4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Amendment Acknowledgement Agreement to the Shareholders Agreement</w:t>
      </w:r>
      <w:r>
        <w:rPr>
          <w:rFonts w:ascii="Arial" w:cs="Arial" w:eastAsia="Arial" w:hAnsi="Arial"/>
          <w:sz w:val="15"/>
          <w:szCs w:val="15"/>
          <w:color w:val="auto"/>
        </w:rPr>
        <w:t>)</w:t>
      </w:r>
    </w:p>
    <w:p>
      <w:pPr>
        <w:sectPr>
          <w:pgSz w:w="11900" w:h="16838" w:orient="portrait"/>
          <w:cols w:equalWidth="0" w:num="1">
            <w:col w:w="11020"/>
          </w:cols>
          <w:pgMar w:left="440" w:top="274" w:right="4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Amendment to be executed as of the date first written above.</w:t>
      </w:r>
    </w:p>
    <w:p>
      <w:pPr>
        <w:sectPr>
          <w:pgSz w:w="11900" w:h="16838" w:orient="portrait"/>
          <w:cols w:equalWidth="0" w:num="1">
            <w:col w:w="10940"/>
          </w:cols>
          <w:pgMar w:left="440" w:top="274" w:right="519" w:bottom="1440" w:gutter="0" w:footer="0" w:header="0"/>
        </w:sectPr>
      </w:pPr>
    </w:p>
    <w:p>
      <w:pPr>
        <w:spacing w:after="0" w:line="27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SIGNED for and on behalf of </w:t>
      </w:r>
      <w:r>
        <w:rPr>
          <w:rFonts w:ascii="Arial" w:cs="Arial" w:eastAsia="Arial" w:hAnsi="Arial"/>
          <w:sz w:val="17"/>
          <w:szCs w:val="17"/>
          <w:b w:val="1"/>
          <w:bCs w:val="1"/>
          <w:color w:val="auto"/>
        </w:rPr>
        <w:t>PSD INVESTMENT LIMITED</w:t>
      </w:r>
      <w:r>
        <w:rPr>
          <w:rFonts w:ascii="Arial" w:cs="Arial" w:eastAsia="Arial" w:hAnsi="Arial"/>
          <w:sz w:val="17"/>
          <w:szCs w:val="17"/>
          <w:color w:val="auto"/>
        </w:rPr>
        <w:t>, a company incorporated in British Virgin Islands by SHUFU LI, being a Person who, in accordance with applicable laws or regulations of that place, is acting under the authority of such company, in the presence of:</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 YIMIN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YIMIN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66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 SHUFU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14605</wp:posOffset>
            </wp:positionV>
            <wp:extent cx="32143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Signature of SHUFU LI</w:t>
      </w:r>
    </w:p>
    <w:p>
      <w:pPr>
        <w:spacing w:after="0" w:line="11" w:lineRule="exact"/>
        <w:rPr>
          <w:sz w:val="20"/>
          <w:szCs w:val="20"/>
          <w:color w:val="auto"/>
        </w:rPr>
      </w:pPr>
    </w:p>
    <w:p>
      <w:pPr>
        <w:ind w:left="220" w:hanging="220"/>
        <w:spacing w:after="0"/>
        <w:tabs>
          <w:tab w:leader="none" w:pos="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By executing this document, the signatory warrants that the signatory</w:t>
      </w:r>
    </w:p>
    <w:p>
      <w:pPr>
        <w:spacing w:after="0" w:line="43" w:lineRule="exact"/>
        <w:rPr>
          <w:rFonts w:ascii="Arial" w:cs="Arial" w:eastAsia="Arial" w:hAnsi="Arial"/>
          <w:sz w:val="16"/>
          <w:szCs w:val="16"/>
          <w:color w:val="auto"/>
        </w:rPr>
      </w:pPr>
    </w:p>
    <w:p>
      <w:pPr>
        <w:ind w:left="220" w:hanging="220"/>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duly authorised to execute this document on behalf of PSD</w:t>
      </w:r>
    </w:p>
    <w:p>
      <w:pPr>
        <w:spacing w:after="0" w:line="9" w:lineRule="exact"/>
        <w:rPr>
          <w:rFonts w:ascii="Arial" w:cs="Arial" w:eastAsia="Arial" w:hAnsi="Arial"/>
          <w:sz w:val="18"/>
          <w:szCs w:val="18"/>
          <w:color w:val="auto"/>
        </w:rPr>
      </w:pPr>
    </w:p>
    <w:p>
      <w:pPr>
        <w:ind w:left="220" w:hanging="220"/>
        <w:spacing w:after="0" w:line="236"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Investment Limited</w:t>
      </w:r>
    </w:p>
    <w:p>
      <w:pPr>
        <w:spacing w:after="0"/>
        <w:tabs>
          <w:tab w:leader="none" w:pos="0" w:val="left"/>
        </w:tabs>
        <w:numPr>
          <w:ilvl w:val="0"/>
          <w:numId w:val="18"/>
        </w:numPr>
        <w:rPr>
          <w:rFonts w:ascii="Arial" w:cs="Arial" w:eastAsia="Arial" w:hAnsi="Arial"/>
          <w:sz w:val="18"/>
          <w:szCs w:val="18"/>
          <w:color w:val="auto"/>
        </w:rPr>
      </w:pPr>
    </w:p>
    <w:p>
      <w:pPr>
        <w:spacing w:after="0" w:line="7" w:lineRule="exact"/>
        <w:rPr>
          <w:rFonts w:ascii="Arial" w:cs="Arial" w:eastAsia="Arial" w:hAnsi="Arial"/>
          <w:sz w:val="18"/>
          <w:szCs w:val="18"/>
          <w:color w:val="auto"/>
        </w:rPr>
      </w:pPr>
    </w:p>
    <w:p>
      <w:pPr>
        <w:spacing w:after="0"/>
        <w:tabs>
          <w:tab w:leader="none" w:pos="0" w:val="left"/>
        </w:tabs>
        <w:numPr>
          <w:ilvl w:val="0"/>
          <w:numId w:val="18"/>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8"/>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8"/>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8"/>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8"/>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8"/>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8"/>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8"/>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8"/>
        </w:numPr>
        <w:rPr>
          <w:rFonts w:ascii="Arial" w:cs="Arial" w:eastAsia="Arial" w:hAnsi="Arial"/>
          <w:sz w:val="18"/>
          <w:szCs w:val="18"/>
          <w:color w:val="auto"/>
        </w:rPr>
      </w:pPr>
    </w:p>
    <w:p>
      <w:pPr>
        <w:spacing w:after="0" w:line="200" w:lineRule="exact"/>
        <w:rPr>
          <w:sz w:val="20"/>
          <w:szCs w:val="20"/>
          <w:color w:val="auto"/>
        </w:rPr>
      </w:pPr>
    </w:p>
    <w:p>
      <w:pPr>
        <w:sectPr>
          <w:pgSz w:w="11900" w:h="16838" w:orient="portrait"/>
          <w:cols w:equalWidth="0" w:num="2">
            <w:col w:w="5480" w:space="240"/>
            <w:col w:w="5220"/>
          </w:cols>
          <w:pgMar w:left="440" w:top="274" w:right="519" w:bottom="1440" w:gutter="0" w:footer="0" w:header="0"/>
          <w:type w:val="continuous"/>
        </w:sectPr>
      </w:pP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Amendment Acknowledgement Agreement to the Shareholders Agreement</w:t>
      </w:r>
      <w:r>
        <w:rPr>
          <w:rFonts w:ascii="Arial" w:cs="Arial" w:eastAsia="Arial" w:hAnsi="Arial"/>
          <w:sz w:val="15"/>
          <w:szCs w:val="15"/>
          <w:color w:val="auto"/>
        </w:rPr>
        <w:t>)</w:t>
      </w:r>
    </w:p>
    <w:p>
      <w:pPr>
        <w:sectPr>
          <w:pgSz w:w="11900" w:h="16838" w:orient="portrait"/>
          <w:cols w:equalWidth="0" w:num="1">
            <w:col w:w="10940"/>
          </w:cols>
          <w:pgMar w:left="440" w:top="274" w:right="51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Amendment to be executed as of the date first written above.</w:t>
      </w:r>
    </w:p>
    <w:p>
      <w:pPr>
        <w:sectPr>
          <w:pgSz w:w="11900" w:h="16838" w:orient="portrait"/>
          <w:cols w:equalWidth="0" w:num="1">
            <w:col w:w="11020"/>
          </w:cols>
          <w:pgMar w:left="440" w:top="274" w:right="439" w:bottom="1440" w:gutter="0" w:footer="0" w:header="0"/>
        </w:sectPr>
      </w:pPr>
    </w:p>
    <w:p>
      <w:pPr>
        <w:spacing w:after="0" w:line="27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w:t>
      </w:r>
      <w:r>
        <w:rPr>
          <w:rFonts w:ascii="Arial" w:cs="Arial" w:eastAsia="Arial" w:hAnsi="Arial"/>
          <w:sz w:val="18"/>
          <w:szCs w:val="18"/>
          <w:b w:val="1"/>
          <w:bCs w:val="1"/>
          <w:color w:val="auto"/>
        </w:rPr>
        <w:t xml:space="preserve"> PSINV AB</w:t>
      </w:r>
      <w:r>
        <w:rPr>
          <w:rFonts w:ascii="Arial" w:cs="Arial" w:eastAsia="Arial" w:hAnsi="Arial"/>
          <w:sz w:val="18"/>
          <w:szCs w:val="18"/>
          <w:color w:val="auto"/>
        </w:rPr>
        <w:t>, a company incorporated in</w:t>
      </w:r>
      <w:r>
        <w:rPr>
          <w:rFonts w:ascii="Arial" w:cs="Arial" w:eastAsia="Arial" w:hAnsi="Arial"/>
          <w:sz w:val="18"/>
          <w:szCs w:val="18"/>
          <w:b w:val="1"/>
          <w:bCs w:val="1"/>
          <w:color w:val="auto"/>
        </w:rPr>
        <w:t xml:space="preserve"> </w:t>
      </w:r>
      <w:r>
        <w:rPr>
          <w:rFonts w:ascii="Arial" w:cs="Arial" w:eastAsia="Arial" w:hAnsi="Arial"/>
          <w:sz w:val="18"/>
          <w:szCs w:val="18"/>
          <w:color w:val="auto"/>
        </w:rPr>
        <w:t>Sweden by FREDRIK AABEN and PER ANSGAR, being Persons who, in accordance with applicable laws or regulations of that place, is acting under the authority of such company, in the presence 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ROSMARIE SÖDERBOM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ROSMARIE SÖDERBOM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66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 FREDRIK AABEN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14605</wp:posOffset>
            </wp:positionV>
            <wp:extent cx="32143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220" w:hanging="220"/>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Signature of FREDRIK AABEN</w:t>
      </w:r>
    </w:p>
    <w:p>
      <w:pPr>
        <w:spacing w:after="0" w:line="10" w:lineRule="exact"/>
        <w:rPr>
          <w:rFonts w:ascii="Arial" w:cs="Arial" w:eastAsia="Arial" w:hAnsi="Arial"/>
          <w:sz w:val="18"/>
          <w:szCs w:val="18"/>
          <w:color w:val="auto"/>
        </w:rPr>
      </w:pPr>
    </w:p>
    <w:p>
      <w:pPr>
        <w:spacing w:after="0"/>
        <w:tabs>
          <w:tab w:leader="none" w:pos="0" w:val="left"/>
        </w:tabs>
        <w:numPr>
          <w:ilvl w:val="0"/>
          <w:numId w:val="19"/>
        </w:numPr>
        <w:rPr>
          <w:rFonts w:ascii="Arial" w:cs="Arial" w:eastAsia="Arial" w:hAnsi="Arial"/>
          <w:sz w:val="18"/>
          <w:szCs w:val="18"/>
          <w:color w:val="auto"/>
        </w:r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/s/ PER ANSGAR</w:t>
            </w:r>
          </w:p>
        </w:tc>
        <w:tc>
          <w:tcPr>
            <w:tcW w:w="0" w:type="dxa"/>
            <w:vAlign w:val="bottom"/>
          </w:tcPr>
          <w:p>
            <w:pPr>
              <w:spacing w:after="0"/>
              <w:rPr>
                <w:sz w:val="1"/>
                <w:szCs w:val="1"/>
                <w:color w:val="auto"/>
              </w:rPr>
            </w:pPr>
          </w:p>
        </w:tc>
      </w:tr>
      <w:tr>
        <w:trPr>
          <w:trHeight w:val="54"/>
        </w:trPr>
        <w:tc>
          <w:tcPr>
            <w:tcW w:w="220" w:type="dxa"/>
            <w:vAlign w:val="bottom"/>
            <w:vMerge w:val="restart"/>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20" w:type="dxa"/>
            <w:vAlign w:val="bottom"/>
            <w:vMerge w:val="continue"/>
          </w:tcPr>
          <w:p>
            <w:pPr>
              <w:spacing w:after="0"/>
              <w:rPr>
                <w:sz w:val="13"/>
                <w:szCs w:val="13"/>
                <w:color w:val="auto"/>
              </w:rPr>
            </w:pPr>
          </w:p>
        </w:tc>
        <w:tc>
          <w:tcPr>
            <w:tcW w:w="5080" w:type="dxa"/>
            <w:vAlign w:val="bottom"/>
          </w:tcPr>
          <w:p>
            <w:pPr>
              <w:spacing w:after="0" w:line="156" w:lineRule="exact"/>
              <w:rPr>
                <w:sz w:val="20"/>
                <w:szCs w:val="20"/>
                <w:color w:val="auto"/>
              </w:rPr>
            </w:pPr>
            <w:r>
              <w:rPr>
                <w:rFonts w:ascii="Arial" w:cs="Arial" w:eastAsia="Arial" w:hAnsi="Arial"/>
                <w:sz w:val="18"/>
                <w:szCs w:val="18"/>
                <w:color w:val="auto"/>
              </w:rPr>
              <w:t>Signature of PER ANSGAR</w:t>
            </w:r>
          </w:p>
        </w:tc>
        <w:tc>
          <w:tcPr>
            <w:tcW w:w="0" w:type="dxa"/>
            <w:vAlign w:val="bottom"/>
          </w:tcPr>
          <w:p>
            <w:pPr>
              <w:spacing w:after="0"/>
              <w:rPr>
                <w:sz w:val="1"/>
                <w:szCs w:val="1"/>
                <w:color w:val="auto"/>
              </w:rPr>
            </w:pPr>
          </w:p>
        </w:tc>
      </w:tr>
      <w:tr>
        <w:trPr>
          <w:trHeight w:val="202"/>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vMerge w:val="restart"/>
          </w:tcPr>
          <w:p>
            <w:pPr>
              <w:spacing w:after="0"/>
              <w:rPr>
                <w:sz w:val="20"/>
                <w:szCs w:val="20"/>
                <w:color w:val="auto"/>
              </w:rPr>
            </w:pPr>
            <w:r>
              <w:rPr>
                <w:rFonts w:ascii="Arial" w:cs="Arial" w:eastAsia="Arial" w:hAnsi="Arial"/>
                <w:sz w:val="18"/>
                <w:szCs w:val="18"/>
                <w:color w:val="auto"/>
              </w:rPr>
              <w:t>By executing this document, the signatories warrant that the</w:t>
            </w:r>
          </w:p>
        </w:tc>
        <w:tc>
          <w:tcPr>
            <w:tcW w:w="0" w:type="dxa"/>
            <w:vAlign w:val="bottom"/>
          </w:tcPr>
          <w:p>
            <w:pPr>
              <w:spacing w:after="0"/>
              <w:rPr>
                <w:sz w:val="1"/>
                <w:szCs w:val="1"/>
                <w:color w:val="auto"/>
              </w:rPr>
            </w:pPr>
          </w:p>
        </w:tc>
      </w:tr>
      <w:tr>
        <w:trPr>
          <w:trHeight w:val="137"/>
        </w:trPr>
        <w:tc>
          <w:tcPr>
            <w:tcW w:w="220" w:type="dxa"/>
            <w:vAlign w:val="bottom"/>
          </w:tcPr>
          <w:p>
            <w:pPr>
              <w:jc w:val="right"/>
              <w:ind w:right="82"/>
              <w:spacing w:after="0" w:line="138" w:lineRule="exact"/>
              <w:rPr>
                <w:sz w:val="20"/>
                <w:szCs w:val="20"/>
                <w:color w:val="auto"/>
              </w:rPr>
            </w:pPr>
            <w:r>
              <w:rPr>
                <w:rFonts w:ascii="Arial" w:cs="Arial" w:eastAsia="Arial" w:hAnsi="Arial"/>
                <w:sz w:val="15"/>
                <w:szCs w:val="15"/>
                <w:color w:val="auto"/>
                <w:w w:val="79"/>
              </w:rPr>
              <w:t>)</w:t>
            </w:r>
          </w:p>
        </w:tc>
        <w:tc>
          <w:tcPr>
            <w:tcW w:w="5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w w:val="92"/>
              </w:rPr>
              <w:t>signatories are duly authorised to execute this document on behalf of</w:t>
            </w:r>
          </w:p>
        </w:tc>
        <w:tc>
          <w:tcPr>
            <w:tcW w:w="0" w:type="dxa"/>
            <w:vAlign w:val="bottom"/>
          </w:tcPr>
          <w:p>
            <w:pPr>
              <w:spacing w:after="0"/>
              <w:rPr>
                <w:sz w:val="1"/>
                <w:szCs w:val="1"/>
                <w:color w:val="auto"/>
              </w:rPr>
            </w:pPr>
          </w:p>
        </w:tc>
      </w:tr>
      <w:tr>
        <w:trPr>
          <w:trHeight w:val="294"/>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PSINV AB</w:t>
            </w: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60" w:space="260"/>
            <w:col w:w="5300"/>
          </w:cols>
          <w:pgMar w:left="440" w:top="274" w:right="4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Amendment Acknowledgement Agreement to the Shareholders Agreement</w:t>
      </w:r>
      <w:r>
        <w:rPr>
          <w:rFonts w:ascii="Arial" w:cs="Arial" w:eastAsia="Arial" w:hAnsi="Arial"/>
          <w:sz w:val="15"/>
          <w:szCs w:val="15"/>
          <w:color w:val="auto"/>
        </w:rPr>
        <w:t>)</w:t>
      </w:r>
    </w:p>
    <w:p>
      <w:pPr>
        <w:sectPr>
          <w:pgSz w:w="11900" w:h="16838" w:orient="portrait"/>
          <w:cols w:equalWidth="0" w:num="1">
            <w:col w:w="11020"/>
          </w:cols>
          <w:pgMar w:left="440" w:top="274" w:right="4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Amendment to be executed as of the date first written above.</w:t>
      </w:r>
    </w:p>
    <w:p>
      <w:pPr>
        <w:sectPr>
          <w:pgSz w:w="11900" w:h="16838" w:orient="portrait"/>
          <w:cols w:equalWidth="0" w:num="1">
            <w:col w:w="10940"/>
          </w:cols>
          <w:pgMar w:left="440" w:top="274" w:right="51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for and on behalf of</w:t>
      </w:r>
      <w:r>
        <w:rPr>
          <w:rFonts w:ascii="Arial" w:cs="Arial" w:eastAsia="Arial" w:hAnsi="Arial"/>
          <w:sz w:val="17"/>
          <w:szCs w:val="17"/>
          <w:b w:val="1"/>
          <w:bCs w:val="1"/>
          <w:color w:val="auto"/>
        </w:rPr>
        <w:t xml:space="preserve"> POLESTAR AUTOMOTIVE HOLDING</w:t>
      </w:r>
    </w:p>
    <w:p>
      <w:pPr>
        <w:spacing w:after="0" w:line="3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b w:val="1"/>
          <w:bCs w:val="1"/>
          <w:color w:val="auto"/>
        </w:rPr>
        <w:t xml:space="preserve">LIMITED </w:t>
      </w:r>
      <w:r>
        <w:rPr>
          <w:sz w:val="1"/>
          <w:szCs w:val="1"/>
          <w:color w:val="auto"/>
        </w:rPr>
        <w:drawing>
          <wp:inline distT="0" distB="0" distL="0" distR="0">
            <wp:extent cx="874395" cy="11112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74395" cy="111125"/>
                    </a:xfrm>
                    <a:prstGeom prst="rect">
                      <a:avLst/>
                    </a:prstGeom>
                    <a:noFill/>
                    <a:ln>
                      <a:noFill/>
                    </a:ln>
                  </pic:spPr>
                </pic:pic>
              </a:graphicData>
            </a:graphic>
          </wp:inline>
        </w:drawing>
        <w:drawing>
          <wp:inline distT="0" distB="0" distL="0" distR="0">
            <wp:extent cx="342900" cy="11112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0" cy="111125"/>
                    </a:xfrm>
                    <a:prstGeom prst="rect">
                      <a:avLst/>
                    </a:prstGeom>
                    <a:noFill/>
                    <a:ln>
                      <a:noFill/>
                    </a:ln>
                  </pic:spPr>
                </pic:pic>
              </a:graphicData>
            </a:graphic>
          </wp:inline>
        </w:drawing>
      </w:r>
      <w:r>
        <w:rPr>
          <w:rFonts w:ascii="Arial" w:cs="Arial" w:eastAsia="Arial" w:hAnsi="Arial"/>
          <w:sz w:val="18"/>
          <w:szCs w:val="18"/>
          <w:color w:val="auto"/>
        </w:rPr>
        <w:t xml:space="preserve"> , by CARLA DE GEYSELEER, being a Person who is acting under the authority of the Company, in the presence 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ELODIE THEOBALD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ELODIE THEOBALD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66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 CARLA DE GEYSELEER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14605</wp:posOffset>
            </wp:positionV>
            <wp:extent cx="32143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Signature of CARLA DE GEYSELEER</w:t>
      </w:r>
    </w:p>
    <w:p>
      <w:pPr>
        <w:spacing w:after="0" w:line="11" w:lineRule="exact"/>
        <w:rPr>
          <w:sz w:val="20"/>
          <w:szCs w:val="20"/>
          <w:color w:val="auto"/>
        </w:rPr>
      </w:pPr>
    </w:p>
    <w:p>
      <w:pPr>
        <w:ind w:left="220" w:hanging="220"/>
        <w:spacing w:after="0"/>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By executing this document, the signatory warrants that the signatory</w:t>
      </w:r>
    </w:p>
    <w:p>
      <w:pPr>
        <w:spacing w:after="0" w:line="43" w:lineRule="exact"/>
        <w:rPr>
          <w:rFonts w:ascii="Arial" w:cs="Arial" w:eastAsia="Arial" w:hAnsi="Arial"/>
          <w:sz w:val="16"/>
          <w:szCs w:val="16"/>
          <w:color w:val="auto"/>
        </w:rPr>
      </w:pPr>
    </w:p>
    <w:p>
      <w:pPr>
        <w:ind w:left="220" w:hanging="220"/>
        <w:spacing w:after="0"/>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is duly authorised to execute this document on behalf of POLESTAR</w:t>
      </w:r>
    </w:p>
    <w:p>
      <w:pPr>
        <w:spacing w:after="0" w:line="23" w:lineRule="exact"/>
        <w:rPr>
          <w:sz w:val="20"/>
          <w:szCs w:val="20"/>
          <w:color w:val="auto"/>
        </w:rPr>
      </w:pPr>
    </w:p>
    <w:p>
      <w:pPr>
        <w:ind w:left="220" w:hanging="220"/>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AUTOMOTIVE HOLDING LIMITED </w:t>
      </w:r>
      <w:r>
        <w:rPr>
          <w:rFonts w:ascii="Arial" w:cs="Arial" w:eastAsia="Arial" w:hAnsi="Arial"/>
          <w:sz w:val="1"/>
          <w:szCs w:val="1"/>
          <w:color w:val="auto"/>
        </w:rPr>
        <w:drawing>
          <wp:inline distT="0" distB="0" distL="0" distR="0">
            <wp:extent cx="1200150" cy="11112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0" cy="111125"/>
                    </a:xfrm>
                    <a:prstGeom prst="rect">
                      <a:avLst/>
                    </a:prstGeom>
                    <a:noFill/>
                    <a:ln>
                      <a:noFill/>
                    </a:ln>
                  </pic:spPr>
                </pic:pic>
              </a:graphicData>
            </a:graphic>
          </wp:inline>
        </w:drawing>
      </w:r>
    </w:p>
    <w:p>
      <w:pPr>
        <w:spacing w:after="0"/>
        <w:tabs>
          <w:tab w:leader="none" w:pos="0" w:val="left"/>
        </w:tabs>
        <w:numPr>
          <w:ilvl w:val="0"/>
          <w:numId w:val="21"/>
        </w:numPr>
        <w:rPr>
          <w:rFonts w:ascii="Arial" w:cs="Arial" w:eastAsia="Arial" w:hAnsi="Arial"/>
          <w:sz w:val="18"/>
          <w:szCs w:val="18"/>
          <w:color w:val="auto"/>
        </w:rPr>
      </w:pPr>
    </w:p>
    <w:p>
      <w:pPr>
        <w:spacing w:after="0" w:line="7" w:lineRule="exact"/>
        <w:rPr>
          <w:rFonts w:ascii="Arial" w:cs="Arial" w:eastAsia="Arial" w:hAnsi="Arial"/>
          <w:sz w:val="18"/>
          <w:szCs w:val="18"/>
          <w:color w:val="auto"/>
        </w:rPr>
      </w:pPr>
    </w:p>
    <w:p>
      <w:pPr>
        <w:spacing w:after="0"/>
        <w:tabs>
          <w:tab w:leader="none" w:pos="0" w:val="left"/>
        </w:tabs>
        <w:numPr>
          <w:ilvl w:val="0"/>
          <w:numId w:val="2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2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2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2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2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2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2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2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21"/>
        </w:numPr>
        <w:rPr>
          <w:rFonts w:ascii="Arial" w:cs="Arial" w:eastAsia="Arial" w:hAnsi="Arial"/>
          <w:sz w:val="18"/>
          <w:szCs w:val="18"/>
          <w:color w:val="auto"/>
        </w:rPr>
      </w:pPr>
    </w:p>
    <w:p>
      <w:pPr>
        <w:spacing w:after="0" w:line="157" w:lineRule="exact"/>
        <w:rPr>
          <w:sz w:val="20"/>
          <w:szCs w:val="20"/>
          <w:color w:val="auto"/>
        </w:rPr>
      </w:pPr>
    </w:p>
    <w:p>
      <w:pPr>
        <w:sectPr>
          <w:pgSz w:w="11900" w:h="16838" w:orient="portrait"/>
          <w:cols w:equalWidth="0" w:num="2">
            <w:col w:w="5380" w:space="340"/>
            <w:col w:w="5220"/>
          </w:cols>
          <w:pgMar w:left="440" w:top="274" w:right="519" w:bottom="1440" w:gutter="0" w:footer="0" w:header="0"/>
          <w:type w:val="continuous"/>
        </w:sectPr>
      </w:pPr>
    </w:p>
    <w:p>
      <w:pPr>
        <w:jc w:val="center"/>
        <w:ind w:right="-7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Amendment Acknowledgement Agreement to the Shareholders Agreement</w:t>
      </w:r>
      <w:r>
        <w:rPr>
          <w:rFonts w:ascii="Arial" w:cs="Arial" w:eastAsia="Arial" w:hAnsi="Arial"/>
          <w:sz w:val="15"/>
          <w:szCs w:val="15"/>
          <w:color w:val="auto"/>
        </w:rPr>
        <w:t>)</w:t>
      </w:r>
    </w:p>
    <w:p>
      <w:pPr>
        <w:sectPr>
          <w:pgSz w:w="11900" w:h="16838" w:orient="portrait"/>
          <w:cols w:equalWidth="0" w:num="1">
            <w:col w:w="10940"/>
          </w:cols>
          <w:pgMar w:left="440" w:top="274" w:right="51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Amendment to be executed as of the date first written above.</w:t>
      </w:r>
    </w:p>
    <w:p>
      <w:pPr>
        <w:sectPr>
          <w:pgSz w:w="11900" w:h="16838" w:orient="portrait"/>
          <w:cols w:equalWidth="0" w:num="1">
            <w:col w:w="11020"/>
          </w:cols>
          <w:pgMar w:left="440" w:top="274" w:right="439" w:bottom="1440" w:gutter="0" w:footer="0" w:header="0"/>
        </w:sectPr>
      </w:pPr>
    </w:p>
    <w:p>
      <w:pPr>
        <w:spacing w:after="0" w:line="28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 xml:space="preserve">for and on behalf of </w:t>
      </w:r>
      <w:r>
        <w:rPr>
          <w:sz w:val="1"/>
          <w:szCs w:val="1"/>
          <w:color w:val="auto"/>
        </w:rPr>
        <w:drawing>
          <wp:inline distT="0" distB="0" distL="0" distR="0">
            <wp:extent cx="831215" cy="11112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31215" cy="111125"/>
                    </a:xfrm>
                    <a:prstGeom prst="rect">
                      <a:avLst/>
                    </a:prstGeom>
                    <a:noFill/>
                    <a:ln>
                      <a:noFill/>
                    </a:ln>
                  </pic:spPr>
                </pic:pic>
              </a:graphicData>
            </a:graphic>
          </wp:inline>
        </w:drawing>
        <w:drawing>
          <wp:inline distT="0" distB="0" distL="0" distR="0">
            <wp:extent cx="745490" cy="11112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45490" cy="111125"/>
                    </a:xfrm>
                    <a:prstGeom prst="rect">
                      <a:avLst/>
                    </a:prstGeom>
                    <a:noFill/>
                    <a:ln>
                      <a:noFill/>
                    </a:ln>
                  </pic:spPr>
                </pic:pic>
              </a:graphicData>
            </a:graphic>
          </wp:inline>
        </w:drawing>
      </w:r>
      <w:r>
        <w:rPr>
          <w:rFonts w:ascii="Arial" w:cs="Arial" w:eastAsia="Arial" w:hAnsi="Arial"/>
          <w:sz w:val="17"/>
          <w:szCs w:val="17"/>
          <w:b w:val="1"/>
          <w:bCs w:val="1"/>
          <w:color w:val="auto"/>
        </w:rPr>
        <w:t xml:space="preserve"> ZIBO FINANCIAL GROUP HOLDING CO., LTD</w:t>
      </w:r>
      <w:r>
        <w:rPr>
          <w:rFonts w:ascii="Arial" w:cs="Arial" w:eastAsia="Arial" w:hAnsi="Arial"/>
          <w:sz w:val="17"/>
          <w:szCs w:val="17"/>
          <w:color w:val="auto"/>
        </w:rPr>
        <w:t>., a limited liability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incorporated in PRC by XIQING WANG, being the legal representative who, in accordance with applicable laws or regulations of that place, is acting under the authority of such company, in the presence of:</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WENQING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WENQING ZHANG</w:t>
      </w:r>
      <w:r>
        <w:rPr>
          <w:rFonts w:ascii="SimSun" w:cs="SimSun" w:eastAsia="SimSun" w:hAnsi="SimSun"/>
          <w:sz w:val="16"/>
          <w:szCs w:val="16"/>
          <w:color w:val="auto"/>
        </w:rPr>
        <w:t>（张文清）</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66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66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14605</wp:posOffset>
            </wp:positionV>
            <wp:extent cx="32143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xml:space="preserve">Official seal of </w:t>
      </w:r>
      <w:r>
        <w:rPr>
          <w:sz w:val="1"/>
          <w:szCs w:val="1"/>
          <w:color w:val="auto"/>
        </w:rPr>
        <w:drawing>
          <wp:inline distT="0" distB="0" distL="0" distR="0">
            <wp:extent cx="1328420" cy="1117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28420" cy="111760"/>
                    </a:xfrm>
                    <a:prstGeom prst="rect">
                      <a:avLst/>
                    </a:prstGeom>
                    <a:noFill/>
                    <a:ln>
                      <a:noFill/>
                    </a:ln>
                  </pic:spPr>
                </pic:pic>
              </a:graphicData>
            </a:graphic>
          </wp:inline>
        </w:drawing>
        <w:drawing>
          <wp:inline distT="0" distB="0" distL="0" distR="0">
            <wp:extent cx="257175" cy="1117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7175" cy="111760"/>
                    </a:xfrm>
                    <a:prstGeom prst="rect">
                      <a:avLst/>
                    </a:prstGeom>
                    <a:noFill/>
                    <a:ln>
                      <a:noFill/>
                    </a:ln>
                  </pic:spPr>
                </pic:pic>
              </a:graphicData>
            </a:graphic>
          </wp:inline>
        </w:drawing>
      </w:r>
      <w:r>
        <w:rPr>
          <w:rFonts w:ascii="Arial" w:cs="Arial" w:eastAsia="Arial" w:hAnsi="Arial"/>
          <w:sz w:val="17"/>
          <w:szCs w:val="17"/>
          <w:color w:val="auto"/>
        </w:rPr>
        <w:t xml:space="preserve"> Zibo Financial</w:t>
      </w:r>
    </w:p>
    <w:p>
      <w:pPr>
        <w:spacing w:after="0" w:line="20" w:lineRule="exact"/>
        <w:rPr>
          <w:sz w:val="20"/>
          <w:szCs w:val="20"/>
          <w:color w:val="auto"/>
        </w:rPr>
      </w:pPr>
    </w:p>
    <w:p>
      <w:pPr>
        <w:ind w:left="220" w:hanging="220"/>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Holding Group Co., Ltd.</w:t>
      </w:r>
    </w:p>
    <w:p>
      <w:pPr>
        <w:spacing w:after="0"/>
        <w:tabs>
          <w:tab w:leader="none" w:pos="0" w:val="left"/>
        </w:tabs>
        <w:numPr>
          <w:ilvl w:val="0"/>
          <w:numId w:val="22"/>
        </w:numPr>
        <w:rPr>
          <w:rFonts w:ascii="Arial" w:cs="Arial" w:eastAsia="Arial" w:hAnsi="Arial"/>
          <w:sz w:val="18"/>
          <w:szCs w:val="18"/>
          <w:color w:val="auto"/>
        </w:r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/s/ XIQING WANG</w:t>
            </w:r>
          </w:p>
        </w:tc>
        <w:tc>
          <w:tcPr>
            <w:tcW w:w="0" w:type="dxa"/>
            <w:vAlign w:val="bottom"/>
          </w:tcPr>
          <w:p>
            <w:pPr>
              <w:spacing w:after="0"/>
              <w:rPr>
                <w:sz w:val="1"/>
                <w:szCs w:val="1"/>
                <w:color w:val="auto"/>
              </w:rPr>
            </w:pPr>
          </w:p>
        </w:tc>
      </w:tr>
      <w:tr>
        <w:trPr>
          <w:trHeight w:val="54"/>
        </w:trPr>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20" w:type="dxa"/>
            <w:vAlign w:val="bottom"/>
            <w:vMerge w:val="continue"/>
          </w:tcPr>
          <w:p>
            <w:pPr>
              <w:spacing w:after="0"/>
              <w:rPr>
                <w:sz w:val="13"/>
                <w:szCs w:val="13"/>
                <w:color w:val="auto"/>
              </w:rPr>
            </w:pPr>
          </w:p>
        </w:tc>
        <w:tc>
          <w:tcPr>
            <w:tcW w:w="5080" w:type="dxa"/>
            <w:vAlign w:val="bottom"/>
          </w:tcPr>
          <w:p>
            <w:pPr>
              <w:spacing w:after="0" w:line="156" w:lineRule="exact"/>
              <w:rPr>
                <w:sz w:val="20"/>
                <w:szCs w:val="20"/>
                <w:color w:val="auto"/>
              </w:rPr>
            </w:pPr>
            <w:r>
              <w:rPr>
                <w:rFonts w:ascii="Arial" w:cs="Arial" w:eastAsia="Arial" w:hAnsi="Arial"/>
                <w:sz w:val="18"/>
                <w:szCs w:val="18"/>
                <w:color w:val="auto"/>
              </w:rPr>
              <w:t>Signature of XIQING WANG</w:t>
            </w: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w w:val="91"/>
              </w:rPr>
              <w:t>By executing this document, the signatory warrants that the signatory</w:t>
            </w: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is duly authorised to execute this document on behalf of</w:t>
            </w:r>
          </w:p>
        </w:tc>
        <w:tc>
          <w:tcPr>
            <w:tcW w:w="0" w:type="dxa"/>
            <w:vAlign w:val="bottom"/>
          </w:tcPr>
          <w:p>
            <w:pPr>
              <w:spacing w:after="0"/>
              <w:rPr>
                <w:sz w:val="1"/>
                <w:szCs w:val="1"/>
                <w:color w:val="auto"/>
              </w:rPr>
            </w:pPr>
          </w:p>
        </w:tc>
      </w:tr>
      <w:tr>
        <w:trPr>
          <w:trHeight w:val="188"/>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vMerge w:val="restart"/>
          </w:tcPr>
          <w:p>
            <w:pPr>
              <w:ind w:left="2580"/>
              <w:spacing w:after="0"/>
              <w:rPr>
                <w:sz w:val="20"/>
                <w:szCs w:val="20"/>
                <w:color w:val="auto"/>
              </w:rPr>
            </w:pPr>
            <w:r>
              <w:rPr>
                <w:rFonts w:ascii="Arial" w:cs="Arial" w:eastAsia="Arial" w:hAnsi="Arial"/>
                <w:sz w:val="18"/>
                <w:szCs w:val="18"/>
                <w:color w:val="auto"/>
              </w:rPr>
              <w:t>Zibo Financial Holding Group</w:t>
            </w:r>
          </w:p>
        </w:tc>
        <w:tc>
          <w:tcPr>
            <w:tcW w:w="0" w:type="dxa"/>
            <w:vAlign w:val="bottom"/>
          </w:tcPr>
          <w:p>
            <w:pPr>
              <w:spacing w:after="0"/>
              <w:rPr>
                <w:sz w:val="1"/>
                <w:szCs w:val="1"/>
                <w:color w:val="auto"/>
              </w:rPr>
            </w:pPr>
          </w:p>
        </w:tc>
      </w:tr>
      <w:tr>
        <w:trPr>
          <w:trHeight w:val="81"/>
        </w:trPr>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20" w:type="dxa"/>
            <w:vAlign w:val="bottom"/>
            <w:vMerge w:val="continue"/>
          </w:tcPr>
          <w:p>
            <w:pPr>
              <w:spacing w:after="0"/>
              <w:rPr>
                <w:sz w:val="15"/>
                <w:szCs w:val="15"/>
                <w:color w:val="auto"/>
              </w:rPr>
            </w:pPr>
          </w:p>
        </w:tc>
        <w:tc>
          <w:tcPr>
            <w:tcW w:w="5080" w:type="dxa"/>
            <w:vAlign w:val="bottom"/>
          </w:tcPr>
          <w:p>
            <w:pPr>
              <w:spacing w:after="0" w:line="176" w:lineRule="exact"/>
              <w:rPr>
                <w:sz w:val="20"/>
                <w:szCs w:val="20"/>
                <w:color w:val="auto"/>
              </w:rPr>
            </w:pPr>
            <w:r>
              <w:rPr>
                <w:rFonts w:ascii="Arial" w:cs="Arial" w:eastAsia="Arial" w:hAnsi="Arial"/>
                <w:sz w:val="18"/>
                <w:szCs w:val="18"/>
                <w:color w:val="auto"/>
              </w:rPr>
              <w:t>Co., Ltd.</w:t>
            </w:r>
          </w:p>
        </w:tc>
        <w:tc>
          <w:tcPr>
            <w:tcW w:w="0" w:type="dxa"/>
            <w:vAlign w:val="bottom"/>
          </w:tcPr>
          <w:p>
            <w:pPr>
              <w:spacing w:after="0"/>
              <w:rPr>
                <w:sz w:val="1"/>
                <w:szCs w:val="1"/>
                <w:color w:val="auto"/>
              </w:rPr>
            </w:pPr>
          </w:p>
        </w:tc>
      </w:tr>
      <w:tr>
        <w:trPr>
          <w:trHeight w:val="175"/>
        </w:trPr>
        <w:tc>
          <w:tcPr>
            <w:tcW w:w="220" w:type="dxa"/>
            <w:vAlign w:val="bottom"/>
          </w:tcPr>
          <w:p>
            <w:pPr>
              <w:jc w:val="right"/>
              <w:ind w:right="81"/>
              <w:spacing w:after="0" w:line="175" w:lineRule="exact"/>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-916940</wp:posOffset>
            </wp:positionV>
            <wp:extent cx="1602740" cy="1117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02740" cy="11176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5580" w:space="140"/>
            <w:col w:w="5300"/>
          </w:cols>
          <w:pgMar w:left="440" w:top="274" w:right="4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Amendment Acknowledgement Agreement to the Shareholders Agreement</w:t>
      </w:r>
      <w:r>
        <w:rPr>
          <w:rFonts w:ascii="Arial" w:cs="Arial" w:eastAsia="Arial" w:hAnsi="Arial"/>
          <w:sz w:val="15"/>
          <w:szCs w:val="15"/>
          <w:color w:val="auto"/>
        </w:rPr>
        <w:t>)</w:t>
      </w:r>
    </w:p>
    <w:p>
      <w:pPr>
        <w:sectPr>
          <w:pgSz w:w="11900" w:h="16838" w:orient="portrait"/>
          <w:cols w:equalWidth="0" w:num="1">
            <w:col w:w="11020"/>
          </w:cols>
          <w:pgMar w:left="440" w:top="274" w:right="4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Amendment to be executed as of the date first written above.</w:t>
      </w:r>
    </w:p>
    <w:p>
      <w:pPr>
        <w:sectPr>
          <w:pgSz w:w="11900" w:h="16838" w:orient="portrait"/>
          <w:cols w:equalWidth="0" w:num="1">
            <w:col w:w="11020"/>
          </w:cols>
          <w:pgMar w:left="440" w:top="274" w:right="439" w:bottom="1440" w:gutter="0" w:footer="0" w:header="0"/>
        </w:sectPr>
      </w:pPr>
    </w:p>
    <w:p>
      <w:pPr>
        <w:spacing w:after="0" w:line="28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SIGNED </w:t>
      </w:r>
      <w:r>
        <w:rPr>
          <w:rFonts w:ascii="Arial" w:cs="Arial" w:eastAsia="Arial" w:hAnsi="Arial"/>
          <w:sz w:val="16"/>
          <w:szCs w:val="16"/>
          <w:color w:val="auto"/>
        </w:rPr>
        <w:t xml:space="preserve">for and on behalf of </w:t>
      </w:r>
      <w:r>
        <w:rPr>
          <w:sz w:val="1"/>
          <w:szCs w:val="1"/>
          <w:color w:val="auto"/>
        </w:rPr>
        <w:drawing>
          <wp:inline distT="0" distB="0" distL="0" distR="0">
            <wp:extent cx="831215" cy="11112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31215" cy="111125"/>
                    </a:xfrm>
                    <a:prstGeom prst="rect">
                      <a:avLst/>
                    </a:prstGeom>
                    <a:noFill/>
                    <a:ln>
                      <a:noFill/>
                    </a:ln>
                  </pic:spPr>
                </pic:pic>
              </a:graphicData>
            </a:graphic>
          </wp:inline>
        </w:drawing>
        <w:drawing>
          <wp:inline distT="0" distB="0" distL="0" distR="0">
            <wp:extent cx="908685" cy="11112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08685" cy="111125"/>
                    </a:xfrm>
                    <a:prstGeom prst="rect">
                      <a:avLst/>
                    </a:prstGeom>
                    <a:noFill/>
                    <a:ln>
                      <a:noFill/>
                    </a:ln>
                  </pic:spPr>
                </pic:pic>
              </a:graphicData>
            </a:graphic>
          </wp:inline>
        </w:drawing>
      </w:r>
      <w:r>
        <w:rPr>
          <w:rFonts w:ascii="Arial" w:cs="Arial" w:eastAsia="Arial" w:hAnsi="Arial"/>
          <w:sz w:val="16"/>
          <w:szCs w:val="16"/>
          <w:b w:val="1"/>
          <w:bCs w:val="1"/>
          <w:color w:val="auto"/>
        </w:rPr>
        <w:t xml:space="preserve"> ZIBO HIGH-TECH INDUSTRIAL INVESTMENT CO., LTD.</w:t>
      </w:r>
      <w:r>
        <w:rPr>
          <w:rFonts w:ascii="Arial" w:cs="Arial" w:eastAsia="Arial" w:hAnsi="Arial"/>
          <w:sz w:val="16"/>
          <w:szCs w:val="16"/>
          <w:color w:val="auto"/>
        </w:rPr>
        <w:t>, a limited</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company incorporated in PRC by NING CHEN, being the legal representative who, in accordance with applicable laws or regulations of that place, is acting under the authority of such company, in the presence of: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YUAN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YUAN ZHANG (</w:t>
      </w:r>
      <w:r>
        <w:rPr>
          <w:rFonts w:ascii="SimSun" w:cs="SimSun" w:eastAsia="SimSun" w:hAnsi="SimSun"/>
          <w:sz w:val="16"/>
          <w:szCs w:val="16"/>
          <w:color w:val="auto"/>
        </w:rPr>
        <w:t>张媛）</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66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66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14605</wp:posOffset>
            </wp:positionV>
            <wp:extent cx="32143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xml:space="preserve">Official seal of </w:t>
      </w:r>
      <w:r>
        <w:rPr>
          <w:sz w:val="1"/>
          <w:szCs w:val="1"/>
          <w:color w:val="auto"/>
        </w:rPr>
        <w:drawing>
          <wp:inline distT="0" distB="0" distL="0" distR="0">
            <wp:extent cx="1328420" cy="1117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28420" cy="111760"/>
                    </a:xfrm>
                    <a:prstGeom prst="rect">
                      <a:avLst/>
                    </a:prstGeom>
                    <a:noFill/>
                    <a:ln>
                      <a:noFill/>
                    </a:ln>
                  </pic:spPr>
                </pic:pic>
              </a:graphicData>
            </a:graphic>
          </wp:inline>
        </w:drawing>
        <w:drawing>
          <wp:inline distT="0" distB="0" distL="0" distR="0">
            <wp:extent cx="111125" cy="1117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7"/>
          <w:szCs w:val="17"/>
          <w:color w:val="auto"/>
        </w:rPr>
        <w:t xml:space="preserve"> Zibo High-Tech</w:t>
      </w:r>
    </w:p>
    <w:p>
      <w:pPr>
        <w:spacing w:after="0" w:line="20" w:lineRule="exact"/>
        <w:rPr>
          <w:sz w:val="20"/>
          <w:szCs w:val="20"/>
          <w:color w:val="auto"/>
        </w:rPr>
      </w:pPr>
    </w:p>
    <w:p>
      <w:pPr>
        <w:ind w:left="220" w:hanging="220"/>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Industrial Investment Co., Ltd.</w:t>
      </w:r>
    </w:p>
    <w:p>
      <w:pPr>
        <w:spacing w:after="0"/>
        <w:tabs>
          <w:tab w:leader="none" w:pos="0" w:val="left"/>
        </w:tabs>
        <w:numPr>
          <w:ilvl w:val="0"/>
          <w:numId w:val="23"/>
        </w:numPr>
        <w:rPr>
          <w:rFonts w:ascii="Arial" w:cs="Arial" w:eastAsia="Arial" w:hAnsi="Arial"/>
          <w:sz w:val="18"/>
          <w:szCs w:val="18"/>
          <w:color w:val="auto"/>
        </w:r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/s/ NING CHEN</w:t>
            </w:r>
          </w:p>
        </w:tc>
        <w:tc>
          <w:tcPr>
            <w:tcW w:w="0" w:type="dxa"/>
            <w:vAlign w:val="bottom"/>
          </w:tcPr>
          <w:p>
            <w:pPr>
              <w:spacing w:after="0"/>
              <w:rPr>
                <w:sz w:val="1"/>
                <w:szCs w:val="1"/>
                <w:color w:val="auto"/>
              </w:rPr>
            </w:pPr>
          </w:p>
        </w:tc>
      </w:tr>
      <w:tr>
        <w:trPr>
          <w:trHeight w:val="54"/>
        </w:trPr>
        <w:tc>
          <w:tcPr>
            <w:tcW w:w="220" w:type="dxa"/>
            <w:vAlign w:val="bottom"/>
            <w:vMerge w:val="restart"/>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20" w:type="dxa"/>
            <w:vAlign w:val="bottom"/>
            <w:vMerge w:val="continue"/>
          </w:tcPr>
          <w:p>
            <w:pPr>
              <w:spacing w:after="0"/>
              <w:rPr>
                <w:sz w:val="13"/>
                <w:szCs w:val="13"/>
                <w:color w:val="auto"/>
              </w:rPr>
            </w:pPr>
          </w:p>
        </w:tc>
        <w:tc>
          <w:tcPr>
            <w:tcW w:w="5080" w:type="dxa"/>
            <w:vAlign w:val="bottom"/>
          </w:tcPr>
          <w:p>
            <w:pPr>
              <w:spacing w:after="0" w:line="156" w:lineRule="exact"/>
              <w:rPr>
                <w:sz w:val="20"/>
                <w:szCs w:val="20"/>
                <w:color w:val="auto"/>
              </w:rPr>
            </w:pPr>
            <w:r>
              <w:rPr>
                <w:rFonts w:ascii="Arial" w:cs="Arial" w:eastAsia="Arial" w:hAnsi="Arial"/>
                <w:sz w:val="18"/>
                <w:szCs w:val="18"/>
                <w:color w:val="auto"/>
              </w:rPr>
              <w:t xml:space="preserve">Signature of NING CHEN </w:t>
            </w:r>
            <w:r>
              <w:rPr>
                <w:rFonts w:ascii="SimSun" w:cs="SimSun" w:eastAsia="SimSun" w:hAnsi="SimSun"/>
                <w:sz w:val="16"/>
                <w:szCs w:val="16"/>
                <w:color w:val="auto"/>
              </w:rPr>
              <w:t>（陈宁）</w:t>
            </w:r>
          </w:p>
        </w:tc>
        <w:tc>
          <w:tcPr>
            <w:tcW w:w="0" w:type="dxa"/>
            <w:vAlign w:val="bottom"/>
          </w:tcPr>
          <w:p>
            <w:pPr>
              <w:spacing w:after="0"/>
              <w:rPr>
                <w:sz w:val="1"/>
                <w:szCs w:val="1"/>
                <w:color w:val="auto"/>
              </w:rPr>
            </w:pPr>
          </w:p>
        </w:tc>
      </w:tr>
      <w:tr>
        <w:trPr>
          <w:trHeight w:val="188"/>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vMerge w:val="restart"/>
          </w:tcPr>
          <w:p>
            <w:pPr>
              <w:spacing w:after="0"/>
              <w:rPr>
                <w:sz w:val="20"/>
                <w:szCs w:val="20"/>
                <w:color w:val="auto"/>
              </w:rPr>
            </w:pPr>
            <w:r>
              <w:rPr>
                <w:rFonts w:ascii="Arial" w:cs="Arial" w:eastAsia="Arial" w:hAnsi="Arial"/>
                <w:sz w:val="18"/>
                <w:szCs w:val="18"/>
                <w:color w:val="auto"/>
                <w:w w:val="91"/>
              </w:rPr>
              <w:t>By executing this document, the signatory warrants that the signatory</w:t>
            </w:r>
          </w:p>
        </w:tc>
        <w:tc>
          <w:tcPr>
            <w:tcW w:w="0" w:type="dxa"/>
            <w:vAlign w:val="bottom"/>
          </w:tcPr>
          <w:p>
            <w:pPr>
              <w:spacing w:after="0"/>
              <w:rPr>
                <w:sz w:val="1"/>
                <w:szCs w:val="1"/>
                <w:color w:val="auto"/>
              </w:rPr>
            </w:pPr>
          </w:p>
        </w:tc>
      </w:tr>
      <w:tr>
        <w:trPr>
          <w:trHeight w:val="124"/>
        </w:trPr>
        <w:tc>
          <w:tcPr>
            <w:tcW w:w="220" w:type="dxa"/>
            <w:vAlign w:val="bottom"/>
          </w:tcPr>
          <w:p>
            <w:pPr>
              <w:jc w:val="right"/>
              <w:ind w:right="82"/>
              <w:spacing w:after="0" w:line="124" w:lineRule="exact"/>
              <w:rPr>
                <w:sz w:val="20"/>
                <w:szCs w:val="20"/>
                <w:color w:val="auto"/>
              </w:rPr>
            </w:pPr>
            <w:r>
              <w:rPr>
                <w:rFonts w:ascii="Arial" w:cs="Arial" w:eastAsia="Arial" w:hAnsi="Arial"/>
                <w:sz w:val="13"/>
                <w:szCs w:val="13"/>
                <w:color w:val="auto"/>
                <w:w w:val="91"/>
              </w:rPr>
              <w:t>)</w:t>
            </w:r>
          </w:p>
        </w:tc>
        <w:tc>
          <w:tcPr>
            <w:tcW w:w="5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is duly authorised to execute this document on behalf of</w:t>
            </w:r>
          </w:p>
        </w:tc>
        <w:tc>
          <w:tcPr>
            <w:tcW w:w="0" w:type="dxa"/>
            <w:vAlign w:val="bottom"/>
          </w:tcPr>
          <w:p>
            <w:pPr>
              <w:spacing w:after="0"/>
              <w:rPr>
                <w:sz w:val="1"/>
                <w:szCs w:val="1"/>
                <w:color w:val="auto"/>
              </w:rPr>
            </w:pPr>
          </w:p>
        </w:tc>
      </w:tr>
      <w:tr>
        <w:trPr>
          <w:trHeight w:val="200"/>
        </w:trPr>
        <w:tc>
          <w:tcPr>
            <w:tcW w:w="220" w:type="dxa"/>
            <w:vAlign w:val="bottom"/>
            <w:vMerge w:val="restart"/>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ind w:left="2540"/>
              <w:spacing w:after="0" w:line="200" w:lineRule="exact"/>
              <w:rPr>
                <w:sz w:val="20"/>
                <w:szCs w:val="20"/>
                <w:color w:val="auto"/>
              </w:rPr>
            </w:pPr>
            <w:r>
              <w:rPr>
                <w:rFonts w:ascii="Arial" w:cs="Arial" w:eastAsia="Arial" w:hAnsi="Arial"/>
                <w:sz w:val="18"/>
                <w:szCs w:val="18"/>
                <w:color w:val="auto"/>
              </w:rPr>
              <w:t>Zibo High-Tech Industrial</w:t>
            </w:r>
          </w:p>
        </w:tc>
        <w:tc>
          <w:tcPr>
            <w:tcW w:w="0" w:type="dxa"/>
            <w:vAlign w:val="bottom"/>
          </w:tcPr>
          <w:p>
            <w:pPr>
              <w:spacing w:after="0"/>
              <w:rPr>
                <w:sz w:val="1"/>
                <w:szCs w:val="1"/>
                <w:color w:val="auto"/>
              </w:rPr>
            </w:pPr>
          </w:p>
        </w:tc>
      </w:tr>
      <w:tr>
        <w:trPr>
          <w:trHeight w:val="94"/>
        </w:trPr>
        <w:tc>
          <w:tcPr>
            <w:tcW w:w="220" w:type="dxa"/>
            <w:vAlign w:val="bottom"/>
            <w:vMerge w:val="continue"/>
          </w:tcPr>
          <w:p>
            <w:pPr>
              <w:spacing w:after="0"/>
              <w:rPr>
                <w:sz w:val="8"/>
                <w:szCs w:val="8"/>
                <w:color w:val="auto"/>
              </w:rPr>
            </w:pPr>
          </w:p>
        </w:tc>
        <w:tc>
          <w:tcPr>
            <w:tcW w:w="5080" w:type="dxa"/>
            <w:vAlign w:val="bottom"/>
            <w:vMerge w:val="restart"/>
          </w:tcPr>
          <w:p>
            <w:pPr>
              <w:spacing w:after="0"/>
              <w:rPr>
                <w:sz w:val="20"/>
                <w:szCs w:val="20"/>
                <w:color w:val="auto"/>
              </w:rPr>
            </w:pPr>
            <w:r>
              <w:rPr>
                <w:rFonts w:ascii="Arial" w:cs="Arial" w:eastAsia="Arial" w:hAnsi="Arial"/>
                <w:sz w:val="18"/>
                <w:szCs w:val="18"/>
                <w:color w:val="auto"/>
              </w:rPr>
              <w:t>Investment Co., Ltd.</w:t>
            </w: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-753745</wp:posOffset>
            </wp:positionV>
            <wp:extent cx="1585595" cy="1111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85595" cy="11112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5520" w:space="200"/>
            <w:col w:w="5300"/>
          </w:cols>
          <w:pgMar w:left="440" w:top="274" w:right="4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Amendment Acknowledgement Agreement to the Shareholders Agreement</w:t>
      </w:r>
      <w:r>
        <w:rPr>
          <w:rFonts w:ascii="Arial" w:cs="Arial" w:eastAsia="Arial" w:hAnsi="Arial"/>
          <w:sz w:val="15"/>
          <w:szCs w:val="15"/>
          <w:color w:val="auto"/>
        </w:rPr>
        <w:t>)</w:t>
      </w:r>
    </w:p>
    <w:p>
      <w:pPr>
        <w:sectPr>
          <w:pgSz w:w="11900" w:h="16838" w:orient="portrait"/>
          <w:cols w:equalWidth="0" w:num="1">
            <w:col w:w="11020"/>
          </w:cols>
          <w:pgMar w:left="440" w:top="274" w:right="4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Amendment to be executed as of the date first written above.</w:t>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27" w:lineRule="exact"/>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for and on behalf of</w:t>
      </w:r>
      <w:r>
        <w:rPr>
          <w:rFonts w:ascii="Arial" w:cs="Arial" w:eastAsia="Arial" w:hAnsi="Arial"/>
          <w:sz w:val="17"/>
          <w:szCs w:val="17"/>
          <w:b w:val="1"/>
          <w:bCs w:val="1"/>
          <w:color w:val="auto"/>
        </w:rPr>
        <w:t xml:space="preserve"> </w:t>
      </w:r>
      <w:r>
        <w:rPr>
          <w:rFonts w:ascii="SimSun" w:cs="SimSun" w:eastAsia="SimSun" w:hAnsi="SimSun"/>
          <w:sz w:val="15"/>
          <w:szCs w:val="15"/>
          <w:color w:val="auto"/>
        </w:rPr>
        <w:t>重庆承星股权投资基金合伙企业（有限合伙</w:t>
      </w:r>
      <w:r>
        <w:rPr>
          <w:rFonts w:ascii="Arial" w:cs="Arial" w:eastAsia="Arial" w:hAnsi="Arial"/>
          <w:sz w:val="15"/>
          <w:szCs w:val="15"/>
          <w:color w:val="auto"/>
        </w:rPr>
        <w:t>)</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partnership (</w:t>
      </w:r>
      <w:r>
        <w:rPr>
          <w:rFonts w:ascii="SimSun" w:cs="SimSun" w:eastAsia="SimSun" w:hAnsi="SimSun"/>
          <w:sz w:val="15"/>
          <w:szCs w:val="15"/>
          <w:color w:val="auto"/>
        </w:rPr>
        <w:t>有限合</w:t>
      </w:r>
      <w:r>
        <w:rPr>
          <w:rFonts w:ascii="SimSun" w:cs="SimSun" w:eastAsia="SimSun" w:hAnsi="SimSun"/>
          <w:sz w:val="15"/>
          <w:szCs w:val="15"/>
          <w:i w:val="1"/>
          <w:iCs w:val="1"/>
          <w:color w:val="auto"/>
        </w:rPr>
        <w:t>伙</w:t>
      </w:r>
      <w:r>
        <w:rPr>
          <w:rFonts w:ascii="SimSun" w:cs="SimSun" w:eastAsia="SimSun" w:hAnsi="SimSun"/>
          <w:sz w:val="15"/>
          <w:szCs w:val="15"/>
          <w:color w:val="auto"/>
        </w:rPr>
        <w:t>企业</w:t>
      </w:r>
      <w:r>
        <w:rPr>
          <w:rFonts w:ascii="Arial" w:cs="Arial" w:eastAsia="Arial" w:hAnsi="Arial"/>
          <w:sz w:val="17"/>
          <w:szCs w:val="17"/>
          <w:color w:val="auto"/>
        </w:rPr>
        <w:t xml:space="preserve">) incorporated in PRC, by the signature of </w:t>
      </w:r>
      <w:r>
        <w:rPr>
          <w:rFonts w:ascii="Arial" w:cs="Arial" w:eastAsia="Arial" w:hAnsi="Arial"/>
          <w:sz w:val="17"/>
          <w:szCs w:val="17"/>
          <w:b w:val="1"/>
          <w:bCs w:val="1"/>
          <w:color w:val="auto"/>
        </w:rPr>
        <w:t xml:space="preserve">YIMIN AI </w:t>
      </w:r>
      <w:r>
        <w:rPr>
          <w:rFonts w:ascii="Arial" w:cs="Arial" w:eastAsia="Arial" w:hAnsi="Arial"/>
          <w:sz w:val="17"/>
          <w:szCs w:val="17"/>
          <w:color w:val="auto"/>
        </w:rPr>
        <w:t>(</w:t>
      </w:r>
      <w:r>
        <w:rPr>
          <w:rFonts w:ascii="SimSun" w:cs="SimSun" w:eastAsia="SimSun" w:hAnsi="SimSun"/>
          <w:sz w:val="15"/>
          <w:szCs w:val="15"/>
          <w:color w:val="auto"/>
        </w:rPr>
        <w:t>艾 益民</w:t>
      </w:r>
      <w:r>
        <w:rPr>
          <w:rFonts w:ascii="Arial" w:cs="Arial" w:eastAsia="Arial" w:hAnsi="Arial"/>
          <w:sz w:val="17"/>
          <w:szCs w:val="17"/>
          <w:color w:val="auto"/>
        </w:rPr>
        <w:t>) as the legal representative and general manager of</w:t>
      </w:r>
      <w:r>
        <w:rPr>
          <w:rFonts w:ascii="Arial" w:cs="Arial" w:eastAsia="Arial" w:hAnsi="Arial"/>
          <w:sz w:val="17"/>
          <w:szCs w:val="17"/>
          <w:b w:val="1"/>
          <w:bCs w:val="1"/>
          <w:color w:val="auto"/>
        </w:rPr>
        <w:t xml:space="preserve"> </w:t>
      </w:r>
      <w:r>
        <w:rPr>
          <w:rFonts w:ascii="SimSun" w:cs="SimSun" w:eastAsia="SimSun" w:hAnsi="SimSun"/>
          <w:sz w:val="15"/>
          <w:szCs w:val="15"/>
          <w:color w:val="auto"/>
        </w:rPr>
        <w:t>重庆承运企业管理有限公司</w:t>
      </w:r>
      <w:r>
        <w:rPr>
          <w:rFonts w:ascii="Arial" w:cs="Arial" w:eastAsia="Arial" w:hAnsi="Arial"/>
          <w:sz w:val="17"/>
          <w:szCs w:val="17"/>
          <w:color w:val="auto"/>
        </w:rPr>
        <w:t xml:space="preserve">, in its capacity as the executive partner of the said limited partnership, in accordance with applicable laws or regulations of that place, is acting under the authority of the said limited partnership, and by affixing the official seal of each of the said limited partnership and </w:t>
      </w:r>
      <w:r>
        <w:rPr>
          <w:rFonts w:ascii="SimSun" w:cs="SimSun" w:eastAsia="SimSun" w:hAnsi="SimSun"/>
          <w:sz w:val="15"/>
          <w:szCs w:val="15"/>
          <w:color w:val="auto"/>
        </w:rPr>
        <w:t>重庆承运企业管理有限公司</w:t>
      </w:r>
      <w:r>
        <w:rPr>
          <w:rFonts w:ascii="Arial" w:cs="Arial" w:eastAsia="Arial" w:hAnsi="Arial"/>
          <w:sz w:val="17"/>
          <w:szCs w:val="17"/>
          <w:color w:val="auto"/>
        </w:rPr>
        <w:t>, in the presence of:</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14605</wp:posOffset>
            </wp:positionV>
            <wp:extent cx="32143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xml:space="preserve">Official seal of </w:t>
      </w:r>
      <w:r>
        <w:rPr>
          <w:sz w:val="1"/>
          <w:szCs w:val="1"/>
          <w:color w:val="auto"/>
        </w:rPr>
        <w:drawing>
          <wp:inline distT="0" distB="0" distL="0" distR="0">
            <wp:extent cx="1328420" cy="1117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28420" cy="111760"/>
                    </a:xfrm>
                    <a:prstGeom prst="rect">
                      <a:avLst/>
                    </a:prstGeom>
                    <a:noFill/>
                    <a:ln>
                      <a:noFill/>
                    </a:ln>
                  </pic:spPr>
                </pic:pic>
              </a:graphicData>
            </a:graphic>
          </wp:inline>
        </w:drawing>
        <w:drawing>
          <wp:inline distT="0" distB="0" distL="0" distR="0">
            <wp:extent cx="111125" cy="1117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7"/>
          <w:szCs w:val="17"/>
          <w:color w:val="auto"/>
        </w:rPr>
        <w:t xml:space="preserve"> Zibo High-Tech</w:t>
      </w:r>
    </w:p>
    <w:p>
      <w:pPr>
        <w:spacing w:after="0" w:line="20" w:lineRule="exact"/>
        <w:rPr>
          <w:sz w:val="20"/>
          <w:szCs w:val="20"/>
          <w:color w:val="auto"/>
        </w:rPr>
      </w:pPr>
    </w:p>
    <w:p>
      <w:pPr>
        <w:ind w:left="220" w:hanging="220"/>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Industrial Investment Co., Ltd.</w:t>
      </w:r>
    </w:p>
    <w:p>
      <w:pPr>
        <w:spacing w:after="0"/>
        <w:tabs>
          <w:tab w:leader="none" w:pos="0" w:val="left"/>
        </w:tabs>
        <w:numPr>
          <w:ilvl w:val="0"/>
          <w:numId w:val="24"/>
        </w:numPr>
        <w:rPr>
          <w:rFonts w:ascii="Arial" w:cs="Arial" w:eastAsia="Arial" w:hAnsi="Arial"/>
          <w:sz w:val="18"/>
          <w:szCs w:val="18"/>
          <w:color w:val="auto"/>
        </w:r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/s/ NING CHEN</w:t>
            </w:r>
          </w:p>
        </w:tc>
        <w:tc>
          <w:tcPr>
            <w:tcW w:w="0" w:type="dxa"/>
            <w:vAlign w:val="bottom"/>
          </w:tcPr>
          <w:p>
            <w:pPr>
              <w:spacing w:after="0"/>
              <w:rPr>
                <w:sz w:val="1"/>
                <w:szCs w:val="1"/>
                <w:color w:val="auto"/>
              </w:rPr>
            </w:pPr>
          </w:p>
        </w:tc>
      </w:tr>
      <w:tr>
        <w:trPr>
          <w:trHeight w:val="54"/>
        </w:trPr>
        <w:tc>
          <w:tcPr>
            <w:tcW w:w="220" w:type="dxa"/>
            <w:vAlign w:val="bottom"/>
            <w:vMerge w:val="restart"/>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20" w:type="dxa"/>
            <w:vAlign w:val="bottom"/>
            <w:vMerge w:val="continue"/>
          </w:tcPr>
          <w:p>
            <w:pPr>
              <w:spacing w:after="0"/>
              <w:rPr>
                <w:sz w:val="13"/>
                <w:szCs w:val="13"/>
                <w:color w:val="auto"/>
              </w:rPr>
            </w:pPr>
          </w:p>
        </w:tc>
        <w:tc>
          <w:tcPr>
            <w:tcW w:w="5080" w:type="dxa"/>
            <w:vAlign w:val="bottom"/>
          </w:tcPr>
          <w:p>
            <w:pPr>
              <w:spacing w:after="0" w:line="156" w:lineRule="exact"/>
              <w:rPr>
                <w:sz w:val="20"/>
                <w:szCs w:val="20"/>
                <w:color w:val="auto"/>
              </w:rPr>
            </w:pPr>
            <w:r>
              <w:rPr>
                <w:rFonts w:ascii="Arial" w:cs="Arial" w:eastAsia="Arial" w:hAnsi="Arial"/>
                <w:sz w:val="18"/>
                <w:szCs w:val="18"/>
                <w:color w:val="auto"/>
              </w:rPr>
              <w:t xml:space="preserve">Signature of NING CHEN </w:t>
            </w:r>
            <w:r>
              <w:rPr>
                <w:rFonts w:ascii="SimSun" w:cs="SimSun" w:eastAsia="SimSun" w:hAnsi="SimSun"/>
                <w:sz w:val="16"/>
                <w:szCs w:val="16"/>
                <w:color w:val="auto"/>
              </w:rPr>
              <w:t>（陈宁）</w:t>
            </w:r>
          </w:p>
        </w:tc>
        <w:tc>
          <w:tcPr>
            <w:tcW w:w="0" w:type="dxa"/>
            <w:vAlign w:val="bottom"/>
          </w:tcPr>
          <w:p>
            <w:pPr>
              <w:spacing w:after="0"/>
              <w:rPr>
                <w:sz w:val="1"/>
                <w:szCs w:val="1"/>
                <w:color w:val="auto"/>
              </w:rPr>
            </w:pPr>
          </w:p>
        </w:tc>
      </w:tr>
      <w:tr>
        <w:trPr>
          <w:trHeight w:val="188"/>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vMerge w:val="restart"/>
          </w:tcPr>
          <w:p>
            <w:pPr>
              <w:spacing w:after="0"/>
              <w:rPr>
                <w:sz w:val="20"/>
                <w:szCs w:val="20"/>
                <w:color w:val="auto"/>
              </w:rPr>
            </w:pPr>
            <w:r>
              <w:rPr>
                <w:rFonts w:ascii="Arial" w:cs="Arial" w:eastAsia="Arial" w:hAnsi="Arial"/>
                <w:sz w:val="18"/>
                <w:szCs w:val="18"/>
                <w:color w:val="auto"/>
                <w:w w:val="91"/>
              </w:rPr>
              <w:t>By executing this document, the signatory warrants that the signatory</w:t>
            </w:r>
          </w:p>
        </w:tc>
        <w:tc>
          <w:tcPr>
            <w:tcW w:w="0" w:type="dxa"/>
            <w:vAlign w:val="bottom"/>
          </w:tcPr>
          <w:p>
            <w:pPr>
              <w:spacing w:after="0"/>
              <w:rPr>
                <w:sz w:val="1"/>
                <w:szCs w:val="1"/>
                <w:color w:val="auto"/>
              </w:rPr>
            </w:pPr>
          </w:p>
        </w:tc>
      </w:tr>
      <w:tr>
        <w:trPr>
          <w:trHeight w:val="124"/>
        </w:trPr>
        <w:tc>
          <w:tcPr>
            <w:tcW w:w="220" w:type="dxa"/>
            <w:vAlign w:val="bottom"/>
          </w:tcPr>
          <w:p>
            <w:pPr>
              <w:jc w:val="right"/>
              <w:ind w:right="82"/>
              <w:spacing w:after="0" w:line="124" w:lineRule="exact"/>
              <w:rPr>
                <w:sz w:val="20"/>
                <w:szCs w:val="20"/>
                <w:color w:val="auto"/>
              </w:rPr>
            </w:pPr>
            <w:r>
              <w:rPr>
                <w:rFonts w:ascii="Arial" w:cs="Arial" w:eastAsia="Arial" w:hAnsi="Arial"/>
                <w:sz w:val="13"/>
                <w:szCs w:val="13"/>
                <w:color w:val="auto"/>
                <w:w w:val="91"/>
              </w:rPr>
              <w:t>)</w:t>
            </w:r>
          </w:p>
        </w:tc>
        <w:tc>
          <w:tcPr>
            <w:tcW w:w="5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is duly authorised to execute this document on behalf of</w:t>
            </w:r>
          </w:p>
        </w:tc>
        <w:tc>
          <w:tcPr>
            <w:tcW w:w="0" w:type="dxa"/>
            <w:vAlign w:val="bottom"/>
          </w:tcPr>
          <w:p>
            <w:pPr>
              <w:spacing w:after="0"/>
              <w:rPr>
                <w:sz w:val="1"/>
                <w:szCs w:val="1"/>
                <w:color w:val="auto"/>
              </w:rPr>
            </w:pPr>
          </w:p>
        </w:tc>
      </w:tr>
      <w:tr>
        <w:trPr>
          <w:trHeight w:val="200"/>
        </w:trPr>
        <w:tc>
          <w:tcPr>
            <w:tcW w:w="220" w:type="dxa"/>
            <w:vAlign w:val="bottom"/>
            <w:vMerge w:val="restart"/>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ind w:left="2540"/>
              <w:spacing w:after="0" w:line="200" w:lineRule="exact"/>
              <w:rPr>
                <w:sz w:val="20"/>
                <w:szCs w:val="20"/>
                <w:color w:val="auto"/>
              </w:rPr>
            </w:pPr>
            <w:r>
              <w:rPr>
                <w:rFonts w:ascii="Arial" w:cs="Arial" w:eastAsia="Arial" w:hAnsi="Arial"/>
                <w:sz w:val="18"/>
                <w:szCs w:val="18"/>
                <w:color w:val="auto"/>
              </w:rPr>
              <w:t>Zibo High-Tech Industrial</w:t>
            </w:r>
          </w:p>
        </w:tc>
        <w:tc>
          <w:tcPr>
            <w:tcW w:w="0" w:type="dxa"/>
            <w:vAlign w:val="bottom"/>
          </w:tcPr>
          <w:p>
            <w:pPr>
              <w:spacing w:after="0"/>
              <w:rPr>
                <w:sz w:val="1"/>
                <w:szCs w:val="1"/>
                <w:color w:val="auto"/>
              </w:rPr>
            </w:pPr>
          </w:p>
        </w:tc>
      </w:tr>
      <w:tr>
        <w:trPr>
          <w:trHeight w:val="94"/>
        </w:trPr>
        <w:tc>
          <w:tcPr>
            <w:tcW w:w="220" w:type="dxa"/>
            <w:vAlign w:val="bottom"/>
            <w:vMerge w:val="continue"/>
          </w:tcPr>
          <w:p>
            <w:pPr>
              <w:spacing w:after="0"/>
              <w:rPr>
                <w:sz w:val="8"/>
                <w:szCs w:val="8"/>
                <w:color w:val="auto"/>
              </w:rPr>
            </w:pPr>
          </w:p>
        </w:tc>
        <w:tc>
          <w:tcPr>
            <w:tcW w:w="5080" w:type="dxa"/>
            <w:vAlign w:val="bottom"/>
            <w:vMerge w:val="restart"/>
          </w:tcPr>
          <w:p>
            <w:pPr>
              <w:spacing w:after="0"/>
              <w:rPr>
                <w:sz w:val="20"/>
                <w:szCs w:val="20"/>
                <w:color w:val="auto"/>
              </w:rPr>
            </w:pPr>
            <w:r>
              <w:rPr>
                <w:rFonts w:ascii="Arial" w:cs="Arial" w:eastAsia="Arial" w:hAnsi="Arial"/>
                <w:sz w:val="18"/>
                <w:szCs w:val="18"/>
                <w:color w:val="auto"/>
              </w:rPr>
              <w:t>Investment Co., Ltd.</w:t>
            </w: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-753745</wp:posOffset>
            </wp:positionV>
            <wp:extent cx="1585595" cy="1111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85595" cy="1111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20" w:space="200"/>
            <w:col w:w="5300"/>
          </w:cols>
          <w:pgMar w:left="440" w:top="274" w:right="4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5840" w:type="dxa"/>
            <w:vAlign w:val="bottom"/>
          </w:tcPr>
          <w:p>
            <w:pPr>
              <w:spacing w:after="0" w:line="207" w:lineRule="exact"/>
              <w:rPr>
                <w:sz w:val="20"/>
                <w:szCs w:val="20"/>
                <w:color w:val="auto"/>
              </w:rPr>
            </w:pPr>
            <w:r>
              <w:rPr>
                <w:rFonts w:ascii="Arial" w:cs="Arial" w:eastAsia="Arial" w:hAnsi="Arial"/>
                <w:sz w:val="18"/>
                <w:szCs w:val="18"/>
                <w:color w:val="auto"/>
              </w:rPr>
              <w:t>/s/ HAIRUO HU (</w:t>
            </w:r>
            <w:r>
              <w:rPr>
                <w:rFonts w:ascii="SimSun" w:cs="SimSun" w:eastAsia="SimSun" w:hAnsi="SimSun"/>
                <w:sz w:val="16"/>
                <w:szCs w:val="16"/>
                <w:color w:val="auto"/>
              </w:rPr>
              <w:t>胡海若</w:t>
            </w:r>
            <w:r>
              <w:rPr>
                <w:rFonts w:ascii="Arial" w:cs="Arial" w:eastAsia="Arial" w:hAnsi="Arial"/>
                <w:sz w:val="18"/>
                <w:szCs w:val="18"/>
                <w:color w:val="auto"/>
              </w:rPr>
              <w:t>)</w:t>
            </w:r>
          </w:p>
        </w:tc>
        <w:tc>
          <w:tcPr>
            <w:tcW w:w="51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/s/ YIMIN AI (</w:t>
            </w:r>
            <w:r>
              <w:rPr>
                <w:rFonts w:ascii="SimSun" w:cs="SimSun" w:eastAsia="SimSun" w:hAnsi="SimSun"/>
                <w:sz w:val="16"/>
                <w:szCs w:val="16"/>
                <w:color w:val="auto"/>
              </w:rPr>
              <w:t>艾益民</w:t>
            </w:r>
            <w:r>
              <w:rPr>
                <w:rFonts w:ascii="Arial" w:cs="Arial" w:eastAsia="Arial" w:hAnsi="Arial"/>
                <w:sz w:val="18"/>
                <w:szCs w:val="18"/>
                <w:color w:val="auto"/>
              </w:rPr>
              <w:t>)</w:t>
            </w:r>
          </w:p>
        </w:tc>
      </w:tr>
      <w:tr>
        <w:trPr>
          <w:trHeight w:val="20"/>
        </w:trPr>
        <w:tc>
          <w:tcPr>
            <w:tcW w:w="5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310"/>
        </w:trPr>
        <w:tc>
          <w:tcPr>
            <w:tcW w:w="5840" w:type="dxa"/>
            <w:vAlign w:val="bottom"/>
          </w:tcPr>
          <w:p>
            <w:pPr>
              <w:spacing w:after="0"/>
              <w:rPr>
                <w:sz w:val="20"/>
                <w:szCs w:val="20"/>
                <w:color w:val="auto"/>
              </w:rPr>
            </w:pPr>
            <w:r>
              <w:rPr>
                <w:rFonts w:ascii="Arial" w:cs="Arial" w:eastAsia="Arial" w:hAnsi="Arial"/>
                <w:sz w:val="18"/>
                <w:szCs w:val="18"/>
                <w:color w:val="auto"/>
              </w:rPr>
              <w:t>Signature of witness</w:t>
            </w:r>
          </w:p>
        </w:tc>
        <w:tc>
          <w:tcPr>
            <w:tcW w:w="51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Signature of YIMIN AI (</w:t>
            </w:r>
            <w:r>
              <w:rPr>
                <w:rFonts w:ascii="SimSun" w:cs="SimSun" w:eastAsia="SimSun" w:hAnsi="SimSun"/>
                <w:sz w:val="16"/>
                <w:szCs w:val="16"/>
                <w:color w:val="auto"/>
              </w:rPr>
              <w:t>艾益民</w:t>
            </w:r>
            <w:r>
              <w:rPr>
                <w:rFonts w:ascii="Arial" w:cs="Arial" w:eastAsia="Arial" w:hAnsi="Arial"/>
                <w:sz w:val="18"/>
                <w:szCs w:val="18"/>
                <w:color w:val="auto"/>
              </w:rPr>
              <w:t>)</w:t>
            </w:r>
          </w:p>
        </w:tc>
      </w:tr>
      <w:tr>
        <w:trPr>
          <w:trHeight w:val="458"/>
        </w:trPr>
        <w:tc>
          <w:tcPr>
            <w:tcW w:w="5840" w:type="dxa"/>
            <w:vAlign w:val="bottom"/>
          </w:tcPr>
          <w:p>
            <w:pPr>
              <w:spacing w:after="0" w:line="207" w:lineRule="exact"/>
              <w:rPr>
                <w:sz w:val="20"/>
                <w:szCs w:val="20"/>
                <w:color w:val="auto"/>
              </w:rPr>
            </w:pPr>
            <w:r>
              <w:rPr>
                <w:rFonts w:ascii="Arial" w:cs="Arial" w:eastAsia="Arial" w:hAnsi="Arial"/>
                <w:sz w:val="18"/>
                <w:szCs w:val="18"/>
                <w:color w:val="auto"/>
              </w:rPr>
              <w:t>HAIRUO HU (</w:t>
            </w:r>
            <w:r>
              <w:rPr>
                <w:rFonts w:ascii="SimSun" w:cs="SimSun" w:eastAsia="SimSun" w:hAnsi="SimSun"/>
                <w:sz w:val="16"/>
                <w:szCs w:val="16"/>
                <w:color w:val="auto"/>
              </w:rPr>
              <w:t>胡海若</w:t>
            </w:r>
            <w:r>
              <w:rPr>
                <w:rFonts w:ascii="Arial" w:cs="Arial" w:eastAsia="Arial" w:hAnsi="Arial"/>
                <w:sz w:val="18"/>
                <w:szCs w:val="18"/>
                <w:color w:val="auto"/>
              </w:rPr>
              <w:t>)</w:t>
            </w: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w w:val="90"/>
              </w:rPr>
              <w:t>By executing this document, the signatory warrants that the signatory</w:t>
            </w:r>
          </w:p>
        </w:tc>
      </w:tr>
      <w:tr>
        <w:trPr>
          <w:trHeight w:val="230"/>
        </w:trPr>
        <w:tc>
          <w:tcPr>
            <w:tcW w:w="5840" w:type="dxa"/>
            <w:vAlign w:val="bottom"/>
          </w:tcPr>
          <w:p>
            <w:pPr>
              <w:spacing w:after="0"/>
              <w:rPr>
                <w:sz w:val="19"/>
                <w:szCs w:val="19"/>
                <w:color w:val="auto"/>
              </w:rPr>
            </w:pPr>
          </w:p>
        </w:tc>
        <w:tc>
          <w:tcPr>
            <w:tcW w:w="5100" w:type="dxa"/>
            <w:vAlign w:val="bottom"/>
            <w:gridSpan w:val="2"/>
          </w:tcPr>
          <w:p>
            <w:pPr>
              <w:ind w:left="100"/>
              <w:spacing w:after="0" w:line="207" w:lineRule="exact"/>
              <w:rPr>
                <w:sz w:val="20"/>
                <w:szCs w:val="20"/>
                <w:color w:val="auto"/>
              </w:rPr>
            </w:pPr>
            <w:r>
              <w:rPr>
                <w:rFonts w:ascii="Arial" w:cs="Arial" w:eastAsia="Arial" w:hAnsi="Arial"/>
                <w:sz w:val="18"/>
                <w:szCs w:val="18"/>
                <w:color w:val="auto"/>
                <w:w w:val="92"/>
              </w:rPr>
              <w:t xml:space="preserve">is duly authorised to execute this document on behalf of </w:t>
            </w:r>
            <w:r>
              <w:rPr>
                <w:rFonts w:ascii="SimSun" w:cs="SimSun" w:eastAsia="SimSun" w:hAnsi="SimSun"/>
                <w:sz w:val="16"/>
                <w:szCs w:val="16"/>
                <w:color w:val="auto"/>
                <w:w w:val="92"/>
              </w:rPr>
              <w:t>重庆承星 股</w:t>
            </w:r>
          </w:p>
        </w:tc>
      </w:tr>
      <w:tr>
        <w:trPr>
          <w:trHeight w:val="271"/>
        </w:trPr>
        <w:tc>
          <w:tcPr>
            <w:tcW w:w="5840" w:type="dxa"/>
            <w:vAlign w:val="bottom"/>
          </w:tcPr>
          <w:p>
            <w:pPr>
              <w:spacing w:after="0"/>
              <w:rPr>
                <w:sz w:val="20"/>
                <w:szCs w:val="20"/>
                <w:color w:val="auto"/>
              </w:rPr>
            </w:pPr>
            <w:r>
              <w:rPr>
                <w:rFonts w:ascii="Arial" w:cs="Arial" w:eastAsia="Arial" w:hAnsi="Arial"/>
                <w:sz w:val="18"/>
                <w:szCs w:val="18"/>
                <w:color w:val="auto"/>
              </w:rPr>
              <w:t>Name of witness (block letters)</w:t>
            </w:r>
          </w:p>
        </w:tc>
        <w:tc>
          <w:tcPr>
            <w:tcW w:w="5100" w:type="dxa"/>
            <w:vAlign w:val="bottom"/>
            <w:gridSpan w:val="2"/>
          </w:tcPr>
          <w:p>
            <w:pPr>
              <w:ind w:left="100"/>
              <w:spacing w:after="0" w:line="207" w:lineRule="exact"/>
              <w:rPr>
                <w:sz w:val="20"/>
                <w:szCs w:val="20"/>
                <w:color w:val="auto"/>
              </w:rPr>
            </w:pPr>
            <w:r>
              <w:rPr>
                <w:rFonts w:ascii="SimSun" w:cs="SimSun" w:eastAsia="SimSun" w:hAnsi="SimSun"/>
                <w:sz w:val="16"/>
                <w:szCs w:val="16"/>
                <w:color w:val="auto"/>
              </w:rPr>
              <w:t>权投资基金合伙企业</w:t>
            </w:r>
            <w:r>
              <w:rPr>
                <w:rFonts w:ascii="Arial" w:cs="Arial" w:eastAsia="Arial" w:hAnsi="Arial"/>
                <w:sz w:val="18"/>
                <w:szCs w:val="18"/>
                <w:color w:val="auto"/>
              </w:rPr>
              <w:t>(</w:t>
            </w:r>
            <w:r>
              <w:rPr>
                <w:rFonts w:ascii="SimSun" w:cs="SimSun" w:eastAsia="SimSun" w:hAnsi="SimSun"/>
                <w:sz w:val="16"/>
                <w:szCs w:val="16"/>
                <w:color w:val="auto"/>
              </w:rPr>
              <w:t>有限合伙</w:t>
            </w:r>
            <w:r>
              <w:rPr>
                <w:rFonts w:ascii="Arial" w:cs="Arial" w:eastAsia="Arial" w:hAnsi="Arial"/>
                <w:sz w:val="18"/>
                <w:szCs w:val="18"/>
                <w:color w:val="auto"/>
              </w:rPr>
              <w:t>)</w:t>
            </w:r>
          </w:p>
        </w:tc>
      </w:tr>
      <w:tr>
        <w:trPr>
          <w:trHeight w:val="445"/>
        </w:trPr>
        <w:tc>
          <w:tcPr>
            <w:tcW w:w="5840" w:type="dxa"/>
            <w:vAlign w:val="bottom"/>
          </w:tcPr>
          <w:p>
            <w:pPr>
              <w:spacing w:after="0"/>
              <w:rPr>
                <w:sz w:val="20"/>
                <w:szCs w:val="20"/>
                <w:color w:val="auto"/>
              </w:rPr>
            </w:pPr>
            <w:r>
              <w:rPr>
                <w:rFonts w:ascii="Arial" w:cs="Arial" w:eastAsia="Arial" w:hAnsi="Arial"/>
                <w:sz w:val="18"/>
                <w:szCs w:val="18"/>
                <w:color w:val="auto"/>
                <w:w w:val="97"/>
              </w:rPr>
              <w:t>Floor 5, Block A, Xingguang Mansion, No. 1 Xingguang Avenue, Liangjiang</w:t>
            </w:r>
          </w:p>
        </w:tc>
        <w:tc>
          <w:tcPr>
            <w:tcW w:w="12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30"/>
        </w:trPr>
        <w:tc>
          <w:tcPr>
            <w:tcW w:w="5840" w:type="dxa"/>
            <w:vAlign w:val="bottom"/>
          </w:tcPr>
          <w:p>
            <w:pPr>
              <w:spacing w:after="0" w:line="207" w:lineRule="exact"/>
              <w:rPr>
                <w:sz w:val="20"/>
                <w:szCs w:val="20"/>
                <w:color w:val="auto"/>
              </w:rPr>
            </w:pPr>
            <w:r>
              <w:rPr>
                <w:rFonts w:ascii="Arial" w:cs="Arial" w:eastAsia="Arial" w:hAnsi="Arial"/>
                <w:sz w:val="18"/>
                <w:szCs w:val="18"/>
                <w:color w:val="auto"/>
              </w:rPr>
              <w:t>New Area, Chongqing (</w:t>
            </w:r>
            <w:r>
              <w:rPr>
                <w:rFonts w:ascii="SimSun" w:cs="SimSun" w:eastAsia="SimSun" w:hAnsi="SimSun"/>
                <w:sz w:val="16"/>
                <w:szCs w:val="16"/>
                <w:color w:val="auto"/>
              </w:rPr>
              <w:t>重庆市两江新区星光 大道</w:t>
            </w:r>
            <w:r>
              <w:rPr>
                <w:rFonts w:ascii="Arial" w:cs="Arial" w:eastAsia="Arial" w:hAnsi="Arial"/>
                <w:sz w:val="18"/>
                <w:szCs w:val="18"/>
                <w:color w:val="auto"/>
              </w:rPr>
              <w:t>1</w:t>
            </w:r>
            <w:r>
              <w:rPr>
                <w:rFonts w:ascii="SimSun" w:cs="SimSun" w:eastAsia="SimSun" w:hAnsi="SimSun"/>
                <w:sz w:val="16"/>
                <w:szCs w:val="16"/>
                <w:color w:val="auto"/>
              </w:rPr>
              <w:t>号星光大厦</w:t>
            </w:r>
            <w:r>
              <w:rPr>
                <w:rFonts w:ascii="Arial" w:cs="Arial" w:eastAsia="Arial" w:hAnsi="Arial"/>
                <w:sz w:val="18"/>
                <w:szCs w:val="18"/>
                <w:color w:val="auto"/>
              </w:rPr>
              <w:t>A</w:t>
            </w:r>
            <w:r>
              <w:rPr>
                <w:rFonts w:ascii="SimSun" w:cs="SimSun" w:eastAsia="SimSun" w:hAnsi="SimSun"/>
                <w:sz w:val="16"/>
                <w:szCs w:val="16"/>
                <w:color w:val="auto"/>
              </w:rPr>
              <w:t>区</w:t>
            </w:r>
            <w:r>
              <w:rPr>
                <w:rFonts w:ascii="Arial" w:cs="Arial" w:eastAsia="Arial" w:hAnsi="Arial"/>
                <w:sz w:val="18"/>
                <w:szCs w:val="18"/>
                <w:color w:val="auto"/>
              </w:rPr>
              <w:t>5</w:t>
            </w:r>
            <w:r>
              <w:rPr>
                <w:rFonts w:ascii="SimSun" w:cs="SimSun" w:eastAsia="SimSun" w:hAnsi="SimSun"/>
                <w:sz w:val="16"/>
                <w:szCs w:val="16"/>
                <w:color w:val="auto"/>
              </w:rPr>
              <w:t>楼</w:t>
            </w: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-599440</wp:posOffset>
            </wp:positionV>
            <wp:extent cx="3566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-1242695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3811905</wp:posOffset>
            </wp:positionH>
            <wp:positionV relativeFrom="paragraph">
              <wp:posOffset>-1242695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-1242695</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-1242695</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3863340</wp:posOffset>
            </wp:positionH>
            <wp:positionV relativeFrom="paragraph">
              <wp:posOffset>-1242695</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-1242695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-1242695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-1242695</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-1242695</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-1242695</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-1242695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-1242695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-1242695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-1242695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4034790</wp:posOffset>
            </wp:positionH>
            <wp:positionV relativeFrom="paragraph">
              <wp:posOffset>-1242695</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-1242695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-1242695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-1242695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-1242695</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-1242695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-1242695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-1242695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-1242695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-1242695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-1242695</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-1242695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-1242695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-1242695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-1242695</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-1242695</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-1242695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-1242695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-1242695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-1242695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-1242695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-1242695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-1242695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-1242695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-1242695</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-1242695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-1242695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-1242695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-1242695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-1242695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4549140</wp:posOffset>
            </wp:positionH>
            <wp:positionV relativeFrom="paragraph">
              <wp:posOffset>-1242695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-1242695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-1242695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4600575</wp:posOffset>
            </wp:positionH>
            <wp:positionV relativeFrom="paragraph">
              <wp:posOffset>-1242695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4617720</wp:posOffset>
            </wp:positionH>
            <wp:positionV relativeFrom="paragraph">
              <wp:posOffset>-1242695</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-1242695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-1242695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-1242695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-1242695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-1242695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-1242695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-1242695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-1242695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-1242695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4789170</wp:posOffset>
            </wp:positionH>
            <wp:positionV relativeFrom="paragraph">
              <wp:posOffset>-1242695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-1242695</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4823460</wp:posOffset>
            </wp:positionH>
            <wp:positionV relativeFrom="paragraph">
              <wp:posOffset>-1242695</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-1242695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-1242695</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-1242695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-1242695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-1242695</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-1242695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-1242695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-1242695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-1242695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-1242695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5012055</wp:posOffset>
            </wp:positionH>
            <wp:positionV relativeFrom="paragraph">
              <wp:posOffset>-1242695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-1242695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5046345</wp:posOffset>
            </wp:positionH>
            <wp:positionV relativeFrom="paragraph">
              <wp:posOffset>-1242695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-1242695</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-1242695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-1242695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-1242695</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-1242695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5149215</wp:posOffset>
            </wp:positionH>
            <wp:positionV relativeFrom="paragraph">
              <wp:posOffset>-1242695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-1242695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5183505</wp:posOffset>
            </wp:positionH>
            <wp:positionV relativeFrom="paragraph">
              <wp:posOffset>-1242695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-1242695</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-1242695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-1242695</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-1242695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5269230</wp:posOffset>
            </wp:positionH>
            <wp:positionV relativeFrom="paragraph">
              <wp:posOffset>-1242695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-1242695</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-1242695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5320665</wp:posOffset>
            </wp:positionH>
            <wp:positionV relativeFrom="paragraph">
              <wp:posOffset>-1242695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-1242695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-1242695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-1242695</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-1242695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-1242695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-1242695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5440680</wp:posOffset>
            </wp:positionH>
            <wp:positionV relativeFrom="paragraph">
              <wp:posOffset>-1242695</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-1242695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-1242695</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5492115</wp:posOffset>
            </wp:positionH>
            <wp:positionV relativeFrom="paragraph">
              <wp:posOffset>-1242695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-1242695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5526405</wp:posOffset>
            </wp:positionH>
            <wp:positionV relativeFrom="paragraph">
              <wp:posOffset>-1242695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-1242695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-1242695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-1242695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-1242695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-1242695</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5629275</wp:posOffset>
            </wp:positionH>
            <wp:positionV relativeFrom="paragraph">
              <wp:posOffset>-1242695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-1242695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-1242695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-1242695</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-1242695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-1242695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5732145</wp:posOffset>
            </wp:positionH>
            <wp:positionV relativeFrom="paragraph">
              <wp:posOffset>-1242695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5749290</wp:posOffset>
            </wp:positionH>
            <wp:positionV relativeFrom="paragraph">
              <wp:posOffset>-1242695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-1242695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5783580</wp:posOffset>
            </wp:positionH>
            <wp:positionV relativeFrom="paragraph">
              <wp:posOffset>-1242695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-1242695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-1242695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-1242695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-1242695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-1242695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-1242695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-1242695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-1242695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5937885</wp:posOffset>
            </wp:positionH>
            <wp:positionV relativeFrom="paragraph">
              <wp:posOffset>-1242695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5955030</wp:posOffset>
            </wp:positionH>
            <wp:positionV relativeFrom="paragraph">
              <wp:posOffset>-1242695</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5972175</wp:posOffset>
            </wp:positionH>
            <wp:positionV relativeFrom="paragraph">
              <wp:posOffset>-1242695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5989320</wp:posOffset>
            </wp:positionH>
            <wp:positionV relativeFrom="paragraph">
              <wp:posOffset>-1242695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6006465</wp:posOffset>
            </wp:positionH>
            <wp:positionV relativeFrom="paragraph">
              <wp:posOffset>-1242695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6023610</wp:posOffset>
            </wp:positionH>
            <wp:positionV relativeFrom="paragraph">
              <wp:posOffset>-1242695</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-1242695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-1242695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6075045</wp:posOffset>
            </wp:positionH>
            <wp:positionV relativeFrom="paragraph">
              <wp:posOffset>-1242695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-1242695</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-1242695</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-1242695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-1242695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-1242695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-1242695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-1242695</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-1242695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-1242695</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-1242695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-1242695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-1242695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-1242695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-1242695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-1242695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-1242695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-1242695</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-1242695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-1242695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-1242695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-1242695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-1242695</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-1242695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-1242695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-1242695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-1242695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-1242695</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-1242695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-1242695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-1242695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-1242695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-1242695</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-1242695</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-1242695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-1242695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-1242695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-1242695</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-1242695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-1242695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-1242695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-1242695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-1242695</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-1242695</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-1242695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-1242695</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-1242695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-1242695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-1242695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-1242695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-1242695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-1242695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-1242695</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-1242695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-1242695</wp:posOffset>
            </wp:positionV>
            <wp:extent cx="3566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66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Acknowledgement Agreement to the Shareholders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Amendment to be executed as of the date first written above.</w:t>
      </w:r>
    </w:p>
    <w:p>
      <w:pPr>
        <w:sectPr>
          <w:pgSz w:w="11900" w:h="16838" w:orient="portrait"/>
          <w:cols w:equalWidth="0" w:num="1">
            <w:col w:w="11020"/>
          </w:cols>
          <w:pgMar w:left="440" w:top="274" w:right="439" w:bottom="1440" w:gutter="0" w:footer="0" w:header="0"/>
        </w:sectPr>
      </w:pP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for and on behalf of</w:t>
      </w:r>
      <w:r>
        <w:rPr>
          <w:rFonts w:ascii="Arial" w:cs="Arial" w:eastAsia="Arial" w:hAnsi="Arial"/>
          <w:sz w:val="17"/>
          <w:szCs w:val="17"/>
          <w:b w:val="1"/>
          <w:bCs w:val="1"/>
          <w:color w:val="auto"/>
        </w:rPr>
        <w:t xml:space="preserve"> Northpole GLY 1 LP</w:t>
      </w:r>
      <w:r>
        <w:rPr>
          <w:rFonts w:ascii="Arial" w:cs="Arial" w:eastAsia="Arial" w:hAnsi="Arial"/>
          <w:sz w:val="17"/>
          <w:szCs w:val="17"/>
          <w:color w:val="auto"/>
        </w:rPr>
        <w:t>, an exempted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partnership incorporated in the Cayman Islands by HRVOJE KRKALO as a director of Northpole GLY GP1, in its capacity as general partner of the partnership, in accordance with applicable laws or regulations of that place, is acting under the authority of such partnership, in the presence of:</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BAI SHIYU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BAI SHIYU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661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/s/ HRVOJE KRKALO</w:t>
            </w:r>
          </w:p>
        </w:tc>
        <w:tc>
          <w:tcPr>
            <w:tcW w:w="0" w:type="dxa"/>
            <w:vAlign w:val="bottom"/>
          </w:tcPr>
          <w:p>
            <w:pPr>
              <w:spacing w:after="0"/>
              <w:rPr>
                <w:sz w:val="1"/>
                <w:szCs w:val="1"/>
                <w:color w:val="auto"/>
              </w:rPr>
            </w:pPr>
          </w:p>
        </w:tc>
      </w:tr>
      <w:tr>
        <w:trPr>
          <w:trHeight w:val="41"/>
        </w:trPr>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20" w:type="dxa"/>
            <w:vAlign w:val="bottom"/>
            <w:vMerge w:val="continue"/>
          </w:tcPr>
          <w:p>
            <w:pPr>
              <w:spacing w:after="0"/>
              <w:rPr>
                <w:sz w:val="13"/>
                <w:szCs w:val="13"/>
                <w:color w:val="auto"/>
              </w:rPr>
            </w:pPr>
          </w:p>
        </w:tc>
        <w:tc>
          <w:tcPr>
            <w:tcW w:w="5080" w:type="dxa"/>
            <w:vAlign w:val="bottom"/>
          </w:tcPr>
          <w:p>
            <w:pPr>
              <w:spacing w:after="0" w:line="156" w:lineRule="exact"/>
              <w:rPr>
                <w:sz w:val="20"/>
                <w:szCs w:val="20"/>
                <w:color w:val="auto"/>
              </w:rPr>
            </w:pPr>
            <w:r>
              <w:rPr>
                <w:rFonts w:ascii="Arial" w:cs="Arial" w:eastAsia="Arial" w:hAnsi="Arial"/>
                <w:sz w:val="18"/>
                <w:szCs w:val="18"/>
                <w:color w:val="auto"/>
              </w:rPr>
              <w:t>Signature of HRVOJE KRKALO</w:t>
            </w:r>
          </w:p>
        </w:tc>
        <w:tc>
          <w:tcPr>
            <w:tcW w:w="0" w:type="dxa"/>
            <w:vAlign w:val="bottom"/>
          </w:tcPr>
          <w:p>
            <w:pPr>
              <w:spacing w:after="0"/>
              <w:rPr>
                <w:sz w:val="1"/>
                <w:szCs w:val="1"/>
                <w:color w:val="auto"/>
              </w:rPr>
            </w:pPr>
          </w:p>
        </w:tc>
      </w:tr>
      <w:tr>
        <w:trPr>
          <w:trHeight w:val="215"/>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w w:val="91"/>
              </w:rPr>
              <w:t>By executing this document, the signatory warrants that the signatory</w:t>
            </w: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w w:val="95"/>
              </w:rPr>
              <w:t>is duly authorised to execute this document on behalf of Northpole</w:t>
            </w: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GLY 1 LP</w:t>
            </w:r>
          </w:p>
        </w:tc>
        <w:tc>
          <w:tcPr>
            <w:tcW w:w="0" w:type="dxa"/>
            <w:vAlign w:val="bottom"/>
          </w:tcPr>
          <w:p>
            <w:pPr>
              <w:spacing w:after="0"/>
              <w:rPr>
                <w:sz w:val="1"/>
                <w:szCs w:val="1"/>
                <w:color w:val="auto"/>
              </w:rPr>
            </w:pPr>
          </w:p>
        </w:tc>
      </w:tr>
      <w:tr>
        <w:trPr>
          <w:trHeight w:val="188"/>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2">
            <w:col w:w="5600" w:space="120"/>
            <w:col w:w="5300"/>
          </w:cols>
          <w:pgMar w:left="440" w:top="274" w:right="4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Amendment Acknowledgement Agreement to the Shareholders Agreement</w:t>
      </w:r>
      <w:r>
        <w:rPr>
          <w:rFonts w:ascii="Arial" w:cs="Arial" w:eastAsia="Arial" w:hAnsi="Arial"/>
          <w:sz w:val="15"/>
          <w:szCs w:val="15"/>
          <w:color w:val="auto"/>
        </w:rPr>
        <w:t>)</w:t>
      </w:r>
    </w:p>
    <w:p>
      <w:pPr>
        <w:sectPr>
          <w:pgSz w:w="11900" w:h="16838" w:orient="portrait"/>
          <w:cols w:equalWidth="0" w:num="1">
            <w:col w:w="11020"/>
          </w:cols>
          <w:pgMar w:left="440" w:top="274" w:right="4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Amendment to be executed as of the date first written above.</w:t>
      </w:r>
    </w:p>
    <w:p>
      <w:pPr>
        <w:sectPr>
          <w:pgSz w:w="11900" w:h="16838" w:orient="portrait"/>
          <w:cols w:equalWidth="0" w:num="1">
            <w:col w:w="11020"/>
          </w:cols>
          <w:pgMar w:left="440" w:top="274" w:right="439" w:bottom="1440" w:gutter="0" w:footer="0" w:header="0"/>
        </w:sectPr>
      </w:pPr>
    </w:p>
    <w:p>
      <w:pPr>
        <w:spacing w:after="0" w:line="27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SIGNED </w:t>
      </w:r>
      <w:r>
        <w:rPr>
          <w:rFonts w:ascii="Arial" w:cs="Arial" w:eastAsia="Arial" w:hAnsi="Arial"/>
          <w:sz w:val="16"/>
          <w:szCs w:val="16"/>
          <w:color w:val="auto"/>
        </w:rPr>
        <w:t>for and on behalf of</w:t>
      </w:r>
      <w:r>
        <w:rPr>
          <w:rFonts w:ascii="Arial" w:cs="Arial" w:eastAsia="Arial" w:hAnsi="Arial"/>
          <w:sz w:val="16"/>
          <w:szCs w:val="16"/>
          <w:b w:val="1"/>
          <w:bCs w:val="1"/>
          <w:color w:val="auto"/>
        </w:rPr>
        <w:t xml:space="preserve"> GLY New Mobility 1. LP</w:t>
      </w:r>
      <w:r>
        <w:rPr>
          <w:rFonts w:ascii="Arial" w:cs="Arial" w:eastAsia="Arial" w:hAnsi="Arial"/>
          <w:sz w:val="16"/>
          <w:szCs w:val="16"/>
          <w:color w:val="auto"/>
        </w:rPr>
        <w:t>, an exempted</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partnership incorporated in Cayman Islands by HRVOJE KRKALO as a director of GLY New Mobility GP1, in its capacity as general partner of the partnership, in accordance with applicable laws or regulations of that place, is acting under the authority of such partnership, in the presence of: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BAI SHIYU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BAI SHIYU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6616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/s/ HRVOJE KRKALO</w:t>
            </w:r>
          </w:p>
        </w:tc>
        <w:tc>
          <w:tcPr>
            <w:tcW w:w="0" w:type="dxa"/>
            <w:vAlign w:val="bottom"/>
          </w:tcPr>
          <w:p>
            <w:pPr>
              <w:spacing w:after="0"/>
              <w:rPr>
                <w:sz w:val="1"/>
                <w:szCs w:val="1"/>
                <w:color w:val="auto"/>
              </w:rPr>
            </w:pPr>
          </w:p>
        </w:tc>
      </w:tr>
      <w:tr>
        <w:trPr>
          <w:trHeight w:val="41"/>
        </w:trPr>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20" w:type="dxa"/>
            <w:vAlign w:val="bottom"/>
            <w:vMerge w:val="continue"/>
          </w:tcPr>
          <w:p>
            <w:pPr>
              <w:spacing w:after="0"/>
              <w:rPr>
                <w:sz w:val="13"/>
                <w:szCs w:val="13"/>
                <w:color w:val="auto"/>
              </w:rPr>
            </w:pPr>
          </w:p>
        </w:tc>
        <w:tc>
          <w:tcPr>
            <w:tcW w:w="5080" w:type="dxa"/>
            <w:vAlign w:val="bottom"/>
          </w:tcPr>
          <w:p>
            <w:pPr>
              <w:spacing w:after="0" w:line="156" w:lineRule="exact"/>
              <w:rPr>
                <w:sz w:val="20"/>
                <w:szCs w:val="20"/>
                <w:color w:val="auto"/>
              </w:rPr>
            </w:pPr>
            <w:r>
              <w:rPr>
                <w:rFonts w:ascii="Arial" w:cs="Arial" w:eastAsia="Arial" w:hAnsi="Arial"/>
                <w:sz w:val="18"/>
                <w:szCs w:val="18"/>
                <w:color w:val="auto"/>
              </w:rPr>
              <w:t>Signature of HRVOJE KRKALO</w:t>
            </w:r>
          </w:p>
        </w:tc>
        <w:tc>
          <w:tcPr>
            <w:tcW w:w="0" w:type="dxa"/>
            <w:vAlign w:val="bottom"/>
          </w:tcPr>
          <w:p>
            <w:pPr>
              <w:spacing w:after="0"/>
              <w:rPr>
                <w:sz w:val="1"/>
                <w:szCs w:val="1"/>
                <w:color w:val="auto"/>
              </w:rPr>
            </w:pPr>
          </w:p>
        </w:tc>
      </w:tr>
      <w:tr>
        <w:trPr>
          <w:trHeight w:val="215"/>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w w:val="91"/>
              </w:rPr>
              <w:t>By executing this document, the signatory warrants that the signatory</w:t>
            </w: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w w:val="96"/>
              </w:rPr>
              <w:t>is duly authorised to execute this document on behalf of GLY New</w:t>
            </w: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Mobility 1. LP</w:t>
            </w:r>
          </w:p>
        </w:tc>
        <w:tc>
          <w:tcPr>
            <w:tcW w:w="0" w:type="dxa"/>
            <w:vAlign w:val="bottom"/>
          </w:tcPr>
          <w:p>
            <w:pPr>
              <w:spacing w:after="0"/>
              <w:rPr>
                <w:sz w:val="1"/>
                <w:szCs w:val="1"/>
                <w:color w:val="auto"/>
              </w:rPr>
            </w:pPr>
          </w:p>
        </w:tc>
      </w:tr>
      <w:tr>
        <w:trPr>
          <w:trHeight w:val="188"/>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2">
            <w:col w:w="5500" w:space="220"/>
            <w:col w:w="5300"/>
          </w:cols>
          <w:pgMar w:left="440" w:top="274" w:right="4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Amendment Acknowledgement Agreement to the Shareholders Agreement</w:t>
      </w:r>
      <w:r>
        <w:rPr>
          <w:rFonts w:ascii="Arial" w:cs="Arial" w:eastAsia="Arial" w:hAnsi="Arial"/>
          <w:sz w:val="15"/>
          <w:szCs w:val="15"/>
          <w:color w:val="auto"/>
        </w:rPr>
        <w:t>)</w:t>
      </w:r>
    </w:p>
    <w:p>
      <w:pPr>
        <w:sectPr>
          <w:pgSz w:w="11900" w:h="16838" w:orient="portrait"/>
          <w:cols w:equalWidth="0" w:num="1">
            <w:col w:w="11020"/>
          </w:cols>
          <w:pgMar w:left="440" w:top="274" w:right="4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Amendment to be executed as of the date first written above.</w:t>
      </w:r>
    </w:p>
    <w:p>
      <w:pPr>
        <w:sectPr>
          <w:pgSz w:w="11900" w:h="16838" w:orient="portrait"/>
          <w:cols w:equalWidth="0" w:num="1">
            <w:col w:w="11020"/>
          </w:cols>
          <w:pgMar w:left="440" w:top="274" w:right="439" w:bottom="1440" w:gutter="0" w:footer="0" w:header="0"/>
        </w:sectPr>
      </w:pPr>
    </w:p>
    <w:p>
      <w:pPr>
        <w:spacing w:after="0" w:line="271"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for and on behalf of</w:t>
      </w:r>
      <w:r>
        <w:rPr>
          <w:rFonts w:ascii="Arial" w:cs="Arial" w:eastAsia="Arial" w:hAnsi="Arial"/>
          <w:sz w:val="17"/>
          <w:szCs w:val="17"/>
          <w:b w:val="1"/>
          <w:bCs w:val="1"/>
          <w:color w:val="auto"/>
        </w:rPr>
        <w:t xml:space="preserve"> POLESTAR AUTOMOTIVE HOLDING UK LIMITED</w:t>
      </w:r>
      <w:r>
        <w:rPr>
          <w:rFonts w:ascii="Arial" w:cs="Arial" w:eastAsia="Arial" w:hAnsi="Arial"/>
          <w:sz w:val="17"/>
          <w:szCs w:val="17"/>
          <w:color w:val="auto"/>
        </w:rPr>
        <w:t>, by MIKAEL ALKMARK, being a Person who is acting</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authority of the Company, in the presence 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ANNA RUDENSJÖ</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ANNA RUDENSJÖ</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661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/s/ MIKAEL ALKMARK</w:t>
            </w:r>
          </w:p>
        </w:tc>
        <w:tc>
          <w:tcPr>
            <w:tcW w:w="0" w:type="dxa"/>
            <w:vAlign w:val="bottom"/>
          </w:tcPr>
          <w:p>
            <w:pPr>
              <w:spacing w:after="0"/>
              <w:rPr>
                <w:sz w:val="1"/>
                <w:szCs w:val="1"/>
                <w:color w:val="auto"/>
              </w:rPr>
            </w:pPr>
          </w:p>
        </w:tc>
      </w:tr>
      <w:tr>
        <w:trPr>
          <w:trHeight w:val="41"/>
        </w:trPr>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20" w:type="dxa"/>
            <w:vAlign w:val="bottom"/>
            <w:vMerge w:val="continue"/>
          </w:tcPr>
          <w:p>
            <w:pPr>
              <w:spacing w:after="0"/>
              <w:rPr>
                <w:sz w:val="13"/>
                <w:szCs w:val="13"/>
                <w:color w:val="auto"/>
              </w:rPr>
            </w:pPr>
          </w:p>
        </w:tc>
        <w:tc>
          <w:tcPr>
            <w:tcW w:w="5080" w:type="dxa"/>
            <w:vAlign w:val="bottom"/>
          </w:tcPr>
          <w:p>
            <w:pPr>
              <w:spacing w:after="0" w:line="156" w:lineRule="exact"/>
              <w:rPr>
                <w:sz w:val="20"/>
                <w:szCs w:val="20"/>
                <w:color w:val="auto"/>
              </w:rPr>
            </w:pPr>
            <w:r>
              <w:rPr>
                <w:rFonts w:ascii="Arial" w:cs="Arial" w:eastAsia="Arial" w:hAnsi="Arial"/>
                <w:sz w:val="18"/>
                <w:szCs w:val="18"/>
                <w:color w:val="auto"/>
              </w:rPr>
              <w:t>Signature of JAN MIKAEL ALKMARK</w:t>
            </w:r>
          </w:p>
        </w:tc>
        <w:tc>
          <w:tcPr>
            <w:tcW w:w="0" w:type="dxa"/>
            <w:vAlign w:val="bottom"/>
          </w:tcPr>
          <w:p>
            <w:pPr>
              <w:spacing w:after="0"/>
              <w:rPr>
                <w:sz w:val="1"/>
                <w:szCs w:val="1"/>
                <w:color w:val="auto"/>
              </w:rPr>
            </w:pPr>
          </w:p>
        </w:tc>
      </w:tr>
      <w:tr>
        <w:trPr>
          <w:trHeight w:val="215"/>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w w:val="91"/>
              </w:rPr>
              <w:t>By executing this document, the signatory warrants that the signatory</w:t>
            </w: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w w:val="92"/>
              </w:rPr>
              <w:t>is duly authorised to execute this document on behalf of POLESTAR</w:t>
            </w: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r>
              <w:rPr>
                <w:rFonts w:ascii="Arial" w:cs="Arial" w:eastAsia="Arial" w:hAnsi="Arial"/>
                <w:sz w:val="18"/>
                <w:szCs w:val="18"/>
                <w:color w:val="auto"/>
              </w:rPr>
              <w:t>AUTOMOTIVE HOLDING UK LIMITED</w:t>
            </w:r>
          </w:p>
        </w:tc>
        <w:tc>
          <w:tcPr>
            <w:tcW w:w="0" w:type="dxa"/>
            <w:vAlign w:val="bottom"/>
          </w:tcPr>
          <w:p>
            <w:pPr>
              <w:spacing w:after="0"/>
              <w:rPr>
                <w:sz w:val="1"/>
                <w:szCs w:val="1"/>
                <w:color w:val="auto"/>
              </w:rPr>
            </w:pPr>
          </w:p>
        </w:tc>
      </w:tr>
      <w:tr>
        <w:trPr>
          <w:trHeight w:val="188"/>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2">
            <w:col w:w="5380" w:space="340"/>
            <w:col w:w="5300"/>
          </w:cols>
          <w:pgMar w:left="440" w:top="274" w:right="4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Amendment Acknowledgement Agreement to the Shareholders Agreement</w:t>
      </w:r>
      <w:r>
        <w:rPr>
          <w:rFonts w:ascii="Arial" w:cs="Arial" w:eastAsia="Arial" w:hAnsi="Arial"/>
          <w:sz w:val="15"/>
          <w:szCs w:val="15"/>
          <w:color w:val="auto"/>
        </w:rPr>
        <w:t>)</w:t>
      </w:r>
    </w:p>
    <w:p>
      <w:pPr>
        <w:sectPr>
          <w:pgSz w:w="11900" w:h="16838" w:orient="portrait"/>
          <w:cols w:equalWidth="0" w:num="1">
            <w:col w:w="11020"/>
          </w:cols>
          <w:pgMar w:left="440" w:top="274" w:right="439" w:bottom="1440" w:gutter="0" w:footer="0" w:header="0"/>
          <w:type w:val="continuous"/>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Parent Shareholders Acknowledgment</w:t>
      </w:r>
    </w:p>
    <w:p>
      <w:pPr>
        <w:sectPr>
          <w:pgSz w:w="11900" w:h="16838" w:orient="portrait"/>
          <w:cols w:equalWidth="0" w:num="1">
            <w:col w:w="9019"/>
          </w:cols>
          <w:pgMar w:left="1440" w:top="270" w:right="1440"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ACKNOWLEDGEMENT AGREEMENT TO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SHAREHOLDERS AGREEMENT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ACKNOWLEDGEMENT AGREEMENT TO THE SHAREHOLDERS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2021 by and among:</w:t>
      </w:r>
    </w:p>
    <w:p>
      <w:pPr>
        <w:spacing w:after="0" w:line="99" w:lineRule="exact"/>
        <w:rPr>
          <w:sz w:val="20"/>
          <w:szCs w:val="20"/>
          <w:color w:val="auto"/>
        </w:rPr>
      </w:pPr>
    </w:p>
    <w:p>
      <w:pPr>
        <w:ind w:left="700" w:hanging="26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VOLVO CAR CORPORATION ( </w:t>
      </w:r>
      <w:r>
        <w:rPr>
          <w:rFonts w:ascii="Arial" w:cs="Arial" w:eastAsia="Arial" w:hAnsi="Arial"/>
          <w:sz w:val="1"/>
          <w:szCs w:val="1"/>
          <w:color w:val="auto"/>
        </w:rPr>
        <w:drawing>
          <wp:inline distT="0" distB="0" distL="0" distR="0">
            <wp:extent cx="720090" cy="10287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0090" cy="102870"/>
                    </a:xfrm>
                    <a:prstGeom prst="rect">
                      <a:avLst/>
                    </a:prstGeom>
                    <a:noFill/>
                    <a:ln>
                      <a:noFill/>
                    </a:ln>
                  </pic:spPr>
                </pic:pic>
              </a:graphicData>
            </a:graphic>
          </wp:inline>
        </w:drawing>
      </w:r>
      <w:r>
        <w:rPr>
          <w:rFonts w:ascii="Arial" w:cs="Arial" w:eastAsia="Arial" w:hAnsi="Arial"/>
          <w:sz w:val="18"/>
          <w:szCs w:val="18"/>
          <w:b w:val="1"/>
          <w:bCs w:val="1"/>
          <w:color w:val="auto"/>
        </w:rPr>
        <w:t xml:space="preserve"> )</w:t>
      </w:r>
      <w:r>
        <w:rPr>
          <w:rFonts w:ascii="Arial" w:cs="Arial" w:eastAsia="Arial" w:hAnsi="Arial"/>
          <w:sz w:val="18"/>
          <w:szCs w:val="18"/>
          <w:color w:val="auto"/>
        </w:rPr>
        <w:t>, a company incorporated under the laws of Sweden;</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SNITA HOLDING B.V.</w:t>
      </w:r>
      <w:r>
        <w:rPr>
          <w:rFonts w:ascii="Arial" w:cs="Arial" w:eastAsia="Arial" w:hAnsi="Arial"/>
          <w:sz w:val="18"/>
          <w:szCs w:val="18"/>
          <w:color w:val="auto"/>
        </w:rPr>
        <w:t>, a company wholly owned by Volvo and incorporated under the laws of Netherlands;</w:t>
      </w:r>
    </w:p>
    <w:p>
      <w:pPr>
        <w:spacing w:after="0" w:line="117"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 xml:space="preserve">(3) </w:t>
      </w:r>
      <w:r>
        <w:rPr>
          <w:sz w:val="1"/>
          <w:szCs w:val="1"/>
          <w:color w:val="auto"/>
        </w:rPr>
        <w:drawing>
          <wp:inline distT="0" distB="0" distL="0" distR="0">
            <wp:extent cx="1242695" cy="102870"/>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42695" cy="102870"/>
                    </a:xfrm>
                    <a:prstGeom prst="rect">
                      <a:avLst/>
                    </a:prstGeom>
                    <a:noFill/>
                    <a:ln>
                      <a:noFill/>
                    </a:ln>
                  </pic:spPr>
                </pic:pic>
              </a:graphicData>
            </a:graphic>
          </wp:inline>
        </w:drawing>
      </w:r>
      <w:r>
        <w:rPr>
          <w:rFonts w:ascii="Arial" w:cs="Arial" w:eastAsia="Arial" w:hAnsi="Arial"/>
          <w:sz w:val="18"/>
          <w:szCs w:val="18"/>
          <w:b w:val="1"/>
          <w:bCs w:val="1"/>
          <w:color w:val="auto"/>
        </w:rPr>
        <w:t xml:space="preserve"> (ZHEJIANG GEELY HOLDING GROUP CO., LTD.)</w:t>
      </w:r>
      <w:r>
        <w:rPr>
          <w:rFonts w:ascii="Arial" w:cs="Arial" w:eastAsia="Arial" w:hAnsi="Arial"/>
          <w:sz w:val="18"/>
          <w:szCs w:val="18"/>
          <w:color w:val="auto"/>
        </w:rPr>
        <w:t>, a limited liability company incorporated under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PRC;</w:t>
      </w:r>
    </w:p>
    <w:p>
      <w:pPr>
        <w:spacing w:after="0" w:line="54" w:lineRule="exact"/>
        <w:rPr>
          <w:sz w:val="20"/>
          <w:szCs w:val="20"/>
          <w:color w:val="auto"/>
        </w:rPr>
      </w:pPr>
    </w:p>
    <w:p>
      <w:pPr>
        <w:ind w:left="700" w:hanging="26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PSD INVESTMENT LIMITED</w:t>
      </w:r>
      <w:r>
        <w:rPr>
          <w:rFonts w:ascii="Arial" w:cs="Arial" w:eastAsia="Arial" w:hAnsi="Arial"/>
          <w:sz w:val="18"/>
          <w:szCs w:val="18"/>
          <w:color w:val="auto"/>
        </w:rPr>
        <w:t>, a company incorporated under the laws of the British Virgin Islands;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PSINV AB</w:t>
      </w:r>
      <w:r>
        <w:rPr>
          <w:rFonts w:ascii="Arial" w:cs="Arial" w:eastAsia="Arial" w:hAnsi="Arial"/>
          <w:sz w:val="18"/>
          <w:szCs w:val="18"/>
          <w:color w:val="auto"/>
        </w:rPr>
        <w:t>, a company duly incorporated and existing under the laws of Sweden;</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GLY NEW MOBILITY 1. LP</w:t>
      </w:r>
      <w:r>
        <w:rPr>
          <w:rFonts w:ascii="Arial" w:cs="Arial" w:eastAsia="Arial" w:hAnsi="Arial"/>
          <w:sz w:val="18"/>
          <w:szCs w:val="18"/>
          <w:color w:val="auto"/>
        </w:rPr>
        <w:t>, an exempted limited partnership established under the laws of the Cayman Islands;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NORTHPOLE GLY 1 LP</w:t>
      </w:r>
      <w:r>
        <w:rPr>
          <w:rFonts w:ascii="Arial" w:cs="Arial" w:eastAsia="Arial" w:hAnsi="Arial"/>
          <w:sz w:val="18"/>
          <w:szCs w:val="18"/>
          <w:color w:val="auto"/>
        </w:rPr>
        <w:t>, an exempted limited partnership established under the laws of the Cayman Islands;</w:t>
      </w:r>
    </w:p>
    <w:p>
      <w:pPr>
        <w:spacing w:after="0" w:line="117"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 xml:space="preserve">(8) </w:t>
      </w:r>
      <w:r>
        <w:rPr>
          <w:sz w:val="1"/>
          <w:szCs w:val="1"/>
          <w:color w:val="auto"/>
        </w:rPr>
        <w:drawing>
          <wp:inline distT="0" distB="0" distL="0" distR="0">
            <wp:extent cx="1345565" cy="102870"/>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45565" cy="102870"/>
                    </a:xfrm>
                    <a:prstGeom prst="rect">
                      <a:avLst/>
                    </a:prstGeom>
                    <a:noFill/>
                    <a:ln>
                      <a:noFill/>
                    </a:ln>
                  </pic:spPr>
                </pic:pic>
              </a:graphicData>
            </a:graphic>
          </wp:inline>
        </w:drawing>
      </w:r>
      <w:r>
        <w:rPr>
          <w:rFonts w:ascii="Arial" w:cs="Arial" w:eastAsia="Arial" w:hAnsi="Arial"/>
          <w:sz w:val="18"/>
          <w:szCs w:val="18"/>
          <w:b w:val="1"/>
          <w:bCs w:val="1"/>
          <w:color w:val="auto"/>
        </w:rPr>
        <w:t xml:space="preserve"> ZIBO FINANCIAL HOLDING GROUP CO., LTD, </w:t>
      </w:r>
      <w:r>
        <w:rPr>
          <w:rFonts w:ascii="Arial" w:cs="Arial" w:eastAsia="Arial" w:hAnsi="Arial"/>
          <w:sz w:val="18"/>
          <w:szCs w:val="18"/>
          <w:color w:val="auto"/>
        </w:rPr>
        <w:t>a limited liability company incorporated under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PRC;</w:t>
      </w:r>
    </w:p>
    <w:p>
      <w:pPr>
        <w:spacing w:after="0" w:line="54"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 xml:space="preserve">(9) </w:t>
      </w:r>
      <w:r>
        <w:rPr>
          <w:sz w:val="1"/>
          <w:szCs w:val="1"/>
          <w:color w:val="auto"/>
        </w:rPr>
        <w:drawing>
          <wp:inline distT="0" distB="0" distL="0" distR="0">
            <wp:extent cx="1242695" cy="10287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42695" cy="102870"/>
                    </a:xfrm>
                    <a:prstGeom prst="rect">
                      <a:avLst/>
                    </a:prstGeom>
                    <a:noFill/>
                    <a:ln>
                      <a:noFill/>
                    </a:ln>
                  </pic:spPr>
                </pic:pic>
              </a:graphicData>
            </a:graphic>
          </wp:inline>
        </w:drawing>
      </w:r>
      <w:r>
        <w:rPr>
          <w:rFonts w:ascii="Arial" w:cs="Arial" w:eastAsia="Arial" w:hAnsi="Arial"/>
          <w:sz w:val="18"/>
          <w:szCs w:val="18"/>
          <w:b w:val="1"/>
          <w:bCs w:val="1"/>
          <w:color w:val="auto"/>
        </w:rPr>
        <w:t xml:space="preserve"> ZIBO HIGH-TECH INDUSTRIAL INVESTMENT CO., LTD., </w:t>
      </w:r>
      <w:r>
        <w:rPr>
          <w:rFonts w:ascii="Arial" w:cs="Arial" w:eastAsia="Arial" w:hAnsi="Arial"/>
          <w:sz w:val="18"/>
          <w:szCs w:val="18"/>
          <w:color w:val="auto"/>
        </w:rPr>
        <w:t>a limited liability company incorporated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PRC;</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 </w:t>
      </w:r>
      <w:r>
        <w:rPr>
          <w:sz w:val="1"/>
          <w:szCs w:val="1"/>
          <w:color w:val="auto"/>
        </w:rPr>
        <w:drawing>
          <wp:inline distT="0" distB="0" distL="0" distR="0">
            <wp:extent cx="2040255" cy="10287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040255" cy="102870"/>
                    </a:xfrm>
                    <a:prstGeom prst="rect">
                      <a:avLst/>
                    </a:prstGeom>
                    <a:noFill/>
                    <a:ln>
                      <a:noFill/>
                    </a:ln>
                  </pic:spPr>
                </pic:pic>
              </a:graphicData>
            </a:graphic>
          </wp:inline>
        </w:drawing>
      </w:r>
      <w:r>
        <w:rPr>
          <w:rFonts w:ascii="Arial" w:cs="Arial" w:eastAsia="Arial" w:hAnsi="Arial"/>
          <w:sz w:val="16"/>
          <w:szCs w:val="16"/>
          <w:b w:val="1"/>
          <w:bCs w:val="1"/>
          <w:color w:val="auto"/>
        </w:rPr>
        <w:t xml:space="preserve"> , </w:t>
      </w:r>
      <w:r>
        <w:rPr>
          <w:rFonts w:ascii="Arial" w:cs="Arial" w:eastAsia="Arial" w:hAnsi="Arial"/>
          <w:sz w:val="17"/>
          <w:szCs w:val="17"/>
          <w:color w:val="auto"/>
        </w:rPr>
        <w:t>a limited partnership incorporated under the laws of PRC;</w:t>
      </w:r>
    </w:p>
    <w:p>
      <w:pPr>
        <w:spacing w:after="0" w:line="113" w:lineRule="exact"/>
        <w:rPr>
          <w:sz w:val="20"/>
          <w:szCs w:val="20"/>
          <w:color w:val="auto"/>
        </w:rPr>
      </w:pPr>
    </w:p>
    <w:p>
      <w:pPr>
        <w:ind w:right="80" w:firstLine="436"/>
        <w:spacing w:after="0" w:line="282" w:lineRule="auto"/>
        <w:tabs>
          <w:tab w:leader="none" w:pos="778"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POLESTAR AUTOMOTIVE HOLDING LIMITED </w:t>
      </w:r>
      <w:r>
        <w:rPr>
          <w:rFonts w:ascii="Arial" w:cs="Arial" w:eastAsia="Arial" w:hAnsi="Arial"/>
          <w:sz w:val="1"/>
          <w:szCs w:val="1"/>
          <w:color w:val="auto"/>
        </w:rPr>
        <w:drawing>
          <wp:inline distT="0" distB="0" distL="0" distR="0">
            <wp:extent cx="1028700" cy="10287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028700" cy="102870"/>
                    </a:xfrm>
                    <a:prstGeom prst="rect">
                      <a:avLst/>
                    </a:prstGeom>
                    <a:noFill/>
                    <a:ln>
                      <a:noFill/>
                    </a:ln>
                  </pic:spPr>
                </pic:pic>
              </a:graphicData>
            </a:graphic>
          </wp:inline>
        </w:drawing>
      </w:r>
      <w:r>
        <w:rPr>
          <w:rFonts w:ascii="Arial" w:cs="Arial" w:eastAsia="Arial" w:hAnsi="Arial"/>
          <w:sz w:val="18"/>
          <w:szCs w:val="18"/>
          <w:color w:val="auto"/>
        </w:rPr>
        <w:t xml:space="preserve"> , a private company limited by shares incorporated under the laws of Hong Kong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53" w:lineRule="exact"/>
        <w:rPr>
          <w:rFonts w:ascii="Arial" w:cs="Arial" w:eastAsia="Arial" w:hAnsi="Arial"/>
          <w:sz w:val="18"/>
          <w:szCs w:val="18"/>
          <w:color w:val="auto"/>
        </w:rPr>
      </w:pPr>
    </w:p>
    <w:p>
      <w:pPr>
        <w:ind w:left="780" w:hanging="344"/>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POLESTAR AUTOMOTIVE HOLDING UK LIMITED</w:t>
      </w:r>
      <w:r>
        <w:rPr>
          <w:rFonts w:ascii="Arial" w:cs="Arial" w:eastAsia="Arial" w:hAnsi="Arial"/>
          <w:sz w:val="18"/>
          <w:szCs w:val="18"/>
          <w:color w:val="auto"/>
        </w:rPr>
        <w:t>, a limited company incorporated under the laws of England and Wales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ListCo</w:t>
      </w:r>
      <w:r>
        <w:rPr>
          <w:rFonts w:ascii="Arial" w:cs="Arial" w:eastAsia="Arial" w:hAnsi="Arial"/>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17" w:lineRule="exact"/>
        <w:rPr>
          <w:sz w:val="20"/>
          <w:szCs w:val="20"/>
          <w:color w:val="auto"/>
        </w:rPr>
      </w:pPr>
    </w:p>
    <w:p>
      <w:pPr>
        <w:ind w:right="360" w:firstLine="436"/>
        <w:spacing w:after="0" w:line="258"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Parties, other than ListCo, entered into that certain shareholders agreement on 20 January 2021 (the “</w:t>
      </w:r>
      <w:r>
        <w:rPr>
          <w:rFonts w:ascii="Arial" w:cs="Arial" w:eastAsia="Arial" w:hAnsi="Arial"/>
          <w:sz w:val="18"/>
          <w:szCs w:val="18"/>
          <w:b w:val="1"/>
          <w:bCs w:val="1"/>
          <w:color w:val="auto"/>
        </w:rPr>
        <w:t>Original Shareholders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in respect of the operation and management of the Company and certain shareholder rights and other matters set forth therein, and on</w:t>
      </w:r>
      <w:r>
        <w:rPr>
          <w:rFonts w:ascii="Arial" w:cs="Arial" w:eastAsia="Arial" w:hAnsi="Arial"/>
          <w:sz w:val="18"/>
          <w:szCs w:val="18"/>
          <w:b w:val="1"/>
          <w:bCs w:val="1"/>
          <w:color w:val="auto"/>
        </w:rPr>
        <w:t xml:space="preserve"> </w:t>
      </w:r>
      <w:r>
        <w:rPr>
          <w:rFonts w:ascii="Arial" w:cs="Arial" w:eastAsia="Arial" w:hAnsi="Arial"/>
          <w:sz w:val="18"/>
          <w:szCs w:val="18"/>
          <w:color w:val="auto"/>
        </w:rPr>
        <w:t>8 June 2021 entered into a supplemental agreement to amend certain terms of the Original Shareholders Agreement (the “</w:t>
      </w:r>
      <w:r>
        <w:rPr>
          <w:rFonts w:ascii="Arial" w:cs="Arial" w:eastAsia="Arial" w:hAnsi="Arial"/>
          <w:sz w:val="18"/>
          <w:szCs w:val="18"/>
          <w:b w:val="1"/>
          <w:bCs w:val="1"/>
          <w:color w:val="auto"/>
        </w:rPr>
        <w:t>First Supplemental</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 to the Shareholders Agreement</w:t>
      </w:r>
      <w:r>
        <w:rPr>
          <w:rFonts w:ascii="Arial" w:cs="Arial" w:eastAsia="Arial" w:hAnsi="Arial"/>
          <w:sz w:val="18"/>
          <w:szCs w:val="18"/>
          <w:color w:val="auto"/>
        </w:rPr>
        <w:t>” and collectively with the Original Shareholders Agreement, as amended from time to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Shareholders Agreement</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40" w:firstLine="436"/>
        <w:spacing w:after="0" w:line="259"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proposes to effect a transaction whereby ListCo, a subsidiary of the Company, intends to list the American depository shares of ListCo on the Nasdaq Stock Market in connection with a merger and “de-SPAC” process with a blank check company incorporated in Delaware, together with the transactions contemplated under the BCA (as defined below) and the other Transaction Documents (as defined under the BCA) (collectively, the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of the Parties, other than ListCo, intends to: (a) terminate the Shareholders Agreement with effect from the date of closing or</w:t>
      </w:r>
    </w:p>
    <w:p>
      <w:pPr>
        <w:spacing w:after="0" w:line="34" w:lineRule="exact"/>
        <w:rPr>
          <w:rFonts w:ascii="Arial" w:cs="Arial" w:eastAsia="Arial" w:hAnsi="Arial"/>
          <w:sz w:val="17"/>
          <w:szCs w:val="17"/>
          <w:color w:val="auto"/>
        </w:rPr>
      </w:pPr>
    </w:p>
    <w:p>
      <w:pPr>
        <w:ind w:right="200"/>
        <w:spacing w:after="0" w:line="290" w:lineRule="auto"/>
        <w:rPr>
          <w:rFonts w:ascii="Arial" w:cs="Arial" w:eastAsia="Arial" w:hAnsi="Arial"/>
          <w:sz w:val="17"/>
          <w:szCs w:val="17"/>
          <w:color w:val="auto"/>
        </w:rPr>
      </w:pPr>
      <w:r>
        <w:rPr>
          <w:rFonts w:ascii="Arial" w:cs="Arial" w:eastAsia="Arial" w:hAnsi="Arial"/>
          <w:sz w:val="17"/>
          <w:szCs w:val="17"/>
          <w:color w:val="auto"/>
        </w:rPr>
        <w:t>consummation of the Transaction under the BCA (the “</w:t>
      </w:r>
      <w:r>
        <w:rPr>
          <w:rFonts w:ascii="Arial" w:cs="Arial" w:eastAsia="Arial" w:hAnsi="Arial"/>
          <w:sz w:val="17"/>
          <w:szCs w:val="17"/>
          <w:b w:val="1"/>
          <w:bCs w:val="1"/>
          <w:color w:val="auto"/>
        </w:rPr>
        <w:t>Closing</w:t>
      </w:r>
      <w:r>
        <w:rPr>
          <w:rFonts w:ascii="Arial" w:cs="Arial" w:eastAsia="Arial" w:hAnsi="Arial"/>
          <w:sz w:val="17"/>
          <w:szCs w:val="17"/>
          <w:color w:val="auto"/>
        </w:rPr>
        <w:t>”); and (b) acknowledge and agree to certain matters involving the Company and their shareholdings in the Company and (whether directly or indirectly through the Company) ListCo following the Closing.</w:t>
      </w:r>
    </w:p>
    <w:p>
      <w:pPr>
        <w:sectPr>
          <w:pgSz w:w="11900" w:h="16838" w:orient="portrait"/>
          <w:cols w:equalWidth="0" w:num="1">
            <w:col w:w="10960"/>
          </w:cols>
          <w:pgMar w:left="440" w:top="270" w:right="499" w:bottom="1440" w:gutter="0" w:footer="0" w:header="0"/>
        </w:sectPr>
      </w:pPr>
    </w:p>
    <w:bookmarkStart w:id="48" w:name="page49"/>
    <w:bookmarkEnd w:id="48"/>
    <w:p>
      <w:pPr>
        <w:ind w:right="46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foregoing and the mutual promises hereinafter set forth, the sufficiency and adequacy of which consideration the Parties hereby acknowledge, the Parties hereto, intending to be legally bound, hereby agree as follows: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mutual agreements and undertakings of the Parties, the Parties hereby acknowledge and agree to the following:</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Definitions and Interpretation.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 Definitions. </w:t>
      </w:r>
      <w:r>
        <w:rPr>
          <w:rFonts w:ascii="Arial" w:cs="Arial" w:eastAsia="Arial" w:hAnsi="Arial"/>
          <w:sz w:val="18"/>
          <w:szCs w:val="18"/>
          <w:color w:val="auto"/>
        </w:rPr>
        <w:t>In this Agreement, unless otherwise defined:</w:t>
      </w:r>
    </w:p>
    <w:p>
      <w:pPr>
        <w:spacing w:after="0" w:line="117" w:lineRule="exact"/>
        <w:rPr>
          <w:sz w:val="20"/>
          <w:szCs w:val="20"/>
          <w:color w:val="auto"/>
        </w:rPr>
      </w:pPr>
    </w:p>
    <w:p>
      <w:pPr>
        <w:ind w:right="3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means the Third Amended and Restated Articles of Association of the Company or such other articles of association of the Company as may be effective from time to time.</w:t>
      </w:r>
    </w:p>
    <w:p>
      <w:pPr>
        <w:spacing w:after="0" w:line="54" w:lineRule="exact"/>
        <w:rPr>
          <w:sz w:val="20"/>
          <w:szCs w:val="20"/>
          <w:color w:val="auto"/>
        </w:rPr>
      </w:pPr>
    </w:p>
    <w:p>
      <w:pPr>
        <w:ind w:right="1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BCA</w:t>
      </w:r>
      <w:r>
        <w:rPr>
          <w:rFonts w:ascii="Arial" w:cs="Arial" w:eastAsia="Arial" w:hAnsi="Arial"/>
          <w:sz w:val="18"/>
          <w:szCs w:val="18"/>
          <w:color w:val="auto"/>
        </w:rPr>
        <w:t>” means the business combination agreement entered on or about the date of this Agreement between, among others, the Company and ListCo in relation to the Transaction.</w:t>
      </w:r>
    </w:p>
    <w:p>
      <w:pPr>
        <w:spacing w:after="0" w:line="54" w:lineRule="exact"/>
        <w:rPr>
          <w:sz w:val="20"/>
          <w:szCs w:val="20"/>
          <w:color w:val="auto"/>
        </w:rPr>
      </w:pPr>
    </w:p>
    <w:p>
      <w:pPr>
        <w:ind w:right="2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(a) Saturday, Sunday or any day on which banking institutions in the PRC (with respect to corporate banking business only), Hong Kong, England, Macao Special Administrative Region of the People’s Republic of China, British Virgin Islands, Sweden or the Netherlands are closed either under applicable laws or regulations; and (b) a day on which typhoon signal No.8 or above is hoisted or black rainstorm warning signal is issued (as the case may be) at any time between 9:00a.m. and 5:00p.m. on such date.</w:t>
      </w:r>
    </w:p>
    <w:p>
      <w:pPr>
        <w:spacing w:after="0" w:line="57" w:lineRule="exact"/>
        <w:rPr>
          <w:sz w:val="20"/>
          <w:szCs w:val="20"/>
          <w:color w:val="auto"/>
        </w:rPr>
      </w:pPr>
    </w:p>
    <w:p>
      <w:pPr>
        <w:ind w:right="5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Shares</w:t>
      </w:r>
      <w:r>
        <w:rPr>
          <w:rFonts w:ascii="Arial" w:cs="Arial" w:eastAsia="Arial" w:hAnsi="Arial"/>
          <w:sz w:val="18"/>
          <w:szCs w:val="18"/>
          <w:color w:val="auto"/>
        </w:rPr>
        <w:t>” means the shares designated as “Class A Ordinary Shares” in the share capital of the Company, with all rights and obligations attached to them as specified in the Articles.</w:t>
      </w:r>
    </w:p>
    <w:p>
      <w:pPr>
        <w:spacing w:after="0" w:line="54" w:lineRule="exact"/>
        <w:rPr>
          <w:sz w:val="20"/>
          <w:szCs w:val="20"/>
          <w:color w:val="auto"/>
        </w:rPr>
      </w:pPr>
    </w:p>
    <w:p>
      <w:pPr>
        <w:ind w:right="5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Shares</w:t>
      </w:r>
      <w:r>
        <w:rPr>
          <w:rFonts w:ascii="Arial" w:cs="Arial" w:eastAsia="Arial" w:hAnsi="Arial"/>
          <w:sz w:val="18"/>
          <w:szCs w:val="18"/>
          <w:color w:val="auto"/>
        </w:rPr>
        <w:t>” means the shares designated as “Class B Ordinary Shares” in the share capital of the Company, with all rights and obligations attached to them as specified in the Articles.</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has the meaning given in the Recitals.</w:t>
      </w:r>
    </w:p>
    <w:p>
      <w:pPr>
        <w:spacing w:after="0" w:line="117" w:lineRule="exact"/>
        <w:rPr>
          <w:sz w:val="20"/>
          <w:szCs w:val="20"/>
          <w:color w:val="auto"/>
        </w:rPr>
      </w:pPr>
    </w:p>
    <w:p>
      <w:pPr>
        <w:ind w:right="18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confidential information: (a) relating to the organization, business or finance of the Company or any of its subsidiaries; (b) concerning a third party that the Company is under a duty to keep confidential; (c) relating to the products, services or any proprietary information of the Company or any of its subsidiaries); or (d) relating to the Transaction.</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given in Section 10.9(a).</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HKIAC</w:t>
      </w:r>
      <w:r>
        <w:rPr>
          <w:rFonts w:ascii="Arial" w:cs="Arial" w:eastAsia="Arial" w:hAnsi="Arial"/>
          <w:sz w:val="18"/>
          <w:szCs w:val="18"/>
          <w:color w:val="auto"/>
        </w:rPr>
        <w:t>” has the meaning given in Section 10.9(a).</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HKIAC Rules</w:t>
      </w:r>
      <w:r>
        <w:rPr>
          <w:rFonts w:ascii="Arial" w:cs="Arial" w:eastAsia="Arial" w:hAnsi="Arial"/>
          <w:sz w:val="18"/>
          <w:szCs w:val="18"/>
          <w:color w:val="auto"/>
        </w:rPr>
        <w:t>” has the meaning given in Section 10.9(a).</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w:t>
      </w:r>
      <w:r>
        <w:rPr>
          <w:rFonts w:ascii="Arial" w:cs="Arial" w:eastAsia="Arial" w:hAnsi="Arial"/>
          <w:sz w:val="18"/>
          <w:szCs w:val="18"/>
          <w:color w:val="auto"/>
        </w:rPr>
        <w:t>” has the meaning given in Section 3.1.</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ListCo Articles</w:t>
      </w:r>
      <w:r>
        <w:rPr>
          <w:rFonts w:ascii="Arial" w:cs="Arial" w:eastAsia="Arial" w:hAnsi="Arial"/>
          <w:sz w:val="16"/>
          <w:szCs w:val="16"/>
          <w:color w:val="auto"/>
        </w:rPr>
        <w:t>” means the articles of association of ListCo to become effective as of Closing as contemplated by and in accordance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BCA.</w:t>
      </w:r>
    </w:p>
    <w:p>
      <w:pPr>
        <w:spacing w:after="0" w:line="9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ListCo Shares</w:t>
      </w:r>
      <w:r>
        <w:rPr>
          <w:rFonts w:ascii="Arial" w:cs="Arial" w:eastAsia="Arial" w:hAnsi="Arial"/>
          <w:sz w:val="18"/>
          <w:szCs w:val="18"/>
          <w:color w:val="auto"/>
        </w:rPr>
        <w:t>” means the outstanding shares of ListCo from time to time.</w:t>
      </w:r>
    </w:p>
    <w:p>
      <w:pPr>
        <w:spacing w:after="0" w:line="117" w:lineRule="exact"/>
        <w:rPr>
          <w:sz w:val="20"/>
          <w:szCs w:val="20"/>
          <w:color w:val="auto"/>
        </w:rPr>
      </w:pPr>
    </w:p>
    <w:p>
      <w:pPr>
        <w:ind w:right="8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PRC</w:t>
      </w:r>
      <w:r>
        <w:rPr>
          <w:rFonts w:ascii="Arial" w:cs="Arial" w:eastAsia="Arial" w:hAnsi="Arial"/>
          <w:sz w:val="18"/>
          <w:szCs w:val="18"/>
          <w:color w:val="auto"/>
        </w:rPr>
        <w:t>” means the People’s Republic of China, but for the purposes of this Agreement, excludes Hong Kong, the Macau Special Administrative Region and the islands of Taiwan.</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w:t>
      </w:r>
      <w:r>
        <w:rPr>
          <w:rFonts w:ascii="Arial" w:cs="Arial" w:eastAsia="Arial" w:hAnsi="Arial"/>
          <w:sz w:val="18"/>
          <w:szCs w:val="18"/>
          <w:color w:val="auto"/>
        </w:rPr>
        <w:t>” means a section of this Agreement.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Shareholder</w:t>
      </w:r>
      <w:r>
        <w:rPr>
          <w:rFonts w:ascii="Arial" w:cs="Arial" w:eastAsia="Arial" w:hAnsi="Arial"/>
          <w:sz w:val="18"/>
          <w:szCs w:val="18"/>
          <w:color w:val="auto"/>
        </w:rPr>
        <w:t>” has the meaning given to it in Section 4.2(a).</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 Termination</w:t>
      </w:r>
      <w:r>
        <w:rPr>
          <w:rFonts w:ascii="Arial" w:cs="Arial" w:eastAsia="Arial" w:hAnsi="Arial"/>
          <w:sz w:val="18"/>
          <w:szCs w:val="18"/>
          <w:color w:val="auto"/>
        </w:rPr>
        <w:t>” has the meaning given in Section 2.1(a).</w:t>
      </w:r>
    </w:p>
    <w:p>
      <w:pPr>
        <w:spacing w:after="0" w:line="117" w:lineRule="exact"/>
        <w:rPr>
          <w:sz w:val="20"/>
          <w:szCs w:val="20"/>
          <w:color w:val="auto"/>
        </w:rPr>
      </w:pPr>
    </w:p>
    <w:p>
      <w:pPr>
        <w:ind w:right="3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 means a holder of Shares from time to time, including their respective successors and permitted assigns and any person deriving title under them.</w:t>
      </w:r>
    </w:p>
    <w:p>
      <w:pPr>
        <w:sectPr>
          <w:pgSz w:w="11900" w:h="16838" w:orient="portrait"/>
          <w:cols w:equalWidth="0" w:num="1">
            <w:col w:w="11020"/>
          </w:cols>
          <w:pgMar w:left="440" w:top="274" w:right="439" w:bottom="1440" w:gutter="0" w:footer="0" w:header="0"/>
        </w:sectPr>
      </w:pPr>
    </w:p>
    <w:bookmarkStart w:id="49" w:name="page50"/>
    <w:bookmarkEnd w:id="4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Shareholders Agreement</w:t>
      </w:r>
      <w:r>
        <w:rPr>
          <w:rFonts w:ascii="Arial" w:cs="Arial" w:eastAsia="Arial" w:hAnsi="Arial"/>
          <w:sz w:val="18"/>
          <w:szCs w:val="18"/>
          <w:color w:val="auto"/>
        </w:rPr>
        <w:t>” has the meaning given in the Recitals.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outstanding shares of the Company from time to time.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w:t>
      </w:r>
      <w:r>
        <w:rPr>
          <w:rFonts w:ascii="Arial" w:cs="Arial" w:eastAsia="Arial" w:hAnsi="Arial"/>
          <w:sz w:val="18"/>
          <w:szCs w:val="18"/>
          <w:color w:val="auto"/>
        </w:rPr>
        <w:t>” has the meaning given in the Recitals.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 Termination of the Shareholders Agreement.</w:t>
      </w:r>
    </w:p>
    <w:p>
      <w:pPr>
        <w:spacing w:after="0" w:line="117" w:lineRule="exact"/>
        <w:rPr>
          <w:sz w:val="20"/>
          <w:szCs w:val="20"/>
          <w:color w:val="auto"/>
        </w:rPr>
      </w:pPr>
    </w:p>
    <w:p>
      <w:pPr>
        <w:ind w:right="420" w:firstLine="991"/>
        <w:spacing w:after="0" w:line="28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u w:val="single" w:color="auto"/>
          <w:color w:val="auto"/>
        </w:rPr>
        <w:t>Termination of Shareholders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(other than ListCo) hereby mutually agree that, notwithstanding any term or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the Shareholders Agreement, and with effect on and from the date of Closing:</w:t>
      </w:r>
    </w:p>
    <w:p>
      <w:pPr>
        <w:spacing w:after="0" w:line="58" w:lineRule="exact"/>
        <w:rPr>
          <w:sz w:val="20"/>
          <w:szCs w:val="20"/>
          <w:color w:val="auto"/>
        </w:rPr>
      </w:pPr>
    </w:p>
    <w:p>
      <w:pPr>
        <w:ind w:right="200" w:firstLine="987"/>
        <w:spacing w:after="0" w:line="277" w:lineRule="auto"/>
        <w:tabs>
          <w:tab w:leader="none" w:pos="12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Shareholders Agreement shall immediately be irrevocably terminated, rescinded and cancelled, and shall have no further force or effect (the “</w:t>
      </w:r>
      <w:r>
        <w:rPr>
          <w:rFonts w:ascii="Arial" w:cs="Arial" w:eastAsia="Arial" w:hAnsi="Arial"/>
          <w:sz w:val="18"/>
          <w:szCs w:val="18"/>
          <w:b w:val="1"/>
          <w:bCs w:val="1"/>
          <w:color w:val="auto"/>
        </w:rPr>
        <w:t>SHA Termination</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40" w:firstLine="987"/>
        <w:spacing w:after="0" w:line="277" w:lineRule="auto"/>
        <w:tabs>
          <w:tab w:leader="none" w:pos="12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the Parties’ (other than ListCo) present and future rights, privileges, benefits, responsibilities, liabilities and obligations under the Shareholders Agreement shall cease immediately; and</w:t>
      </w:r>
    </w:p>
    <w:p>
      <w:pPr>
        <w:spacing w:after="0" w:line="62" w:lineRule="exact"/>
        <w:rPr>
          <w:rFonts w:ascii="Arial" w:cs="Arial" w:eastAsia="Arial" w:hAnsi="Arial"/>
          <w:sz w:val="18"/>
          <w:szCs w:val="18"/>
          <w:color w:val="auto"/>
        </w:rPr>
      </w:pPr>
    </w:p>
    <w:p>
      <w:pPr>
        <w:ind w:right="20" w:firstLine="987"/>
        <w:spacing w:after="0" w:line="296" w:lineRule="auto"/>
        <w:tabs>
          <w:tab w:leader="none" w:pos="12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each of the Parties (other than ListCo) is irrevocably, unconditionally, fully and absolutely released and discharged in any jurisdiction or forum from any and all present and future claims, demands, damages, losses, expenses, rights, entitlements, obligations, rights of action and liabilities (whether actual or contingent) of whatsoever nature to the other Parties (other than ListCo) arising out of or in connection with (in each case directly or indirectly) the Shareholders Agreement, provided that this Agreement shall not affect any antecedent breach under the Shareholders Agreement or the accrued rights and obligations of the Parties (other than ListCo) on or prior to the date of execution of this Agreement.</w:t>
      </w:r>
    </w:p>
    <w:p>
      <w:pPr>
        <w:spacing w:after="0" w:line="49" w:lineRule="exact"/>
        <w:rPr>
          <w:sz w:val="20"/>
          <w:szCs w:val="20"/>
          <w:color w:val="auto"/>
        </w:rPr>
      </w:pPr>
    </w:p>
    <w:p>
      <w:pPr>
        <w:ind w:right="80" w:firstLine="991"/>
        <w:spacing w:after="0" w:line="266"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u w:val="single" w:color="auto"/>
          <w:color w:val="auto"/>
        </w:rPr>
        <w:t>No Prejudice to Rights under this Agreement</w:t>
      </w:r>
      <w:r>
        <w:rPr>
          <w:rFonts w:ascii="Arial" w:cs="Arial" w:eastAsia="Arial" w:hAnsi="Arial"/>
          <w:sz w:val="18"/>
          <w:szCs w:val="18"/>
          <w:color w:val="auto"/>
        </w:rPr>
        <w:t>. Notwithstanding any term or provision of this Agreement, the releases and covenants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2.1 shall not apply to, or otherwise limit or prejudice, any claims or rights of action that any of the Parties may have in respect of the enforcement of and/or breach by another Party of any of the terms or provisions of this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 Liquidation of the Company</w:t>
      </w:r>
    </w:p>
    <w:p>
      <w:pPr>
        <w:spacing w:after="0" w:line="11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u w:val="single" w:color="auto"/>
          <w:color w:val="auto"/>
        </w:rPr>
        <w:t>Liquidation</w:t>
      </w:r>
      <w:r>
        <w:rPr>
          <w:rFonts w:ascii="Arial" w:cs="Arial" w:eastAsia="Arial" w:hAnsi="Arial"/>
          <w:sz w:val="17"/>
          <w:szCs w:val="17"/>
          <w:color w:val="auto"/>
        </w:rPr>
        <w:t>. Each Party (other than Listco) hereby mutually agrees that promptly following Closing but in any case no earlier that</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1, 2022, it shall take all reasonable steps, and co-operate with each other Party, to procure that the Company, and the Company shall, initiate and effect a members’ or shareholders’ voluntary winding-up or liquidation proceeding, effect a liquidating realization or distribution of all of the Company’s tangible and intangible assets, and settle all of the Company’s outstanding debts and liabilities (collectively, the “</w:t>
      </w:r>
      <w:r>
        <w:rPr>
          <w:rFonts w:ascii="Arial" w:cs="Arial" w:eastAsia="Arial" w:hAnsi="Arial"/>
          <w:sz w:val="17"/>
          <w:szCs w:val="17"/>
          <w:b w:val="1"/>
          <w:bCs w:val="1"/>
          <w:color w:val="auto"/>
        </w:rPr>
        <w:t>Liquidation</w:t>
      </w:r>
      <w:r>
        <w:rPr>
          <w:rFonts w:ascii="Arial" w:cs="Arial" w:eastAsia="Arial" w:hAnsi="Arial"/>
          <w:sz w:val="17"/>
          <w:szCs w:val="17"/>
          <w:color w:val="auto"/>
        </w:rPr>
        <w:t>”), in each case, in accordance with the Articles, the Companies Ordinance (Chapter 622 of the Laws of Hong Kong), the Companies (Winding Up and Miscellaneous Provisions) Ordinance (Chapter 32 of the Laws of Hong Kong), other applicable laws and regulations of Hong Kong and the BCA, and the Parties (other than ListCo and the Company) shall co-operate with and provide all reasonably necessary assistance to the Company, and shall take all steps necessary or desirable or as may be requested by the Company, to effect and consummate the Liquidation.</w:t>
      </w:r>
    </w:p>
    <w:p>
      <w:pPr>
        <w:spacing w:after="0" w:line="6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u w:val="single" w:color="auto"/>
          <w:color w:val="auto"/>
        </w:rPr>
        <w:t>Distribution to Shareholders.</w:t>
      </w:r>
    </w:p>
    <w:p>
      <w:pPr>
        <w:spacing w:after="0" w:line="121" w:lineRule="exact"/>
        <w:rPr>
          <w:sz w:val="20"/>
          <w:szCs w:val="20"/>
          <w:color w:val="auto"/>
        </w:rPr>
      </w:pPr>
    </w:p>
    <w:p>
      <w:pPr>
        <w:ind w:right="120" w:firstLine="987"/>
        <w:spacing w:after="0" w:line="273" w:lineRule="auto"/>
        <w:tabs>
          <w:tab w:leader="none" w:pos="12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part of and concurrently with the Liquidation, the Company shall, and each other Party (other than ListCo) shall procure the Company to, effect a distribution in specie in accordance with applicable laws and regulations of the class A ordinary shares of ListCo and class B ordinary shares of ListCo held by the Company to each Shareholder, which such distribution in specie of the class A ordinary shares and class B ordinary shares of ListCo to each Shareholder shall directly correspond with, and be in proportion to, the number of Class B Shares and Class A Shares held by such Shareholder in the Company, respectively, immediately prior to the completion of the Liquidation, such that immediately following the completion of such distribution in specie of the class A ordinary shares and class B ordinary shares of ListCo to each Shareholder:</w:t>
      </w:r>
    </w:p>
    <w:p>
      <w:pPr>
        <w:spacing w:after="0" w:line="69" w:lineRule="exact"/>
        <w:rPr>
          <w:rFonts w:ascii="Arial" w:cs="Arial" w:eastAsia="Arial" w:hAnsi="Arial"/>
          <w:sz w:val="17"/>
          <w:szCs w:val="17"/>
          <w:color w:val="auto"/>
        </w:rPr>
      </w:pPr>
    </w:p>
    <w:p>
      <w:pPr>
        <w:ind w:left="980" w:right="140" w:firstLine="408"/>
        <w:spacing w:after="0" w:line="277" w:lineRule="auto"/>
        <w:tabs>
          <w:tab w:leader="none" w:pos="15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such Shareholder’s voting interest in ListCo shall correspond with, and be proportionate to, such Shareholder’s voting interest in the Company; and</w:t>
      </w:r>
    </w:p>
    <w:p>
      <w:pPr>
        <w:sectPr>
          <w:pgSz w:w="11900" w:h="16838" w:orient="portrait"/>
          <w:cols w:equalWidth="0" w:num="1">
            <w:col w:w="11000"/>
          </w:cols>
          <w:pgMar w:left="440" w:top="270" w:right="459" w:bottom="1440" w:gutter="0" w:footer="0" w:header="0"/>
        </w:sectPr>
      </w:pPr>
    </w:p>
    <w:bookmarkStart w:id="50" w:name="page51"/>
    <w:bookmarkEnd w:id="50"/>
    <w:p>
      <w:pPr>
        <w:ind w:left="980" w:right="20" w:firstLine="408"/>
        <w:spacing w:after="0" w:line="342" w:lineRule="auto"/>
        <w:tabs>
          <w:tab w:leader="none" w:pos="1646"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of class A ordinary shares of ListCo and class B ordinary shares of ListCo held by such Shareholder shall correspond with, and be proportionate to, such Shareholder’s interest in all of the Class B Shares and the Class A Shares in issue, respectively,</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each case of (i) and (ii), relative to the other Shareholders immediately prior to the completion of the Liquidation; and</w:t>
      </w:r>
    </w:p>
    <w:p>
      <w:pPr>
        <w:spacing w:after="0" w:line="117" w:lineRule="exact"/>
        <w:rPr>
          <w:sz w:val="20"/>
          <w:szCs w:val="20"/>
          <w:color w:val="auto"/>
        </w:rPr>
      </w:pPr>
    </w:p>
    <w:p>
      <w:pPr>
        <w:ind w:right="80" w:firstLine="987"/>
        <w:spacing w:after="0" w:line="296" w:lineRule="auto"/>
        <w:tabs>
          <w:tab w:leader="none" w:pos="1246" w:val="left"/>
        </w:tabs>
        <w:numPr>
          <w:ilvl w:val="1"/>
          <w:numId w:val="32"/>
        </w:numPr>
        <w:rPr>
          <w:rFonts w:ascii="Arial" w:cs="Arial" w:eastAsia="Arial" w:hAnsi="Arial"/>
          <w:sz w:val="16"/>
          <w:szCs w:val="16"/>
          <w:color w:val="auto"/>
        </w:rPr>
      </w:pPr>
      <w:r>
        <w:rPr>
          <w:rFonts w:ascii="Arial" w:cs="Arial" w:eastAsia="Arial" w:hAnsi="Arial"/>
          <w:sz w:val="16"/>
          <w:szCs w:val="16"/>
          <w:color w:val="auto"/>
        </w:rPr>
        <w:t>ListCo shall co-operate with and provide all reasonably necessary assistance to the other Parties to give effect to the distribution in specie contemplated under Section 3.2(a), including by entering the Shareholders in the relevant register as members of ListCo (subject to the payment of stamp duty or stamp duty reserve tax, if any, in relation to such distribution in specie), and completing and despatching to the Shareholders the relevant certificates in respect of the ListCo shares that they hold following completion of the distribution in specie. For the avoidance of doubt, ListCo shall not (directly or indirectly) be liable for any stamp duty or stamp duty reserve tax in relation to such distribution in specie.</w:t>
      </w:r>
    </w:p>
    <w:p>
      <w:pPr>
        <w:spacing w:after="0" w:line="53" w:lineRule="exact"/>
        <w:rPr>
          <w:rFonts w:ascii="Arial" w:cs="Arial" w:eastAsia="Arial" w:hAnsi="Arial"/>
          <w:sz w:val="16"/>
          <w:szCs w:val="16"/>
          <w:color w:val="auto"/>
        </w:rPr>
      </w:pPr>
    </w:p>
    <w:p>
      <w:pPr>
        <w:jc w:val="both"/>
        <w:ind w:firstLine="987"/>
        <w:spacing w:after="0" w:line="263" w:lineRule="auto"/>
        <w:tabs>
          <w:tab w:leader="none" w:pos="1236" w:val="left"/>
        </w:tabs>
        <w:numPr>
          <w:ilvl w:val="1"/>
          <w:numId w:val="32"/>
        </w:numPr>
        <w:rPr>
          <w:rFonts w:ascii="Arial" w:cs="Arial" w:eastAsia="Arial" w:hAnsi="Arial"/>
          <w:sz w:val="18"/>
          <w:szCs w:val="18"/>
          <w:color w:val="auto"/>
        </w:rPr>
      </w:pPr>
      <w:r>
        <w:rPr>
          <w:rFonts w:ascii="Arial" w:cs="Arial" w:eastAsia="Arial" w:hAnsi="Arial"/>
          <w:sz w:val="18"/>
          <w:szCs w:val="18"/>
          <w:color w:val="auto"/>
        </w:rPr>
        <w:t>Without limiting the generality of Section 3.2(b), the Parties (other than ListCo and the Company) shall co-operate with and provide all reasonably necessary assistance to the Company, and shall take all steps necessary or desirable or as may be requested by the Company, to give effect to the distribution in specie contemplated under Section 3.2(a).</w:t>
      </w:r>
    </w:p>
    <w:p>
      <w:pPr>
        <w:spacing w:after="0" w:line="179" w:lineRule="exact"/>
        <w:rPr>
          <w:rFonts w:ascii="Arial" w:cs="Arial" w:eastAsia="Arial" w:hAnsi="Arial"/>
          <w:sz w:val="18"/>
          <w:szCs w:val="18"/>
          <w:color w:val="auto"/>
        </w:rPr>
      </w:pPr>
    </w:p>
    <w:p>
      <w:pPr>
        <w:ind w:left="620" w:hanging="184"/>
        <w:spacing w:after="0"/>
        <w:tabs>
          <w:tab w:leader="none" w:pos="6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Restrictions of the Shares</w:t>
      </w:r>
    </w:p>
    <w:p>
      <w:pPr>
        <w:spacing w:after="0" w:line="117" w:lineRule="exact"/>
        <w:rPr>
          <w:sz w:val="20"/>
          <w:szCs w:val="20"/>
          <w:color w:val="auto"/>
        </w:rPr>
      </w:pPr>
    </w:p>
    <w:p>
      <w:pPr>
        <w:jc w:val="both"/>
        <w:ind w:right="180" w:firstLine="991"/>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Rights of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(other than ListCo) hereby mutually acknowledge and agree that immediately following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SHA Termination and until such time as the liquidation or dissolution of the Company is completed or consummated (whether in accordance with Section 3 or otherwise), notwithstanding any term or provision of the Articles, the Shareholders Agreement or any other agreement between the Company and the Shareholders:</w:t>
      </w:r>
    </w:p>
    <w:p>
      <w:pPr>
        <w:spacing w:after="0" w:line="76" w:lineRule="exact"/>
        <w:rPr>
          <w:sz w:val="20"/>
          <w:szCs w:val="20"/>
          <w:color w:val="auto"/>
        </w:rPr>
      </w:pPr>
    </w:p>
    <w:p>
      <w:pPr>
        <w:ind w:right="100" w:firstLine="987"/>
        <w:spacing w:after="0" w:line="259" w:lineRule="auto"/>
        <w:tabs>
          <w:tab w:leader="none" w:pos="12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Class A Share and Class B Share shall be deemed to have and be subject to the corresponding rights, privileges, entitlements and obligations as each class B ordinary share of ListCo and class A ordinary share of ListCo, respectively, as set out under the ListCo Articles, and the Shareholders and the Company agree to exercise and be bound by such rights, privileges, entitlements and obligations under such Class A Shares and Class B Shares accordingly; and</w:t>
      </w:r>
    </w:p>
    <w:p>
      <w:pPr>
        <w:spacing w:after="0" w:line="78" w:lineRule="exact"/>
        <w:rPr>
          <w:rFonts w:ascii="Arial" w:cs="Arial" w:eastAsia="Arial" w:hAnsi="Arial"/>
          <w:sz w:val="18"/>
          <w:szCs w:val="18"/>
          <w:color w:val="auto"/>
        </w:rPr>
      </w:pPr>
    </w:p>
    <w:p>
      <w:pPr>
        <w:ind w:right="140" w:firstLine="987"/>
        <w:spacing w:after="0" w:line="257" w:lineRule="auto"/>
        <w:tabs>
          <w:tab w:leader="none" w:pos="12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to applicable laws or regulations, each Shareholder shall be permitted, by written notice to the Company and the other Shareholders, to direct and instruct the Company to exercise, in respect of any matter submitted to a vote of the ListCo’s shareholders, such proportion of the Company’s voting rights in the ListCo that directly corresponds to the proportion of such Shareholder’s voting rights in the Company, and the Company undertakes and agrees to each Shareholder to so exercise its voting rights in ListCo in such manner at the direction and instruction of such Shareholder.</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Transfers of Shares following the Lock-Up Period.</w:t>
      </w:r>
    </w:p>
    <w:p>
      <w:pPr>
        <w:spacing w:after="0" w:line="121" w:lineRule="exact"/>
        <w:rPr>
          <w:sz w:val="20"/>
          <w:szCs w:val="20"/>
          <w:color w:val="auto"/>
        </w:rPr>
      </w:pPr>
    </w:p>
    <w:p>
      <w:pPr>
        <w:ind w:right="20" w:firstLine="987"/>
        <w:spacing w:after="0" w:line="291" w:lineRule="auto"/>
        <w:tabs>
          <w:tab w:leader="none" w:pos="12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the event that the Liquidation is not completed or consummated following the expiry of the Lock-up Period (as defined under the BCA), any Shareholder (a “</w:t>
      </w:r>
      <w:r>
        <w:rPr>
          <w:rFonts w:ascii="Arial" w:cs="Arial" w:eastAsia="Arial" w:hAnsi="Arial"/>
          <w:sz w:val="16"/>
          <w:szCs w:val="16"/>
          <w:b w:val="1"/>
          <w:bCs w:val="1"/>
          <w:color w:val="auto"/>
        </w:rPr>
        <w:t>Selling Shareholder”</w:t>
      </w:r>
      <w:r>
        <w:rPr>
          <w:rFonts w:ascii="Arial" w:cs="Arial" w:eastAsia="Arial" w:hAnsi="Arial"/>
          <w:sz w:val="16"/>
          <w:szCs w:val="16"/>
          <w:color w:val="auto"/>
        </w:rPr>
        <w:t>) may deliver a written notice to the Company and the other Shareholders directing and instructing the Company to transfer, dispose of or sell (either on-market or otherwise) such number of ListCo Shares held by the Company which corresponds to the proportion of Shares held by such Shareholder relative to the total aggregate number of issued and outstanding Shares at the relevant time that it wishes to transfer, dispose of or sell, and the Company shall (and the other Parties (other than ListCo) shall procure that the Company shall) take all steps as may be required to such transfer, disposal or sale of such ListCo Shares, including by transferring or submitting the ListCo Shares to the applicable American depository receipt facilities established by ListCo with the applicable depository bank in order to facilitate such a transfer, disposal or sale.</w:t>
      </w:r>
    </w:p>
    <w:p>
      <w:pPr>
        <w:spacing w:after="0" w:line="58" w:lineRule="exact"/>
        <w:rPr>
          <w:rFonts w:ascii="Arial" w:cs="Arial" w:eastAsia="Arial" w:hAnsi="Arial"/>
          <w:sz w:val="16"/>
          <w:szCs w:val="16"/>
          <w:color w:val="auto"/>
        </w:rPr>
      </w:pPr>
    </w:p>
    <w:p>
      <w:pPr>
        <w:ind w:right="240" w:firstLine="987"/>
        <w:spacing w:after="0" w:line="263"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receipt of the applicable transfer, disposal or sale proceeds pursuant to the transfers, disposals or sales contemplated under Section 4.2(a), the Company shall (and the other Parties (other than ListCo) shall (i) give their consent in respect of any resolution and take any other action to approve, and (ii) procure that the</w:t>
      </w:r>
    </w:p>
    <w:p>
      <w:pPr>
        <w:sectPr>
          <w:pgSz w:w="11900" w:h="16838" w:orient="portrait"/>
          <w:cols w:equalWidth="0" w:num="1">
            <w:col w:w="10980"/>
          </w:cols>
          <w:pgMar w:left="440" w:top="274" w:right="479" w:bottom="1440" w:gutter="0" w:footer="0" w:header="0"/>
        </w:sectPr>
      </w:pPr>
    </w:p>
    <w:bookmarkStart w:id="51" w:name="page52"/>
    <w:bookmarkEnd w:id="51"/>
    <w:p>
      <w:pPr>
        <w:ind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shall), from and out of its distributable profits (or if such distributable profits are unavailable, from and out of its capital), promptly apply all such proceeds to buy-back or repurchase such number of Shares held by such Selling Shareholder which corresponds proportionately to the number of ListCo Shares transferred, disposed or sold by the Company at the direction and instruction of such Shareholder pursuant to Section 4.2(a), and the Company shall comply with all applicable laws and regulations with respect to such buy-back or repurchase of Shares from such Selling Shareholder.</w:t>
      </w:r>
    </w:p>
    <w:p>
      <w:pPr>
        <w:spacing w:after="0" w:line="49" w:lineRule="exact"/>
        <w:rPr>
          <w:sz w:val="20"/>
          <w:szCs w:val="20"/>
          <w:color w:val="auto"/>
        </w:rPr>
      </w:pPr>
    </w:p>
    <w:p>
      <w:pPr>
        <w:ind w:firstLine="987"/>
        <w:spacing w:after="0" w:line="254" w:lineRule="auto"/>
        <w:tabs>
          <w:tab w:leader="none" w:pos="1236"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Parties shall co-operate with and provide all reasonably necessary assistance to the Company or ListCo (as the case may be), and shall take all steps necessary or desirable or as may be requested by the Company or ListCo (as the case may be), to give effect to the transfers, disposals or sales contemplated under Section 4.2(a), and the distributions, buy-backs or repurchases contemplated under Section 4.2(b). For the avoidance of doubt, ListCo shall not (directly or indirectly) be liable for any stamp duty or stamp duty reserve tax in relation to any transfer, disposal or sale contemplated under Section 4.2(a) and the relevant Selling Shareholder shall indemnify ListCo on an after-tax basis against any such stamp duty or stamp duty reserve tax (including any such stamp duty or stamp duty reserve tax payable by the applicable depository bank or its nominee for which ListCo may, directly or indirectly, be liable).</w:t>
      </w:r>
    </w:p>
    <w:p>
      <w:pPr>
        <w:spacing w:after="0" w:line="190" w:lineRule="exact"/>
        <w:rPr>
          <w:rFonts w:ascii="Arial" w:cs="Arial" w:eastAsia="Arial" w:hAnsi="Arial"/>
          <w:sz w:val="18"/>
          <w:szCs w:val="18"/>
          <w:color w:val="auto"/>
        </w:rPr>
      </w:pPr>
    </w:p>
    <w:p>
      <w:pPr>
        <w:jc w:val="both"/>
        <w:ind w:firstLine="436"/>
        <w:spacing w:after="0" w:line="303" w:lineRule="auto"/>
        <w:tabs>
          <w:tab w:leader="none" w:pos="62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of Articles. </w:t>
      </w:r>
      <w:r>
        <w:rPr>
          <w:rFonts w:ascii="Arial" w:cs="Arial" w:eastAsia="Arial" w:hAnsi="Arial"/>
          <w:sz w:val="16"/>
          <w:szCs w:val="16"/>
          <w:color w:val="auto"/>
        </w:rPr>
        <w:t>Promptly following the SHA Termination, the Parties (other than ListCo) shall exercise all voting and other rights and</w:t>
      </w:r>
      <w:r>
        <w:rPr>
          <w:rFonts w:ascii="Arial" w:cs="Arial" w:eastAsia="Arial" w:hAnsi="Arial"/>
          <w:sz w:val="16"/>
          <w:szCs w:val="16"/>
          <w:b w:val="1"/>
          <w:bCs w:val="1"/>
          <w:color w:val="auto"/>
        </w:rPr>
        <w:t xml:space="preserve"> </w:t>
      </w:r>
      <w:r>
        <w:rPr>
          <w:rFonts w:ascii="Arial" w:cs="Arial" w:eastAsia="Arial" w:hAnsi="Arial"/>
          <w:sz w:val="16"/>
          <w:szCs w:val="16"/>
          <w:color w:val="auto"/>
        </w:rPr>
        <w:t>powers available to them to ensure any required amendment or variation is made, and the Company shall (and the other Parties (other than ListCo) shall procure the Company to) make such required amendments or variations, to the Articles or other constituent documents of the Company to reflect, and remedy any conflict under the Articles as a result or consequence of, the matters set out in the foregoing sections of this Agreement.</w:t>
      </w:r>
    </w:p>
    <w:p>
      <w:pPr>
        <w:spacing w:after="0" w:line="42" w:lineRule="exact"/>
        <w:rPr>
          <w:rFonts w:ascii="Arial" w:cs="Arial" w:eastAsia="Arial" w:hAnsi="Arial"/>
          <w:sz w:val="16"/>
          <w:szCs w:val="16"/>
          <w:b w:val="1"/>
          <w:bCs w:val="1"/>
          <w:color w:val="auto"/>
        </w:rPr>
      </w:pPr>
    </w:p>
    <w:p>
      <w:pPr>
        <w:ind w:left="620" w:hanging="184"/>
        <w:spacing w:after="0"/>
        <w:tabs>
          <w:tab w:leader="none" w:pos="6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Governance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u w:val="single" w:color="auto"/>
          <w:color w:val="auto"/>
        </w:rPr>
        <w:t>Independent Directors</w:t>
      </w:r>
      <w:r>
        <w:rPr>
          <w:rFonts w:ascii="Arial" w:cs="Arial" w:eastAsia="Arial" w:hAnsi="Arial"/>
          <w:sz w:val="16"/>
          <w:szCs w:val="16"/>
          <w:color w:val="auto"/>
        </w:rPr>
        <w:t>. The Parties (other than ListCo) undertake to ListCo and Gores Guggenheim Sponsor LLC (“</w:t>
      </w:r>
      <w:r>
        <w:rPr>
          <w:rFonts w:ascii="Arial" w:cs="Arial" w:eastAsia="Arial" w:hAnsi="Arial"/>
          <w:sz w:val="16"/>
          <w:szCs w:val="16"/>
          <w:b w:val="1"/>
          <w:bCs w:val="1"/>
          <w:color w:val="auto"/>
        </w:rPr>
        <w:t>Sponsor</w:t>
      </w:r>
      <w:r>
        <w:rPr>
          <w:rFonts w:ascii="Arial" w:cs="Arial" w:eastAsia="Arial" w:hAnsi="Arial"/>
          <w:sz w:val="16"/>
          <w:szCs w:val="16"/>
          <w:color w:val="auto"/>
        </w:rPr>
        <w:t>”) that:</w:t>
      </w:r>
    </w:p>
    <w:p>
      <w:pPr>
        <w:spacing w:after="0" w:line="144" w:lineRule="exact"/>
        <w:rPr>
          <w:sz w:val="20"/>
          <w:szCs w:val="20"/>
          <w:color w:val="auto"/>
        </w:rPr>
      </w:pPr>
    </w:p>
    <w:p>
      <w:pPr>
        <w:ind w:left="1240" w:hanging="253"/>
        <w:spacing w:after="0"/>
        <w:tabs>
          <w:tab w:leader="none" w:pos="1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at the Closing, the Board will be comprised of eight (8) directors, a majority of whom will be Independent Directors (as defined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ListCo Articles);</w:t>
      </w:r>
    </w:p>
    <w:p>
      <w:pPr>
        <w:spacing w:after="0" w:line="102" w:lineRule="exact"/>
        <w:rPr>
          <w:rFonts w:ascii="Arial" w:cs="Arial" w:eastAsia="Arial" w:hAnsi="Arial"/>
          <w:sz w:val="16"/>
          <w:szCs w:val="16"/>
          <w:color w:val="auto"/>
        </w:rPr>
      </w:pPr>
    </w:p>
    <w:p>
      <w:pPr>
        <w:ind w:right="20" w:firstLine="987"/>
        <w:spacing w:after="0" w:line="275" w:lineRule="auto"/>
        <w:tabs>
          <w:tab w:leader="none" w:pos="1246"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 a period of three (3) years following the Closing they will not (and will procure that their affiliates will not) at any general meeting of ListCo vote in favour of the removal of, or instruct a nominee, depository or any other person to vote in favour of the removal of, any Independent Director of ListCo or otherwise support (by public statement or otherwise) such removal unless at least two (2) of the Independent Directors vote in favour thereof (or if there are fewer than two Independent Directors then in office excluding the Independent Director proposed to be removed, all of the Independent Directors (other than the Independent Director proposed to be removed), if any); and</w:t>
      </w:r>
    </w:p>
    <w:p>
      <w:pPr>
        <w:spacing w:after="0" w:line="68" w:lineRule="exact"/>
        <w:rPr>
          <w:rFonts w:ascii="Arial" w:cs="Arial" w:eastAsia="Arial" w:hAnsi="Arial"/>
          <w:sz w:val="17"/>
          <w:szCs w:val="17"/>
          <w:color w:val="auto"/>
        </w:rPr>
      </w:pPr>
    </w:p>
    <w:p>
      <w:pPr>
        <w:ind w:right="200" w:firstLine="987"/>
        <w:spacing w:after="0" w:line="286" w:lineRule="auto"/>
        <w:tabs>
          <w:tab w:leader="none" w:pos="12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 a period of three (3) years following the Closing they will not (and will procure that their affiliates will not), alone or with others, require the Board of ListCo to convene a general meeting of ListCo at which any resolution referred to in paragraph (b) above will be proposed or require ListCo to give notice to members of ListCo of such a resolution to be proposed at a general meeting of ListCo.</w:t>
      </w:r>
    </w:p>
    <w:p>
      <w:pPr>
        <w:spacing w:after="0" w:line="53" w:lineRule="exact"/>
        <w:rPr>
          <w:sz w:val="20"/>
          <w:szCs w:val="20"/>
          <w:color w:val="auto"/>
        </w:rPr>
      </w:pPr>
    </w:p>
    <w:p>
      <w:pPr>
        <w:jc w:val="both"/>
        <w:ind w:firstLine="991"/>
        <w:spacing w:after="0" w:line="289"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u w:val="single" w:color="auto"/>
          <w:color w:val="auto"/>
        </w:rPr>
        <w:t>Amendments to Articles</w:t>
      </w:r>
      <w:r>
        <w:rPr>
          <w:rFonts w:ascii="Arial" w:cs="Arial" w:eastAsia="Arial" w:hAnsi="Arial"/>
          <w:sz w:val="17"/>
          <w:szCs w:val="17"/>
          <w:color w:val="auto"/>
        </w:rPr>
        <w:t>. The Parties (other than ListCo) undertake to ListCo and Sponsor that for a period of three (3) years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the Closing they will not (and will procure that their affiliates will not) at any general meeting of ListCo vote in favour of any amendment to the Articles relating to the composition of the Board or the appointment or removal of Directors (including Independent Directors).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 Confidentiality</w:t>
      </w:r>
    </w:p>
    <w:p>
      <w:pPr>
        <w:spacing w:after="0" w:line="117" w:lineRule="exact"/>
        <w:rPr>
          <w:sz w:val="20"/>
          <w:szCs w:val="20"/>
          <w:color w:val="auto"/>
        </w:rPr>
      </w:pPr>
    </w:p>
    <w:p>
      <w:pPr>
        <w:ind w:right="60" w:firstLine="991"/>
        <w:spacing w:after="0" w:line="266"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u w:val="single" w:color="auto"/>
          <w:color w:val="auto"/>
        </w:rPr>
        <w:t>Confidentiality Obligations</w:t>
      </w:r>
      <w:r>
        <w:rPr>
          <w:rFonts w:ascii="Arial" w:cs="Arial" w:eastAsia="Arial" w:hAnsi="Arial"/>
          <w:sz w:val="18"/>
          <w:szCs w:val="18"/>
          <w:color w:val="auto"/>
        </w:rPr>
        <w:t>. Each Party shall keep all Confidential Information in strictest confidence and shall not disclose or use any</w:t>
      </w:r>
      <w:r>
        <w:rPr>
          <w:rFonts w:ascii="Arial" w:cs="Arial" w:eastAsia="Arial" w:hAnsi="Arial"/>
          <w:sz w:val="18"/>
          <w:szCs w:val="18"/>
          <w:b w:val="1"/>
          <w:bCs w:val="1"/>
          <w:color w:val="auto"/>
        </w:rPr>
        <w:t xml:space="preserve"> </w:t>
      </w:r>
      <w:r>
        <w:rPr>
          <w:rFonts w:ascii="Arial" w:cs="Arial" w:eastAsia="Arial" w:hAnsi="Arial"/>
          <w:sz w:val="18"/>
          <w:szCs w:val="18"/>
          <w:color w:val="auto"/>
        </w:rPr>
        <w:t>such Confidential Information to any other Person without the prior written consent of the Party (or Parties) supplying such Confidential Information, except where such information:</w:t>
      </w:r>
    </w:p>
    <w:p>
      <w:pPr>
        <w:spacing w:after="0" w:line="72" w:lineRule="exact"/>
        <w:rPr>
          <w:sz w:val="20"/>
          <w:szCs w:val="20"/>
          <w:color w:val="auto"/>
        </w:rPr>
      </w:pPr>
    </w:p>
    <w:p>
      <w:pPr>
        <w:ind w:right="440" w:firstLine="987"/>
        <w:spacing w:after="0" w:line="277" w:lineRule="auto"/>
        <w:tabs>
          <w:tab w:leader="none" w:pos="12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 or becomes available to the public (other than as a result of any unauthorized disclosure into the public domain by the Party (or Parties) receiving such information);</w:t>
      </w:r>
    </w:p>
    <w:p>
      <w:pPr>
        <w:sectPr>
          <w:pgSz w:w="11900" w:h="16838" w:orient="portrait"/>
          <w:cols w:equalWidth="0" w:num="1">
            <w:col w:w="11000"/>
          </w:cols>
          <w:pgMar w:left="440" w:top="274" w:right="459" w:bottom="1440" w:gutter="0" w:footer="0" w:header="0"/>
        </w:sectPr>
      </w:pPr>
    </w:p>
    <w:bookmarkStart w:id="52" w:name="page53"/>
    <w:bookmarkEnd w:id="52"/>
    <w:p>
      <w:pPr>
        <w:ind w:right="20" w:firstLine="987"/>
        <w:spacing w:after="0" w:line="277" w:lineRule="auto"/>
        <w:tabs>
          <w:tab w:leader="none" w:pos="1246"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already known to the Party before such Party receiving such information from another Party (or Parties) providing such Confidential Information and the first Party is not subjected to any confidential obligations;</w:t>
      </w:r>
    </w:p>
    <w:p>
      <w:pPr>
        <w:spacing w:after="0" w:line="62" w:lineRule="exact"/>
        <w:rPr>
          <w:rFonts w:ascii="Arial" w:cs="Arial" w:eastAsia="Arial" w:hAnsi="Arial"/>
          <w:sz w:val="18"/>
          <w:szCs w:val="18"/>
          <w:color w:val="auto"/>
        </w:rPr>
      </w:pPr>
    </w:p>
    <w:p>
      <w:pPr>
        <w:ind w:right="460" w:firstLine="987"/>
        <w:spacing w:after="0" w:line="291" w:lineRule="auto"/>
        <w:tabs>
          <w:tab w:leader="none" w:pos="12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is already known by the Party from sources other than the Party (or Parties) providing the Confidential Information, and does not involve any breach of confidentiality obligations between such source and the Party (or Parties) providing such Confidential Information;</w:t>
      </w:r>
    </w:p>
    <w:p>
      <w:pPr>
        <w:ind w:left="1240" w:hanging="253"/>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independently developed by that Party;</w:t>
      </w:r>
    </w:p>
    <w:p>
      <w:pPr>
        <w:spacing w:after="0" w:line="102" w:lineRule="exact"/>
        <w:rPr>
          <w:rFonts w:ascii="Arial" w:cs="Arial" w:eastAsia="Arial" w:hAnsi="Arial"/>
          <w:sz w:val="18"/>
          <w:szCs w:val="18"/>
          <w:color w:val="auto"/>
        </w:rPr>
      </w:pPr>
    </w:p>
    <w:p>
      <w:pPr>
        <w:ind w:right="420" w:firstLine="987"/>
        <w:spacing w:after="0" w:line="277" w:lineRule="auto"/>
        <w:tabs>
          <w:tab w:leader="none" w:pos="12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required to be disclosed by any applicable laws or regulations (including, without limitation, the rules of any relevant securities exchange) or by the order of any court of competent jurisdiction, regulatory or governmental authorities or bodies;</w:t>
      </w:r>
    </w:p>
    <w:p>
      <w:pPr>
        <w:spacing w:after="0" w:line="62" w:lineRule="exact"/>
        <w:rPr>
          <w:rFonts w:ascii="Arial" w:cs="Arial" w:eastAsia="Arial" w:hAnsi="Arial"/>
          <w:sz w:val="18"/>
          <w:szCs w:val="18"/>
          <w:color w:val="auto"/>
        </w:rPr>
      </w:pPr>
    </w:p>
    <w:p>
      <w:pPr>
        <w:ind w:right="140" w:firstLine="987"/>
        <w:spacing w:after="0" w:line="277" w:lineRule="auto"/>
        <w:tabs>
          <w:tab w:leader="none" w:pos="12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required in order to facilitate the performance or implementation of the transaction contemplated under this Agreement (but only to the extent necessary), including disclosure to competent superior authorities;</w:t>
      </w:r>
    </w:p>
    <w:p>
      <w:pPr>
        <w:spacing w:after="0" w:line="62" w:lineRule="exact"/>
        <w:rPr>
          <w:rFonts w:ascii="Arial" w:cs="Arial" w:eastAsia="Arial" w:hAnsi="Arial"/>
          <w:sz w:val="18"/>
          <w:szCs w:val="18"/>
          <w:color w:val="auto"/>
        </w:rPr>
      </w:pPr>
    </w:p>
    <w:p>
      <w:pPr>
        <w:ind w:right="440" w:firstLine="987"/>
        <w:spacing w:after="0" w:line="263" w:lineRule="auto"/>
        <w:tabs>
          <w:tab w:leader="none" w:pos="12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made available by any of the Shareholders to any of their current or bona fide potential investors, shareholders, employees, investment bankers, lenders, business collaborators, accountants, attorneys or other professional advisors, in each case only where such Persons or entities agree to confidentiality obligations similar to those set out in this Section 7; or</w:t>
      </w:r>
    </w:p>
    <w:p>
      <w:pPr>
        <w:spacing w:after="0" w:line="75" w:lineRule="exact"/>
        <w:rPr>
          <w:rFonts w:ascii="Arial" w:cs="Arial" w:eastAsia="Arial" w:hAnsi="Arial"/>
          <w:sz w:val="18"/>
          <w:szCs w:val="18"/>
          <w:color w:val="auto"/>
        </w:rPr>
      </w:pPr>
    </w:p>
    <w:p>
      <w:pPr>
        <w:ind w:right="200" w:firstLine="987"/>
        <w:spacing w:after="0" w:line="263" w:lineRule="auto"/>
        <w:tabs>
          <w:tab w:leader="none" w:pos="12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made available by any Party to any of its current or bona fide potential investors, directors, employees, officers, and/or legal, financial or other professional advisors and that such investors, directors, employees, officers and/or advisors are bound by confidentiality obligations similar to those set out in this Section 7.</w:t>
      </w:r>
    </w:p>
    <w:p>
      <w:pPr>
        <w:spacing w:after="0" w:line="72" w:lineRule="exact"/>
        <w:rPr>
          <w:sz w:val="20"/>
          <w:szCs w:val="20"/>
          <w:color w:val="auto"/>
        </w:rPr>
      </w:pPr>
    </w:p>
    <w:p>
      <w:pPr>
        <w:ind w:firstLine="991"/>
        <w:spacing w:after="0" w:line="281"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u w:val="single" w:color="auto"/>
          <w:color w:val="auto"/>
        </w:rPr>
        <w:t>Privilege.</w:t>
      </w:r>
      <w:r>
        <w:rPr>
          <w:rFonts w:ascii="Arial" w:cs="Arial" w:eastAsia="Arial" w:hAnsi="Arial"/>
          <w:sz w:val="17"/>
          <w:szCs w:val="17"/>
          <w:b w:val="1"/>
          <w:bCs w:val="1"/>
          <w:color w:val="auto"/>
        </w:rPr>
        <w:t xml:space="preserve"> </w:t>
      </w:r>
      <w:r>
        <w:rPr>
          <w:rFonts w:ascii="Arial" w:cs="Arial" w:eastAsia="Arial" w:hAnsi="Arial"/>
          <w:sz w:val="17"/>
          <w:szCs w:val="17"/>
          <w:color w:val="auto"/>
        </w:rPr>
        <w:t>Where any Confidential Information is also privileged, the waiver of such privilege is limited to the purposes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does not, and is not intended to, result in any wider waiver of the privilege. Any Party hereto in possession of any Confidential Information relating to any other Party hereto (a “</w:t>
      </w:r>
      <w:r>
        <w:rPr>
          <w:rFonts w:ascii="Arial" w:cs="Arial" w:eastAsia="Arial" w:hAnsi="Arial"/>
          <w:sz w:val="17"/>
          <w:szCs w:val="17"/>
          <w:b w:val="1"/>
          <w:bCs w:val="1"/>
          <w:color w:val="auto"/>
        </w:rPr>
        <w:t>privilege holder</w:t>
      </w:r>
      <w:r>
        <w:rPr>
          <w:rFonts w:ascii="Arial" w:cs="Arial" w:eastAsia="Arial" w:hAnsi="Arial"/>
          <w:sz w:val="17"/>
          <w:szCs w:val="17"/>
          <w:color w:val="auto"/>
        </w:rPr>
        <w:t>”) shall take all reasonable steps to protect the privilege of the privilege holder therein and shall inform the privilege holder if any step is taken by any other Person to obtain any of its privileged Confidential Information.</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 Announcement</w:t>
      </w:r>
    </w:p>
    <w:p>
      <w:pPr>
        <w:spacing w:after="0" w:line="117" w:lineRule="exact"/>
        <w:rPr>
          <w:sz w:val="20"/>
          <w:szCs w:val="20"/>
          <w:color w:val="auto"/>
        </w:rPr>
      </w:pPr>
    </w:p>
    <w:p>
      <w:pPr>
        <w:ind w:right="140" w:firstLine="991"/>
        <w:spacing w:after="0" w:line="277" w:lineRule="auto"/>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7"/>
          <w:szCs w:val="17"/>
          <w:u w:val="single" w:color="auto"/>
          <w:color w:val="auto"/>
        </w:rPr>
        <w:t>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8.2, and whether or not any restriction contained in Section 5 applies, no Party shall make any</w:t>
      </w:r>
      <w:r>
        <w:rPr>
          <w:rFonts w:ascii="Arial" w:cs="Arial" w:eastAsia="Arial" w:hAnsi="Arial"/>
          <w:sz w:val="17"/>
          <w:szCs w:val="17"/>
          <w:b w:val="1"/>
          <w:bCs w:val="1"/>
          <w:color w:val="auto"/>
        </w:rPr>
        <w:t xml:space="preserve"> </w:t>
      </w:r>
      <w:r>
        <w:rPr>
          <w:rFonts w:ascii="Arial" w:cs="Arial" w:eastAsia="Arial" w:hAnsi="Arial"/>
          <w:sz w:val="17"/>
          <w:szCs w:val="17"/>
          <w:color w:val="auto"/>
        </w:rPr>
        <w:t>announcement (including any communication to the public, to any customers or suppliers of the Company, or to all or any of the employees of the Company) concerning the provisions or subject matter of this Agreement or containing any Confidential Information about the other Parties, or by any means, under any meaning or in any format, use the name of any other Party or any affiliate of any other Parties (including references or links to websites or press releases), without the prior written approval of the others (which shall not be unreasonably withheld or delayed).</w:t>
      </w:r>
    </w:p>
    <w:p>
      <w:pPr>
        <w:spacing w:after="0" w:line="60" w:lineRule="exact"/>
        <w:rPr>
          <w:sz w:val="20"/>
          <w:szCs w:val="20"/>
          <w:color w:val="auto"/>
        </w:rPr>
      </w:pPr>
    </w:p>
    <w:p>
      <w:pPr>
        <w:ind w:right="240" w:firstLine="991"/>
        <w:spacing w:after="0" w:line="289"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u w:val="single" w:color="auto"/>
          <w:color w:val="auto"/>
        </w:rPr>
        <w:t>Permitted Announcements.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8.1 shall not apply and no consent from any Party will be required, if and to the extent that such</w:t>
      </w:r>
      <w:r>
        <w:rPr>
          <w:rFonts w:ascii="Arial" w:cs="Arial" w:eastAsia="Arial" w:hAnsi="Arial"/>
          <w:sz w:val="17"/>
          <w:szCs w:val="17"/>
          <w:b w:val="1"/>
          <w:bCs w:val="1"/>
          <w:color w:val="auto"/>
        </w:rPr>
        <w:t xml:space="preserve"> </w:t>
      </w:r>
      <w:r>
        <w:rPr>
          <w:rFonts w:ascii="Arial" w:cs="Arial" w:eastAsia="Arial" w:hAnsi="Arial"/>
          <w:sz w:val="17"/>
          <w:szCs w:val="17"/>
          <w:color w:val="auto"/>
        </w:rPr>
        <w:t>announcement is required by applicable laws or regulations or by any supervisory, regulatory or governmental body having jurisdiction over it and provided that any such announcement shall be made only after consultation with the other Parties to the extent practicable.</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 Notices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u w:val="single" w:color="auto"/>
          <w:color w:val="auto"/>
        </w:rPr>
        <w:t>Form — All Communications.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required or permitted pursuant to this Agreement shall be given in writing and shall be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given:</w:t>
      </w:r>
    </w:p>
    <w:p>
      <w:pPr>
        <w:spacing w:after="0" w:line="103" w:lineRule="exact"/>
        <w:rPr>
          <w:sz w:val="20"/>
          <w:szCs w:val="20"/>
          <w:color w:val="auto"/>
        </w:rPr>
      </w:pPr>
    </w:p>
    <w:p>
      <w:pPr>
        <w:ind w:left="1240" w:hanging="253"/>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by delivering or leaving such notice at the address as stated in their respective signature page;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by sending it by next-day or second-day courier service to the address as stated in their respective signature page;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by electronic mail to such address as stated in their respective signature page;</w:t>
      </w:r>
    </w:p>
    <w:p>
      <w:pPr>
        <w:sectPr>
          <w:pgSz w:w="11900" w:h="16838" w:orient="portrait"/>
          <w:cols w:equalWidth="0" w:num="1">
            <w:col w:w="10980"/>
          </w:cols>
          <w:pgMar w:left="440" w:top="274" w:right="479" w:bottom="1440" w:gutter="0" w:footer="0" w:header="0"/>
        </w:sectPr>
      </w:pPr>
    </w:p>
    <w:bookmarkStart w:id="53" w:name="page54"/>
    <w:bookmarkEnd w:id="53"/>
    <w:p>
      <w:pPr>
        <w:ind w:left="1240" w:hanging="253"/>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fax to the fax number as stated in their respective signature page; or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or as otherwise permitted by applicable laws or regulations,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provided that the contact information set forth on such signature page may be changed by such Party by giving prior written notice to the other Parties to this Agreement in accordance with this Section 9, and any such change shall take effect two (2) Business Days’ after such notice is effective or deemed to be effective. Any notice sent pursuant to this Section 9 shall be addressed to the relevant attendee as specified in their respective signature pages.</w:t>
      </w:r>
    </w:p>
    <w:p>
      <w:pPr>
        <w:spacing w:after="0" w:line="7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When Effective.</w:t>
      </w:r>
    </w:p>
    <w:p>
      <w:pPr>
        <w:spacing w:after="0" w:line="121" w:lineRule="exact"/>
        <w:rPr>
          <w:sz w:val="20"/>
          <w:szCs w:val="20"/>
          <w:color w:val="auto"/>
        </w:rPr>
      </w:pPr>
    </w:p>
    <w:p>
      <w:pPr>
        <w:ind w:right="60" w:firstLine="987"/>
        <w:spacing w:after="0" w:line="277" w:lineRule="auto"/>
        <w:tabs>
          <w:tab w:leader="none" w:pos="1236" w:val="left"/>
        </w:tabs>
        <w:numPr>
          <w:ilvl w:val="1"/>
          <w:numId w:val="43"/>
        </w:numPr>
        <w:rPr>
          <w:rFonts w:ascii="Arial" w:cs="Arial" w:eastAsia="Arial" w:hAnsi="Arial"/>
          <w:sz w:val="18"/>
          <w:szCs w:val="18"/>
          <w:color w:val="auto"/>
        </w:rPr>
      </w:pPr>
      <w:r>
        <w:rPr>
          <w:rFonts w:ascii="Arial" w:cs="Arial" w:eastAsia="Arial" w:hAnsi="Arial"/>
          <w:sz w:val="18"/>
          <w:szCs w:val="18"/>
          <w:color w:val="auto"/>
        </w:rPr>
        <w:t>Where a notice is given by delivering or leaving such notice at the address as stated in the relevant signature page, service of the notice shall be deemed to be effected immediately.</w:t>
      </w:r>
    </w:p>
    <w:p>
      <w:pPr>
        <w:spacing w:after="0" w:line="62" w:lineRule="exact"/>
        <w:rPr>
          <w:rFonts w:ascii="Arial" w:cs="Arial" w:eastAsia="Arial" w:hAnsi="Arial"/>
          <w:sz w:val="18"/>
          <w:szCs w:val="18"/>
          <w:color w:val="auto"/>
        </w:rPr>
      </w:pPr>
    </w:p>
    <w:p>
      <w:pPr>
        <w:ind w:firstLine="987"/>
        <w:spacing w:after="0" w:line="279" w:lineRule="auto"/>
        <w:tabs>
          <w:tab w:leader="none" w:pos="1246" w:val="left"/>
        </w:tabs>
        <w:numPr>
          <w:ilvl w:val="1"/>
          <w:numId w:val="43"/>
        </w:numPr>
        <w:rPr>
          <w:rFonts w:ascii="Arial" w:cs="Arial" w:eastAsia="Arial" w:hAnsi="Arial"/>
          <w:sz w:val="17"/>
          <w:szCs w:val="17"/>
          <w:color w:val="auto"/>
        </w:rPr>
      </w:pPr>
      <w:r>
        <w:rPr>
          <w:rFonts w:ascii="Arial" w:cs="Arial" w:eastAsia="Arial" w:hAnsi="Arial"/>
          <w:sz w:val="17"/>
          <w:szCs w:val="17"/>
          <w:color w:val="auto"/>
        </w:rPr>
        <w:t>Where a notice is sent by next-day or second-day courier service, service of the notice shall be deemed to be effected by properly addressing, pre-paying and sending by next-day or second-day service through an internationally-recognised courier a letter containing the notice, with a request for written confirmation of delivery, and to have been effected at the earlier of: (i) delivery (or when delivery is refused by the intended recipient), and (ii) expiration of two (2) Business Days after the letter containing the same is sent as aforesaid.</w:t>
      </w:r>
    </w:p>
    <w:p>
      <w:pPr>
        <w:spacing w:after="0" w:line="63" w:lineRule="exact"/>
        <w:rPr>
          <w:rFonts w:ascii="Arial" w:cs="Arial" w:eastAsia="Arial" w:hAnsi="Arial"/>
          <w:sz w:val="17"/>
          <w:szCs w:val="17"/>
          <w:color w:val="auto"/>
        </w:rPr>
      </w:pPr>
    </w:p>
    <w:p>
      <w:pPr>
        <w:ind w:right="100" w:firstLine="987"/>
        <w:spacing w:after="0" w:line="259" w:lineRule="auto"/>
        <w:tabs>
          <w:tab w:leader="none" w:pos="1236" w:val="left"/>
        </w:tabs>
        <w:numPr>
          <w:ilvl w:val="1"/>
          <w:numId w:val="43"/>
        </w:numPr>
        <w:rPr>
          <w:rFonts w:ascii="Arial" w:cs="Arial" w:eastAsia="Arial" w:hAnsi="Arial"/>
          <w:sz w:val="18"/>
          <w:szCs w:val="18"/>
          <w:color w:val="auto"/>
        </w:rPr>
      </w:pPr>
      <w:r>
        <w:rPr>
          <w:rFonts w:ascii="Arial" w:cs="Arial" w:eastAsia="Arial" w:hAnsi="Arial"/>
          <w:sz w:val="18"/>
          <w:szCs w:val="18"/>
          <w:color w:val="auto"/>
        </w:rPr>
        <w:t>Where a notice is sent by fax, service of the notice shall be deemed to be effected by properly addressing, and sending such notice through a transmitting organisation, with a successful transmission record generated by such transmitting organisation, and to have been effected on the day the same is sent as aforesaid, if such day is a Business Day and if sent during normal business hours of the recipient, otherwise the next Business Day.</w:t>
      </w:r>
    </w:p>
    <w:p>
      <w:pPr>
        <w:spacing w:after="0" w:line="78" w:lineRule="exact"/>
        <w:rPr>
          <w:rFonts w:ascii="Arial" w:cs="Arial" w:eastAsia="Arial" w:hAnsi="Arial"/>
          <w:sz w:val="18"/>
          <w:szCs w:val="18"/>
          <w:color w:val="auto"/>
        </w:rPr>
      </w:pPr>
    </w:p>
    <w:p>
      <w:pPr>
        <w:ind w:right="40" w:firstLine="987"/>
        <w:spacing w:after="0" w:line="301" w:lineRule="auto"/>
        <w:tabs>
          <w:tab w:leader="none" w:pos="1246" w:val="left"/>
        </w:tabs>
        <w:numPr>
          <w:ilvl w:val="1"/>
          <w:numId w:val="43"/>
        </w:numPr>
        <w:rPr>
          <w:rFonts w:ascii="Arial" w:cs="Arial" w:eastAsia="Arial" w:hAnsi="Arial"/>
          <w:sz w:val="16"/>
          <w:szCs w:val="16"/>
          <w:color w:val="auto"/>
        </w:rPr>
      </w:pPr>
      <w:r>
        <w:rPr>
          <w:rFonts w:ascii="Arial" w:cs="Arial" w:eastAsia="Arial" w:hAnsi="Arial"/>
          <w:sz w:val="16"/>
          <w:szCs w:val="16"/>
          <w:color w:val="auto"/>
        </w:rPr>
        <w:t>Where a notice is sent by electronic mail, service of the notice shall be deemed to be effected by properly addressing, and sending such notice through a transmitting organisation, and to have been effected on the day the same is sent as aforesaid, if such day is a Business Day and if sent during normal business hours of the recipient, otherwise the next Business Day, unless where a notification of failure of transmission is generated by the electronic mailing system, in which case service of the notice shall be deemed to be effected at the time of receipt by the intended recipient.</w:t>
      </w:r>
    </w:p>
    <w:p>
      <w:pPr>
        <w:spacing w:after="0" w:line="45" w:lineRule="exact"/>
        <w:rPr>
          <w:rFonts w:ascii="Arial" w:cs="Arial" w:eastAsia="Arial" w:hAnsi="Arial"/>
          <w:sz w:val="16"/>
          <w:szCs w:val="16"/>
          <w:color w:val="auto"/>
        </w:rPr>
      </w:pPr>
    </w:p>
    <w:p>
      <w:pPr>
        <w:ind w:left="700" w:hanging="264"/>
        <w:spacing w:after="0"/>
        <w:tabs>
          <w:tab w:leader="none" w:pos="7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180" w:firstLine="991"/>
        <w:spacing w:after="0" w:line="347" w:lineRule="auto"/>
        <w:rPr>
          <w:sz w:val="20"/>
          <w:szCs w:val="20"/>
          <w:color w:val="auto"/>
        </w:rPr>
      </w:pPr>
      <w:r>
        <w:rPr>
          <w:rFonts w:ascii="Arial" w:cs="Arial" w:eastAsia="Arial" w:hAnsi="Arial"/>
          <w:sz w:val="16"/>
          <w:szCs w:val="16"/>
          <w:b w:val="1"/>
          <w:bCs w:val="1"/>
          <w:color w:val="auto"/>
        </w:rPr>
        <w:t xml:space="preserve">10.1 </w:t>
      </w:r>
      <w:r>
        <w:rPr>
          <w:rFonts w:ascii="Arial" w:cs="Arial" w:eastAsia="Arial" w:hAnsi="Arial"/>
          <w:sz w:val="16"/>
          <w:szCs w:val="16"/>
          <w:u w:val="single" w:color="auto"/>
          <w:color w:val="auto"/>
        </w:rPr>
        <w:t>Further Assurance.</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will, and will use all reasonable efforts to, take or cause to be taken all actions, and do or cause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done all other things necessary, proper or advisable in order to give full effect to this Agreement and the transactions contemplated hereby.</w:t>
      </w:r>
    </w:p>
    <w:p>
      <w:pPr>
        <w:spacing w:after="0" w:line="8" w:lineRule="exact"/>
        <w:rPr>
          <w:sz w:val="20"/>
          <w:szCs w:val="20"/>
          <w:color w:val="auto"/>
        </w:rPr>
      </w:pPr>
    </w:p>
    <w:p>
      <w:pPr>
        <w:ind w:right="40" w:firstLine="991"/>
        <w:spacing w:after="0" w:line="289"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Agreement shall be held to be illegal, void, invalid or unenforceable under the applicable laws or</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of any jurisdiction, the legality, validity and enforceability of the remainder of this Agreement in that jurisdiction shall not be affected, and the legality, validity and enforceability of the whole of this Agreement in any other jurisdiction shall not be affected.</w:t>
      </w:r>
    </w:p>
    <w:p>
      <w:pPr>
        <w:spacing w:after="0" w:line="50" w:lineRule="exact"/>
        <w:rPr>
          <w:sz w:val="20"/>
          <w:szCs w:val="20"/>
          <w:color w:val="auto"/>
        </w:rPr>
      </w:pPr>
    </w:p>
    <w:p>
      <w:pPr>
        <w:jc w:val="both"/>
        <w:ind w:right="60" w:firstLine="991"/>
        <w:spacing w:after="0" w:line="289" w:lineRule="auto"/>
        <w:rPr>
          <w:sz w:val="20"/>
          <w:szCs w:val="20"/>
          <w:color w:val="auto"/>
        </w:rPr>
      </w:pPr>
      <w:r>
        <w:rPr>
          <w:rFonts w:ascii="Arial" w:cs="Arial" w:eastAsia="Arial" w:hAnsi="Arial"/>
          <w:sz w:val="17"/>
          <w:szCs w:val="17"/>
          <w:b w:val="1"/>
          <w:bCs w:val="1"/>
          <w:color w:val="auto"/>
        </w:rPr>
        <w:t xml:space="preserve">10.3 </w:t>
      </w:r>
      <w:r>
        <w:rPr>
          <w:rFonts w:ascii="Arial" w:cs="Arial" w:eastAsia="Arial" w:hAnsi="Arial"/>
          <w:sz w:val="17"/>
          <w:szCs w:val="17"/>
          <w:u w:val="single" w:color="auto"/>
          <w:color w:val="auto"/>
        </w:rPr>
        <w:t>Assignment and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on the Parties and their successors and assigns and the name of the Party</w:t>
      </w:r>
      <w:r>
        <w:rPr>
          <w:rFonts w:ascii="Arial" w:cs="Arial" w:eastAsia="Arial" w:hAnsi="Arial"/>
          <w:sz w:val="17"/>
          <w:szCs w:val="17"/>
          <w:b w:val="1"/>
          <w:bCs w:val="1"/>
          <w:color w:val="auto"/>
        </w:rPr>
        <w:t xml:space="preserve"> </w:t>
      </w:r>
      <w:r>
        <w:rPr>
          <w:rFonts w:ascii="Arial" w:cs="Arial" w:eastAsia="Arial" w:hAnsi="Arial"/>
          <w:sz w:val="17"/>
          <w:szCs w:val="17"/>
          <w:color w:val="auto"/>
        </w:rPr>
        <w:t>appearing herein shall be deemed to include the name of any such successor or assign, but the Parties may not assign, hold on trust or otherwise transfer all or any of their rights or obligations under this Agreement without the prior written consent of the other Parties.</w:t>
      </w:r>
    </w:p>
    <w:p>
      <w:pPr>
        <w:spacing w:after="0" w:line="158" w:lineRule="exact"/>
        <w:rPr>
          <w:sz w:val="20"/>
          <w:szCs w:val="20"/>
          <w:color w:val="auto"/>
        </w:rPr>
      </w:pPr>
    </w:p>
    <w:p>
      <w:pPr>
        <w:ind w:right="60" w:firstLine="991"/>
        <w:spacing w:after="0" w:line="261"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u w:val="single" w:color="auto"/>
          <w:color w:val="auto"/>
        </w:rPr>
        <w:t>Variation and 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variation, amendment or modification of this Agreement shall be effective unless it is in writing and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all the Parties. Any waiver of any right or default under this Agreement shall be effective only in the instance given and shall not operate as or imply a waiver of any other or similar right or default on any subsequent occasion. No waiver of any provision of this Agreement shall be effective unless in writing and signed by each Party against whom such waiver is sought to be enforced.</w:t>
      </w:r>
    </w:p>
    <w:p>
      <w:pPr>
        <w:spacing w:after="0" w:line="72"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u w:val="single" w:color="auto"/>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will pay its respective direct and indirect expenses incurred by it in connection with the preparation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of this Agreement and the consummation of the transactions contemplated by this Agreement, including all fees and expenses of its advisors and Representatives.</w:t>
      </w:r>
    </w:p>
    <w:p>
      <w:pPr>
        <w:sectPr>
          <w:pgSz w:w="11900" w:h="16838" w:orient="portrait"/>
          <w:cols w:equalWidth="0" w:num="1">
            <w:col w:w="11000"/>
          </w:cols>
          <w:pgMar w:left="440" w:top="274" w:right="459" w:bottom="1440" w:gutter="0" w:footer="0" w:header="0"/>
        </w:sectPr>
      </w:pPr>
    </w:p>
    <w:bookmarkStart w:id="54" w:name="page55"/>
    <w:bookmarkEnd w:id="54"/>
    <w:p>
      <w:pPr>
        <w:ind w:right="20" w:firstLine="991"/>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10.6 </w:t>
      </w:r>
      <w:r>
        <w:rPr>
          <w:rFonts w:ascii="Arial" w:cs="Arial" w:eastAsia="Arial" w:hAnsi="Arial"/>
          <w:sz w:val="16"/>
          <w:szCs w:val="16"/>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may execute this Agreement in multiple counterparts, each of which constitutes an original as against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Party that signed it, and all of which together constitute one agreement. This Agreement is effective upon the delivery of one executed counterpart from each Party to the other Parties. The signatures of all Parties need not appear on the same counterpart. The delivery of signed counterparts by facsimile or email transmission that includes a copy of the sending Party’s signature(s) is as effective as signing and delivering the counterpart in person.</w:t>
      </w:r>
    </w:p>
    <w:p>
      <w:pPr>
        <w:spacing w:after="0" w:line="43" w:lineRule="exact"/>
        <w:rPr>
          <w:sz w:val="20"/>
          <w:szCs w:val="20"/>
          <w:color w:val="auto"/>
        </w:rPr>
      </w:pPr>
    </w:p>
    <w:p>
      <w:pPr>
        <w:ind w:firstLine="991"/>
        <w:spacing w:after="0" w:line="294" w:lineRule="auto"/>
        <w:rPr>
          <w:sz w:val="20"/>
          <w:szCs w:val="20"/>
          <w:color w:val="auto"/>
        </w:rPr>
      </w:pPr>
      <w:r>
        <w:rPr>
          <w:rFonts w:ascii="Arial" w:cs="Arial" w:eastAsia="Arial" w:hAnsi="Arial"/>
          <w:sz w:val="16"/>
          <w:szCs w:val="16"/>
          <w:b w:val="1"/>
          <w:bCs w:val="1"/>
          <w:color w:val="auto"/>
        </w:rPr>
        <w:t xml:space="preserve">10.7 </w:t>
      </w:r>
      <w:r>
        <w:rPr>
          <w:rFonts w:ascii="Arial" w:cs="Arial" w:eastAsia="Arial" w:hAnsi="Arial"/>
          <w:sz w:val="16"/>
          <w:szCs w:val="16"/>
          <w:u w:val="single" w:color="auto"/>
          <w:color w:val="auto"/>
        </w:rPr>
        <w:t>Third Party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Section 6.1 and Section 6.2 of this Agreement are intended to confer a benefit upon,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enforceable by, Sponsor as if it were a party to this Agreement and such provisions shall not be amended, rescinded or terminated without the consent of Sponsor. Save as expressly set out in this Section 10.7, a Person who is not a Party shall not have any rights under the Contracts (Rights of Third Parties) Ordinance (Chapter 623 of the Laws of Hong Kong) to enforce, or to enjoy the benefit of, any term of this Agreement. Save as expressly set out in this Section 10.7, notwithstanding any term of this Agreement, the right of the Parties to rescind or terminate this Agreement or to agree to a variation, release and/or waiver of this Agreement is not subject to the consent of any other person who is not a party to this Agreement.</w:t>
      </w:r>
    </w:p>
    <w:p>
      <w:pPr>
        <w:spacing w:after="0" w:line="52" w:lineRule="exact"/>
        <w:rPr>
          <w:sz w:val="20"/>
          <w:szCs w:val="20"/>
          <w:color w:val="auto"/>
        </w:rPr>
      </w:pPr>
    </w:p>
    <w:p>
      <w:pPr>
        <w:ind w:right="320" w:firstLine="991"/>
        <w:spacing w:after="0" w:line="282" w:lineRule="auto"/>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shall be governed by and construed under the laws of Hong Kong, without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of conflicts of laws thereunder.</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u w:val="single" w:color="auto"/>
          <w:color w:val="auto"/>
        </w:rPr>
        <w:t>Dispute Resolution.</w:t>
      </w:r>
    </w:p>
    <w:p>
      <w:pPr>
        <w:spacing w:after="0" w:line="121" w:lineRule="exact"/>
        <w:rPr>
          <w:sz w:val="20"/>
          <w:szCs w:val="20"/>
          <w:color w:val="auto"/>
        </w:rPr>
      </w:pPr>
    </w:p>
    <w:p>
      <w:pPr>
        <w:ind w:right="60" w:firstLine="987"/>
        <w:spacing w:after="0" w:line="273" w:lineRule="auto"/>
        <w:tabs>
          <w:tab w:leader="none" w:pos="1236"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Each of the Parties agrees that any dispute, controversy or claim arising out of or relating to this Agreement, or the interpretation, breach, termination, validity or invalidity thereof (“</w:t>
      </w:r>
      <w:r>
        <w:rPr>
          <w:rFonts w:ascii="Arial" w:cs="Arial" w:eastAsia="Arial" w:hAnsi="Arial"/>
          <w:sz w:val="17"/>
          <w:szCs w:val="17"/>
          <w:b w:val="1"/>
          <w:bCs w:val="1"/>
          <w:color w:val="auto"/>
        </w:rPr>
        <w:t>Dispute</w:t>
      </w:r>
      <w:r>
        <w:rPr>
          <w:rFonts w:ascii="Arial" w:cs="Arial" w:eastAsia="Arial" w:hAnsi="Arial"/>
          <w:sz w:val="17"/>
          <w:szCs w:val="17"/>
          <w:color w:val="auto"/>
        </w:rPr>
        <w:t>”) shall be first negotiated and resolved by the Parties to the Dispute in good faith as soon as practicable. If any Dispute is not resolved to the reasonable satisfaction of all relevant Parties to the Dispute within thirty (30) Business Days after the commencement of such negotiations, such Dispute shall be settled by arbitration in Hong Kong by the Hong Kong International Arbitration Centre (“</w:t>
      </w:r>
      <w:r>
        <w:rPr>
          <w:rFonts w:ascii="Arial" w:cs="Arial" w:eastAsia="Arial" w:hAnsi="Arial"/>
          <w:sz w:val="17"/>
          <w:szCs w:val="17"/>
          <w:b w:val="1"/>
          <w:bCs w:val="1"/>
          <w:color w:val="auto"/>
        </w:rPr>
        <w:t>HKIAC</w:t>
      </w:r>
      <w:r>
        <w:rPr>
          <w:rFonts w:ascii="Arial" w:cs="Arial" w:eastAsia="Arial" w:hAnsi="Arial"/>
          <w:sz w:val="17"/>
          <w:szCs w:val="17"/>
          <w:color w:val="auto"/>
        </w:rPr>
        <w:t>”) in accordance with the Hong Kong International Arbitration Centre Administered Arbitration Rules in force when the arbitration notice is submitted in accordance with the said rules (“</w:t>
      </w:r>
      <w:r>
        <w:rPr>
          <w:rFonts w:ascii="Arial" w:cs="Arial" w:eastAsia="Arial" w:hAnsi="Arial"/>
          <w:sz w:val="17"/>
          <w:szCs w:val="17"/>
          <w:b w:val="1"/>
          <w:bCs w:val="1"/>
          <w:color w:val="auto"/>
        </w:rPr>
        <w:t>HKIAC Rules</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20" w:firstLine="987"/>
        <w:spacing w:after="0" w:line="293" w:lineRule="auto"/>
        <w:tabs>
          <w:tab w:leader="none" w:pos="124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arbitration tribunal shall consist of three (3) arbitrators to be appointed according to the HKIAC Rules. Each of the claimant and the respondent to the Dispute shall be entitled to designate one (1) arbitrator in accordance with the HKIAC Rules. If either Party fails to designate an arbitrator, HKIAC shall appoint the arbitrator. The two (2) arbitrators so appointed shall designate the third arbitrator who shall act as the presiding arbitrator of the arbitral tribunal. Failing such designation within thirty (30) days from the confirmation of the second arbitrator, HKIAC shall appoint the presiding arbitrator. The arbitral proceedings shall be conducted in English. To the extent that the HKIAC Rules are in conflict with the provisions of this Section 10.9, including the provisions concerning the appointment of the arbitrators, the provisions of this Section 10.9 shall prevail.</w:t>
      </w:r>
    </w:p>
    <w:p>
      <w:pPr>
        <w:spacing w:after="0" w:line="56" w:lineRule="exact"/>
        <w:rPr>
          <w:rFonts w:ascii="Arial" w:cs="Arial" w:eastAsia="Arial" w:hAnsi="Arial"/>
          <w:sz w:val="16"/>
          <w:szCs w:val="16"/>
          <w:color w:val="auto"/>
        </w:rPr>
      </w:pPr>
    </w:p>
    <w:p>
      <w:pPr>
        <w:ind w:right="220" w:firstLine="987"/>
        <w:spacing w:after="0" w:line="277" w:lineRule="auto"/>
        <w:tabs>
          <w:tab w:leader="none" w:pos="12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award of the arbitral tribunal shall be final and binding upon the Parties thereto, and the prevailing Party may apply to a court of competent jurisdiction for enforcement of such award.</w:t>
      </w:r>
    </w:p>
    <w:p>
      <w:pPr>
        <w:spacing w:after="0" w:line="62" w:lineRule="exact"/>
        <w:rPr>
          <w:rFonts w:ascii="Arial" w:cs="Arial" w:eastAsia="Arial" w:hAnsi="Arial"/>
          <w:sz w:val="18"/>
          <w:szCs w:val="18"/>
          <w:color w:val="auto"/>
        </w:rPr>
      </w:pPr>
    </w:p>
    <w:p>
      <w:pPr>
        <w:ind w:right="320" w:firstLine="987"/>
        <w:spacing w:after="0" w:line="277" w:lineRule="auto"/>
        <w:tabs>
          <w:tab w:leader="none" w:pos="12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Party to the Dispute shall be entitled to seek preliminary injunctive relief, if possible, from any court of competent jurisdiction pending the constitution of the arbitral tribunal.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to follow)</w:t>
      </w:r>
    </w:p>
    <w:p>
      <w:pPr>
        <w:sectPr>
          <w:pgSz w:w="11900" w:h="16838" w:orient="portrait"/>
          <w:cols w:equalWidth="0" w:num="1">
            <w:col w:w="11000"/>
          </w:cols>
          <w:pgMar w:left="440" w:top="270" w:right="45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Party below have executed this Agreement as of the date first above written.</w:t>
      </w:r>
    </w:p>
    <w:p>
      <w:pPr>
        <w:sectPr>
          <w:pgSz w:w="11900" w:h="16838" w:orient="portrait"/>
          <w:cols w:equalWidth="0" w:num="1">
            <w:col w:w="10820"/>
          </w:cols>
          <w:pgMar w:left="440" w:top="274" w:right="639" w:bottom="1440" w:gutter="0" w:footer="0" w:header="0"/>
        </w:sectPr>
      </w:pPr>
    </w:p>
    <w:p>
      <w:pPr>
        <w:spacing w:after="0" w:line="27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SIGNED </w:t>
      </w:r>
      <w:r>
        <w:rPr>
          <w:rFonts w:ascii="Arial" w:cs="Arial" w:eastAsia="Arial" w:hAnsi="Arial"/>
          <w:sz w:val="16"/>
          <w:szCs w:val="16"/>
          <w:color w:val="auto"/>
        </w:rPr>
        <w:t>for and on behalf of</w:t>
      </w:r>
      <w:r>
        <w:rPr>
          <w:rFonts w:ascii="Arial" w:cs="Arial" w:eastAsia="Arial" w:hAnsi="Arial"/>
          <w:sz w:val="16"/>
          <w:szCs w:val="16"/>
          <w:b w:val="1"/>
          <w:bCs w:val="1"/>
          <w:color w:val="auto"/>
        </w:rPr>
        <w:t xml:space="preserve"> VOLVO CAR CORPORATION</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incorporated in Sweden and owner of Snita Holding B.V. that is a Shareholder in the Company, by </w:t>
      </w:r>
      <w:r>
        <w:rPr>
          <w:rFonts w:ascii="Arial" w:cs="Arial" w:eastAsia="Arial" w:hAnsi="Arial"/>
          <w:sz w:val="16"/>
          <w:szCs w:val="16"/>
          <w:b w:val="1"/>
          <w:bCs w:val="1"/>
          <w:color w:val="auto"/>
        </w:rPr>
        <w:t>MARIA HEMBERG</w:t>
      </w:r>
      <w:r>
        <w:rPr>
          <w:rFonts w:ascii="Arial" w:cs="Arial" w:eastAsia="Arial" w:hAnsi="Arial"/>
          <w:sz w:val="16"/>
          <w:szCs w:val="16"/>
          <w:color w:val="auto"/>
        </w:rPr>
        <w:t xml:space="preserve"> AND , being Persons who, in accordance with applicable laws or regulations of that place, are acting under the authority of such company, in the presence of: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Rosmarie Söderbom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05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Rosmarie Söderbom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Contact details for the purpose of Section 9 of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and Tel No.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vMerge w:val="restart"/>
          </w:tcPr>
          <w:p>
            <w:pPr>
              <w:ind w:left="140"/>
              <w:spacing w:after="0"/>
              <w:rPr>
                <w:sz w:val="20"/>
                <w:szCs w:val="20"/>
                <w:color w:val="auto"/>
              </w:rPr>
            </w:pPr>
            <w:r>
              <w:rPr>
                <w:rFonts w:ascii="Arial" w:cs="Arial" w:eastAsia="Arial" w:hAnsi="Arial"/>
                <w:sz w:val="18"/>
                <w:szCs w:val="18"/>
                <w:color w:val="auto"/>
              </w:rPr>
              <w:t>/s/ Maria Hemberg</w:t>
            </w:r>
          </w:p>
        </w:tc>
        <w:tc>
          <w:tcPr>
            <w:tcW w:w="0" w:type="dxa"/>
            <w:vAlign w:val="bottom"/>
          </w:tcPr>
          <w:p>
            <w:pPr>
              <w:spacing w:after="0"/>
              <w:rPr>
                <w:sz w:val="1"/>
                <w:szCs w:val="1"/>
                <w:color w:val="auto"/>
              </w:rPr>
            </w:pPr>
          </w:p>
        </w:tc>
      </w:tr>
      <w:tr>
        <w:trPr>
          <w:trHeight w:val="149"/>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0" w:type="dxa"/>
            <w:vAlign w:val="bottom"/>
            <w:vMerge w:val="continue"/>
          </w:tcPr>
          <w:p>
            <w:pPr>
              <w:spacing w:after="0"/>
              <w:rPr>
                <w:sz w:val="5"/>
                <w:szCs w:val="5"/>
                <w:color w:val="auto"/>
              </w:rPr>
            </w:pPr>
          </w:p>
        </w:tc>
        <w:tc>
          <w:tcPr>
            <w:tcW w:w="4900" w:type="dxa"/>
            <w:vAlign w:val="bottom"/>
            <w:vMerge w:val="restart"/>
          </w:tcPr>
          <w:p>
            <w:pPr>
              <w:ind w:left="140"/>
              <w:spacing w:after="0"/>
              <w:rPr>
                <w:sz w:val="20"/>
                <w:szCs w:val="20"/>
                <w:color w:val="auto"/>
              </w:rPr>
            </w:pPr>
            <w:r>
              <w:rPr>
                <w:rFonts w:ascii="Arial" w:cs="Arial" w:eastAsia="Arial" w:hAnsi="Arial"/>
                <w:sz w:val="18"/>
                <w:szCs w:val="18"/>
                <w:color w:val="auto"/>
              </w:rPr>
              <w:t>Signature of MARIA HEMBERG</w:t>
            </w:r>
          </w:p>
        </w:tc>
        <w:tc>
          <w:tcPr>
            <w:tcW w:w="0" w:type="dxa"/>
            <w:vAlign w:val="bottom"/>
          </w:tcPr>
          <w:p>
            <w:pPr>
              <w:spacing w:after="0"/>
              <w:rPr>
                <w:sz w:val="1"/>
                <w:szCs w:val="1"/>
                <w:color w:val="auto"/>
              </w:rPr>
            </w:pPr>
          </w:p>
        </w:tc>
      </w:tr>
      <w:tr>
        <w:trPr>
          <w:trHeight w:val="163"/>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80" w:type="dxa"/>
            <w:vAlign w:val="bottom"/>
            <w:vMerge w:val="continue"/>
          </w:tcPr>
          <w:p>
            <w:pPr>
              <w:spacing w:after="0"/>
              <w:rPr>
                <w:sz w:val="4"/>
                <w:szCs w:val="4"/>
                <w:color w:val="auto"/>
              </w:rPr>
            </w:pPr>
          </w:p>
        </w:tc>
        <w:tc>
          <w:tcPr>
            <w:tcW w:w="4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vMerge w:val="restart"/>
          </w:tcPr>
          <w:p>
            <w:pPr>
              <w:ind w:left="140"/>
              <w:spacing w:after="0"/>
              <w:rPr>
                <w:sz w:val="20"/>
                <w:szCs w:val="20"/>
                <w:color w:val="auto"/>
              </w:rPr>
            </w:pPr>
            <w:r>
              <w:rPr>
                <w:rFonts w:ascii="Arial" w:cs="Arial" w:eastAsia="Arial" w:hAnsi="Arial"/>
                <w:sz w:val="18"/>
                <w:szCs w:val="18"/>
                <w:color w:val="auto"/>
              </w:rPr>
              <w:t>/s/ Björn Annwall</w:t>
            </w:r>
          </w:p>
        </w:tc>
        <w:tc>
          <w:tcPr>
            <w:tcW w:w="0" w:type="dxa"/>
            <w:vAlign w:val="bottom"/>
          </w:tcPr>
          <w:p>
            <w:pPr>
              <w:spacing w:after="0"/>
              <w:rPr>
                <w:sz w:val="1"/>
                <w:szCs w:val="1"/>
                <w:color w:val="auto"/>
              </w:rPr>
            </w:pPr>
          </w:p>
        </w:tc>
      </w:tr>
      <w:tr>
        <w:trPr>
          <w:trHeight w:val="94"/>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80" w:type="dxa"/>
            <w:vAlign w:val="bottom"/>
            <w:vMerge w:val="continue"/>
          </w:tcPr>
          <w:p>
            <w:pPr>
              <w:spacing w:after="0"/>
              <w:rPr>
                <w:sz w:val="11"/>
                <w:szCs w:val="11"/>
                <w:color w:val="auto"/>
              </w:rPr>
            </w:pPr>
          </w:p>
        </w:tc>
        <w:tc>
          <w:tcPr>
            <w:tcW w:w="4900" w:type="dxa"/>
            <w:vAlign w:val="bottom"/>
            <w:vMerge w:val="restart"/>
          </w:tcPr>
          <w:p>
            <w:pPr>
              <w:ind w:left="140"/>
              <w:spacing w:after="0"/>
              <w:rPr>
                <w:sz w:val="20"/>
                <w:szCs w:val="20"/>
                <w:color w:val="auto"/>
              </w:rPr>
            </w:pPr>
            <w:r>
              <w:rPr>
                <w:rFonts w:ascii="Arial" w:cs="Arial" w:eastAsia="Arial" w:hAnsi="Arial"/>
                <w:sz w:val="18"/>
                <w:szCs w:val="18"/>
                <w:color w:val="auto"/>
                <w:w w:val="99"/>
              </w:rPr>
              <w:t>By executing this document, the signatories warrant that the</w:t>
            </w:r>
          </w:p>
        </w:tc>
        <w:tc>
          <w:tcPr>
            <w:tcW w:w="0" w:type="dxa"/>
            <w:vAlign w:val="bottom"/>
          </w:tcPr>
          <w:p>
            <w:pPr>
              <w:spacing w:after="0"/>
              <w:rPr>
                <w:sz w:val="1"/>
                <w:szCs w:val="1"/>
                <w:color w:val="auto"/>
              </w:rPr>
            </w:pPr>
          </w:p>
        </w:tc>
      </w:tr>
      <w:tr>
        <w:trPr>
          <w:trHeight w:val="80"/>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80" w:type="dxa"/>
            <w:vAlign w:val="bottom"/>
            <w:vMerge w:val="continue"/>
          </w:tcPr>
          <w:p>
            <w:pPr>
              <w:spacing w:after="0"/>
              <w:rPr>
                <w:sz w:val="11"/>
                <w:szCs w:val="11"/>
                <w:color w:val="auto"/>
              </w:rPr>
            </w:pPr>
          </w:p>
        </w:tc>
        <w:tc>
          <w:tcPr>
            <w:tcW w:w="4900" w:type="dxa"/>
            <w:vAlign w:val="bottom"/>
            <w:vMerge w:val="restart"/>
          </w:tcPr>
          <w:p>
            <w:pPr>
              <w:ind w:left="140"/>
              <w:spacing w:after="0"/>
              <w:rPr>
                <w:sz w:val="20"/>
                <w:szCs w:val="20"/>
                <w:color w:val="auto"/>
              </w:rPr>
            </w:pPr>
            <w:r>
              <w:rPr>
                <w:rFonts w:ascii="Arial" w:cs="Arial" w:eastAsia="Arial" w:hAnsi="Arial"/>
                <w:sz w:val="18"/>
                <w:szCs w:val="18"/>
                <w:color w:val="auto"/>
                <w:w w:val="89"/>
              </w:rPr>
              <w:t>signatories are duly authorised to execute this document on behalf</w:t>
            </w:r>
          </w:p>
        </w:tc>
        <w:tc>
          <w:tcPr>
            <w:tcW w:w="0" w:type="dxa"/>
            <w:vAlign w:val="bottom"/>
          </w:tcPr>
          <w:p>
            <w:pPr>
              <w:spacing w:after="0"/>
              <w:rPr>
                <w:sz w:val="1"/>
                <w:szCs w:val="1"/>
                <w:color w:val="auto"/>
              </w:rPr>
            </w:pPr>
          </w:p>
        </w:tc>
      </w:tr>
      <w:tr>
        <w:trPr>
          <w:trHeight w:val="80"/>
        </w:trPr>
        <w:tc>
          <w:tcPr>
            <w:tcW w:w="180" w:type="dxa"/>
            <w:vAlign w:val="bottom"/>
          </w:tcPr>
          <w:p>
            <w:pPr>
              <w:spacing w:after="0"/>
              <w:rPr>
                <w:sz w:val="6"/>
                <w:szCs w:val="6"/>
                <w:color w:val="auto"/>
              </w:rPr>
            </w:pPr>
          </w:p>
        </w:tc>
        <w:tc>
          <w:tcPr>
            <w:tcW w:w="4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of VOLVO CAR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-1482090</wp:posOffset>
            </wp:positionV>
            <wp:extent cx="31457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-419735</wp:posOffset>
            </wp:positionV>
            <wp:extent cx="31457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500" w:lineRule="exact"/>
        <w:rPr>
          <w:sz w:val="20"/>
          <w:szCs w:val="20"/>
          <w:color w:val="auto"/>
        </w:rPr>
      </w:pPr>
    </w:p>
    <w:p>
      <w:pPr>
        <w:sectPr>
          <w:pgSz w:w="11900" w:h="16838" w:orient="portrait"/>
          <w:cols w:equalWidth="0" w:num="2">
            <w:col w:w="5420" w:space="320"/>
            <w:col w:w="5080"/>
          </w:cols>
          <w:pgMar w:left="440" w:top="274"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Acknowledgement Agreement to the Shareholders Agreement</w:t>
      </w:r>
      <w:r>
        <w:rPr>
          <w:rFonts w:ascii="Arial" w:cs="Arial" w:eastAsia="Arial" w:hAnsi="Arial"/>
          <w:sz w:val="16"/>
          <w:szCs w:val="16"/>
          <w:color w:val="auto"/>
        </w:rPr>
        <w:t>)</w:t>
      </w:r>
    </w:p>
    <w:p>
      <w:pPr>
        <w:sectPr>
          <w:pgSz w:w="11900" w:h="16838" w:orient="portrait"/>
          <w:cols w:equalWidth="0" w:num="1">
            <w:col w:w="10820"/>
          </w:cols>
          <w:pgMar w:left="440" w:top="274" w:right="6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Party below have executed this Agreement as of the date first above written.</w:t>
      </w:r>
    </w:p>
    <w:p>
      <w:pPr>
        <w:sectPr>
          <w:pgSz w:w="11900" w:h="16838" w:orient="portrait"/>
          <w:cols w:equalWidth="0" w:num="1">
            <w:col w:w="11020"/>
          </w:cols>
          <w:pgMar w:left="440" w:top="274" w:right="439" w:bottom="1440" w:gutter="0" w:footer="0" w:header="0"/>
        </w:sectPr>
      </w:pP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for and on behalf of</w:t>
      </w:r>
      <w:r>
        <w:rPr>
          <w:rFonts w:ascii="Arial" w:cs="Arial" w:eastAsia="Arial" w:hAnsi="Arial"/>
          <w:sz w:val="17"/>
          <w:szCs w:val="17"/>
          <w:b w:val="1"/>
          <w:bCs w:val="1"/>
          <w:color w:val="auto"/>
        </w:rPr>
        <w:t xml:space="preserve"> SNITA HOLDING B.V.</w:t>
      </w:r>
      <w:r>
        <w:rPr>
          <w:rFonts w:ascii="Arial" w:cs="Arial" w:eastAsia="Arial" w:hAnsi="Arial"/>
          <w:sz w:val="17"/>
          <w:szCs w:val="17"/>
          <w:color w:val="auto"/>
        </w:rPr>
        <w:t>, a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incorporated in Netherlands, Shareholder of the Company and a Subsidiary of Volvo, by </w:t>
      </w:r>
      <w:r>
        <w:rPr>
          <w:rFonts w:ascii="Arial" w:cs="Arial" w:eastAsia="Arial" w:hAnsi="Arial"/>
          <w:sz w:val="17"/>
          <w:szCs w:val="17"/>
          <w:b w:val="1"/>
          <w:bCs w:val="1"/>
          <w:color w:val="auto"/>
        </w:rPr>
        <w:t>LEX KERSSEMAKERS</w:t>
      </w:r>
      <w:r>
        <w:rPr>
          <w:rFonts w:ascii="Arial" w:cs="Arial" w:eastAsia="Arial" w:hAnsi="Arial"/>
          <w:sz w:val="17"/>
          <w:szCs w:val="17"/>
          <w:color w:val="auto"/>
        </w:rPr>
        <w:t xml:space="preserve"> and , being Persons who, in accordance with applicable laws or regulations of that place, are acting under the authority of such company, in the presence of:</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Rosmarie Söderbom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058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Rosmarie Söderbom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Contact details for the purpose of Section 9 of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and Tel No.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rPr>
              <w:t>/s/ Lex Kerssemakers</w:t>
            </w:r>
          </w:p>
        </w:tc>
        <w:tc>
          <w:tcPr>
            <w:tcW w:w="0" w:type="dxa"/>
            <w:vAlign w:val="bottom"/>
          </w:tcPr>
          <w:p>
            <w:pPr>
              <w:spacing w:after="0"/>
              <w:rPr>
                <w:sz w:val="1"/>
                <w:szCs w:val="1"/>
                <w:color w:val="auto"/>
              </w:rPr>
            </w:pPr>
          </w:p>
        </w:tc>
      </w:tr>
      <w:tr>
        <w:trPr>
          <w:trHeight w:val="82"/>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80" w:type="dxa"/>
            <w:vAlign w:val="bottom"/>
            <w:vMerge w:val="continue"/>
          </w:tcPr>
          <w:p>
            <w:pPr>
              <w:spacing w:after="0"/>
              <w:rPr>
                <w:sz w:val="9"/>
                <w:szCs w:val="9"/>
                <w:color w:val="auto"/>
              </w:rPr>
            </w:pP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rPr>
              <w:t>Signature of LEX KERSSEMAKERS</w:t>
            </w:r>
          </w:p>
        </w:tc>
        <w:tc>
          <w:tcPr>
            <w:tcW w:w="0" w:type="dxa"/>
            <w:vAlign w:val="bottom"/>
          </w:tcPr>
          <w:p>
            <w:pPr>
              <w:spacing w:after="0"/>
              <w:rPr>
                <w:sz w:val="1"/>
                <w:szCs w:val="1"/>
                <w:color w:val="auto"/>
              </w:rPr>
            </w:pPr>
          </w:p>
        </w:tc>
      </w:tr>
      <w:tr>
        <w:trPr>
          <w:trHeight w:val="110"/>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rPr>
              <w:t>/s/ Carla De Geyseleer</w:t>
            </w:r>
          </w:p>
        </w:tc>
        <w:tc>
          <w:tcPr>
            <w:tcW w:w="0" w:type="dxa"/>
            <w:vAlign w:val="bottom"/>
          </w:tcPr>
          <w:p>
            <w:pPr>
              <w:spacing w:after="0"/>
              <w:rPr>
                <w:sz w:val="1"/>
                <w:szCs w:val="1"/>
                <w:color w:val="auto"/>
              </w:rPr>
            </w:pPr>
          </w:p>
        </w:tc>
      </w:tr>
      <w:tr>
        <w:trPr>
          <w:trHeight w:val="95"/>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80" w:type="dxa"/>
            <w:vAlign w:val="bottom"/>
            <w:vMerge w:val="continue"/>
          </w:tcPr>
          <w:p>
            <w:pPr>
              <w:spacing w:after="0"/>
              <w:rPr>
                <w:sz w:val="8"/>
                <w:szCs w:val="8"/>
                <w:color w:val="auto"/>
              </w:rPr>
            </w:pPr>
          </w:p>
        </w:tc>
        <w:tc>
          <w:tcPr>
            <w:tcW w:w="5100" w:type="dxa"/>
            <w:vAlign w:val="bottom"/>
            <w:gridSpan w:val="2"/>
            <w:vMerge w:val="restart"/>
          </w:tcPr>
          <w:p>
            <w:pPr>
              <w:ind w:left="140"/>
              <w:spacing w:after="0" w:line="185" w:lineRule="exact"/>
              <w:rPr>
                <w:sz w:val="20"/>
                <w:szCs w:val="20"/>
                <w:color w:val="auto"/>
              </w:rPr>
            </w:pPr>
            <w:r>
              <w:rPr>
                <w:rFonts w:ascii="Arial" w:cs="Arial" w:eastAsia="Arial" w:hAnsi="Arial"/>
                <w:sz w:val="18"/>
                <w:szCs w:val="18"/>
                <w:color w:val="auto"/>
              </w:rPr>
              <w:t>Signature of Carla De Geyseleer</w:t>
            </w:r>
          </w:p>
        </w:tc>
        <w:tc>
          <w:tcPr>
            <w:tcW w:w="0" w:type="dxa"/>
            <w:vAlign w:val="bottom"/>
          </w:tcPr>
          <w:p>
            <w:pPr>
              <w:spacing w:after="0"/>
              <w:rPr>
                <w:sz w:val="1"/>
                <w:szCs w:val="1"/>
                <w:color w:val="auto"/>
              </w:rPr>
            </w:pPr>
          </w:p>
        </w:tc>
      </w:tr>
      <w:tr>
        <w:trPr>
          <w:trHeight w:val="84"/>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80" w:type="dxa"/>
            <w:vAlign w:val="bottom"/>
            <w:vMerge w:val="continue"/>
          </w:tcPr>
          <w:p>
            <w:pPr>
              <w:spacing w:after="0"/>
              <w:rPr>
                <w:sz w:val="12"/>
                <w:szCs w:val="12"/>
                <w:color w:val="auto"/>
              </w:rPr>
            </w:pP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rPr>
              <w:t>By executing this document, the signatories warrant that the</w:t>
            </w:r>
          </w:p>
        </w:tc>
        <w:tc>
          <w:tcPr>
            <w:tcW w:w="0" w:type="dxa"/>
            <w:vAlign w:val="bottom"/>
          </w:tcPr>
          <w:p>
            <w:pPr>
              <w:spacing w:after="0"/>
              <w:rPr>
                <w:sz w:val="1"/>
                <w:szCs w:val="1"/>
                <w:color w:val="auto"/>
              </w:rPr>
            </w:pPr>
          </w:p>
        </w:tc>
      </w:tr>
      <w:tr>
        <w:trPr>
          <w:trHeight w:val="80"/>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80" w:type="dxa"/>
            <w:vAlign w:val="bottom"/>
            <w:vMerge w:val="continue"/>
          </w:tcPr>
          <w:p>
            <w:pPr>
              <w:spacing w:after="0"/>
              <w:rPr>
                <w:sz w:val="11"/>
                <w:szCs w:val="11"/>
                <w:color w:val="auto"/>
              </w:rPr>
            </w:pP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w w:val="93"/>
              </w:rPr>
              <w:t>signatories are duly authorised to execute this document on behalf</w:t>
            </w:r>
          </w:p>
        </w:tc>
        <w:tc>
          <w:tcPr>
            <w:tcW w:w="0" w:type="dxa"/>
            <w:vAlign w:val="bottom"/>
          </w:tcPr>
          <w:p>
            <w:pPr>
              <w:spacing w:after="0"/>
              <w:rPr>
                <w:sz w:val="1"/>
                <w:szCs w:val="1"/>
                <w:color w:val="auto"/>
              </w:rPr>
            </w:pPr>
          </w:p>
        </w:tc>
      </w:tr>
      <w:tr>
        <w:trPr>
          <w:trHeight w:val="80"/>
        </w:trPr>
        <w:tc>
          <w:tcPr>
            <w:tcW w:w="180" w:type="dxa"/>
            <w:vAlign w:val="bottom"/>
          </w:tcPr>
          <w:p>
            <w:pPr>
              <w:spacing w:after="0"/>
              <w:rPr>
                <w:sz w:val="6"/>
                <w:szCs w:val="6"/>
                <w:color w:val="auto"/>
              </w:rPr>
            </w:pPr>
          </w:p>
        </w:tc>
        <w:tc>
          <w:tcPr>
            <w:tcW w:w="5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of SNITA HOLDING B.V.</w:t>
            </w:r>
          </w:p>
        </w:tc>
        <w:tc>
          <w:tcPr>
            <w:tcW w:w="0" w:type="dxa"/>
            <w:vAlign w:val="bottom"/>
          </w:tcPr>
          <w:p>
            <w:pPr>
              <w:spacing w:after="0"/>
              <w:rPr>
                <w:sz w:val="1"/>
                <w:szCs w:val="1"/>
                <w:color w:val="auto"/>
              </w:rPr>
            </w:pPr>
          </w:p>
        </w:tc>
      </w:tr>
    </w:tbl>
    <w:p>
      <w:pPr>
        <w:spacing w:after="0" w:line="1500" w:lineRule="exact"/>
        <w:rPr>
          <w:sz w:val="20"/>
          <w:szCs w:val="20"/>
          <w:color w:val="auto"/>
        </w:rPr>
      </w:pPr>
    </w:p>
    <w:p>
      <w:pPr>
        <w:sectPr>
          <w:pgSz w:w="11900" w:h="16838" w:orient="portrait"/>
          <w:cols w:equalWidth="0" w:num="2">
            <w:col w:w="5420" w:space="320"/>
            <w:col w:w="5280"/>
          </w:cols>
          <w:pgMar w:left="440" w:top="274"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Acknowledgement Agreement to the Shareholders Agreement</w:t>
      </w:r>
      <w:r>
        <w:rPr>
          <w:rFonts w:ascii="Arial" w:cs="Arial" w:eastAsia="Arial" w:hAnsi="Arial"/>
          <w:sz w:val="16"/>
          <w:szCs w:val="16"/>
          <w:color w:val="auto"/>
        </w:rPr>
        <w:t>)</w:t>
      </w:r>
    </w:p>
    <w:p>
      <w:pPr>
        <w:sectPr>
          <w:pgSz w:w="11900" w:h="16838" w:orient="portrait"/>
          <w:cols w:equalWidth="0" w:num="1">
            <w:col w:w="11020"/>
          </w:cols>
          <w:pgMar w:left="440" w:top="274" w:right="4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Party below have executed this Agreement as of the date first above written.</w:t>
      </w:r>
    </w:p>
    <w:p>
      <w:pPr>
        <w:sectPr>
          <w:pgSz w:w="11900" w:h="16838" w:orient="portrait"/>
          <w:cols w:equalWidth="0" w:num="1">
            <w:col w:w="11020"/>
          </w:cols>
          <w:pgMar w:left="440" w:top="274" w:right="439" w:bottom="1440" w:gutter="0" w:footer="0" w:header="0"/>
        </w:sectPr>
      </w:pPr>
    </w:p>
    <w:p>
      <w:pPr>
        <w:spacing w:after="0" w:line="271"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 xml:space="preserve">for and on behalf of </w:t>
      </w:r>
      <w:r>
        <w:rPr>
          <w:sz w:val="1"/>
          <w:szCs w:val="1"/>
          <w:color w:val="auto"/>
        </w:rPr>
        <w:drawing>
          <wp:inline distT="0" distB="0" distL="0" distR="0">
            <wp:extent cx="1243330" cy="10287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43330" cy="102870"/>
                    </a:xfrm>
                    <a:prstGeom prst="rect">
                      <a:avLst/>
                    </a:prstGeom>
                    <a:noFill/>
                    <a:ln>
                      <a:noFill/>
                    </a:ln>
                  </pic:spPr>
                </pic:pic>
              </a:graphicData>
            </a:graphic>
          </wp:inline>
        </w:drawing>
      </w:r>
      <w:r>
        <w:rPr>
          <w:rFonts w:ascii="Arial" w:cs="Arial" w:eastAsia="Arial" w:hAnsi="Arial"/>
          <w:sz w:val="17"/>
          <w:szCs w:val="17"/>
          <w:b w:val="1"/>
          <w:bCs w:val="1"/>
          <w:color w:val="auto"/>
        </w:rPr>
        <w:t xml:space="preserve"> ZHEJIANG GEELY HOLDING GROUP CO., LTD.</w:t>
      </w:r>
      <w:r>
        <w:rPr>
          <w:rFonts w:ascii="Arial" w:cs="Arial" w:eastAsia="Arial" w:hAnsi="Arial"/>
          <w:sz w:val="17"/>
          <w:szCs w:val="17"/>
          <w:color w:val="auto"/>
        </w:rPr>
        <w:t>, a company incorporated in PRC</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 xml:space="preserve">LI Shufu ( </w:t>
      </w:r>
      <w:r>
        <w:rPr>
          <w:sz w:val="1"/>
          <w:szCs w:val="1"/>
          <w:color w:val="auto"/>
        </w:rPr>
        <w:drawing>
          <wp:inline distT="0" distB="0" distL="0" distR="0">
            <wp:extent cx="308610" cy="102870"/>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08610" cy="102870"/>
                    </a:xfrm>
                    <a:prstGeom prst="rect">
                      <a:avLst/>
                    </a:prstGeom>
                    <a:noFill/>
                    <a:ln>
                      <a:noFill/>
                    </a:ln>
                  </pic:spPr>
                </pic:pic>
              </a:graphicData>
            </a:graphic>
          </wp:inline>
        </w:drawing>
      </w:r>
      <w:r>
        <w:rPr>
          <w:rFonts w:ascii="Arial" w:cs="Arial" w:eastAsia="Arial" w:hAnsi="Arial"/>
          <w:sz w:val="18"/>
          <w:szCs w:val="18"/>
          <w:b w:val="1"/>
          <w:bCs w:val="1"/>
          <w:color w:val="auto"/>
        </w:rPr>
        <w:t xml:space="preserve"> )</w:t>
      </w:r>
      <w:r>
        <w:rPr>
          <w:rFonts w:ascii="Arial" w:cs="Arial" w:eastAsia="Arial" w:hAnsi="Arial"/>
          <w:sz w:val="18"/>
          <w:szCs w:val="18"/>
          <w:color w:val="auto"/>
        </w:rPr>
        <w:t>, being a Person who, in accordance with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or regulations of that place, is acting under the authority of such company, in the presence 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Yimin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058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Yimin Chen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Contact details for the purpose of Section 9 of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and Tel No.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ind w:left="327" w:hanging="327"/>
        <w:spacing w:after="0"/>
        <w:tabs>
          <w:tab w:leader="none" w:pos="327"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Official seal of </w:t>
      </w:r>
      <w:r>
        <w:rPr>
          <w:rFonts w:ascii="Arial" w:cs="Arial" w:eastAsia="Arial" w:hAnsi="Arial"/>
          <w:sz w:val="1"/>
          <w:szCs w:val="1"/>
          <w:color w:val="auto"/>
        </w:rPr>
        <w:drawing>
          <wp:inline distT="0" distB="0" distL="0" distR="0">
            <wp:extent cx="1243330" cy="102870"/>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43330" cy="102870"/>
                    </a:xfrm>
                    <a:prstGeom prst="rect">
                      <a:avLst/>
                    </a:prstGeom>
                    <a:noFill/>
                    <a:ln>
                      <a:noFill/>
                    </a:ln>
                  </pic:spPr>
                </pic:pic>
              </a:graphicData>
            </a:graphic>
          </wp:inline>
        </w:drawing>
      </w:r>
      <w:r>
        <w:rPr>
          <w:rFonts w:ascii="Arial" w:cs="Arial" w:eastAsia="Arial" w:hAnsi="Arial"/>
          <w:sz w:val="17"/>
          <w:szCs w:val="17"/>
          <w:color w:val="auto"/>
        </w:rPr>
        <w:t xml:space="preserve"> Zhejiang Geely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-124460</wp:posOffset>
            </wp:positionV>
            <wp:extent cx="31457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327" w:hanging="327"/>
        <w:spacing w:after="0"/>
        <w:tabs>
          <w:tab w:leader="none" w:pos="327"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Group Co., Ltd.</w:t>
      </w:r>
    </w:p>
    <w:p>
      <w:pPr>
        <w:spacing w:after="0"/>
        <w:tabs>
          <w:tab w:leader="none" w:pos="0" w:val="left"/>
        </w:tabs>
        <w:numPr>
          <w:ilvl w:val="0"/>
          <w:numId w:val="47"/>
        </w:numPr>
        <w:rPr>
          <w:rFonts w:ascii="Arial" w:cs="Arial" w:eastAsia="Arial" w:hAnsi="Arial"/>
          <w:sz w:val="18"/>
          <w:szCs w:val="18"/>
          <w:color w:val="auto"/>
        </w:rPr>
      </w:pPr>
    </w:p>
    <w:p>
      <w:pPr>
        <w:spacing w:after="0" w:line="7" w:lineRule="exact"/>
        <w:rPr>
          <w:rFonts w:ascii="Arial" w:cs="Arial" w:eastAsia="Arial" w:hAnsi="Arial"/>
          <w:sz w:val="18"/>
          <w:szCs w:val="18"/>
          <w:color w:val="auto"/>
        </w:rPr>
      </w:pPr>
    </w:p>
    <w:p>
      <w:pPr>
        <w:spacing w:after="0"/>
        <w:tabs>
          <w:tab w:leader="none" w:pos="0" w:val="left"/>
        </w:tabs>
        <w:numPr>
          <w:ilvl w:val="0"/>
          <w:numId w:val="47"/>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47"/>
        </w:numPr>
        <w:rPr>
          <w:rFonts w:ascii="Arial" w:cs="Arial" w:eastAsia="Arial" w:hAnsi="Arial"/>
          <w:sz w:val="18"/>
          <w:szCs w:val="18"/>
          <w:color w:val="auto"/>
        </w:rPr>
      </w:pPr>
    </w:p>
    <w:p>
      <w:pPr>
        <w:ind w:left="327" w:hanging="327"/>
        <w:spacing w:after="0" w:line="181" w:lineRule="auto"/>
        <w:tabs>
          <w:tab w:leader="none" w:pos="327" w:val="left"/>
        </w:tabs>
        <w:numPr>
          <w:ilvl w:val="0"/>
          <w:numId w:val="48"/>
        </w:numPr>
        <w:rPr>
          <w:rFonts w:ascii="Arial" w:cs="Arial" w:eastAsia="Arial" w:hAnsi="Arial"/>
          <w:sz w:val="26"/>
          <w:szCs w:val="26"/>
          <w:color w:val="auto"/>
          <w:vertAlign w:val="superscript"/>
        </w:rPr>
      </w:pPr>
      <w:r>
        <w:rPr>
          <w:rFonts w:ascii="Arial" w:cs="Arial" w:eastAsia="Arial" w:hAnsi="Arial"/>
          <w:sz w:val="15"/>
          <w:szCs w:val="15"/>
          <w:color w:val="auto"/>
        </w:rPr>
        <w:t>/s/ Shufu Li</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52"/>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vMerge w:val="continue"/>
          </w:tcPr>
          <w:p>
            <w:pPr>
              <w:spacing w:after="0"/>
              <w:rPr>
                <w:sz w:val="11"/>
                <w:szCs w:val="11"/>
                <w:color w:val="auto"/>
              </w:rPr>
            </w:pP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Signature of SHUFU LI ()</w:t>
            </w:r>
          </w:p>
        </w:tc>
        <w:tc>
          <w:tcPr>
            <w:tcW w:w="0" w:type="dxa"/>
            <w:vAlign w:val="bottom"/>
          </w:tcPr>
          <w:p>
            <w:pPr>
              <w:spacing w:after="0"/>
              <w:rPr>
                <w:sz w:val="1"/>
                <w:szCs w:val="1"/>
                <w:color w:val="auto"/>
              </w:rPr>
            </w:pPr>
          </w:p>
        </w:tc>
      </w:tr>
      <w:tr>
        <w:trPr>
          <w:trHeight w:val="96"/>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rPr>
              <w:t>By executing this document, the signatory warrants that the</w:t>
            </w:r>
          </w:p>
        </w:tc>
        <w:tc>
          <w:tcPr>
            <w:tcW w:w="0" w:type="dxa"/>
            <w:vAlign w:val="bottom"/>
          </w:tcPr>
          <w:p>
            <w:pPr>
              <w:spacing w:after="0"/>
              <w:rPr>
                <w:sz w:val="1"/>
                <w:szCs w:val="1"/>
                <w:color w:val="auto"/>
              </w:rPr>
            </w:pPr>
          </w:p>
        </w:tc>
      </w:tr>
      <w:tr>
        <w:trPr>
          <w:trHeight w:val="94"/>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vMerge w:val="continue"/>
          </w:tcPr>
          <w:p>
            <w:pPr>
              <w:spacing w:after="0"/>
              <w:rPr>
                <w:sz w:val="10"/>
                <w:szCs w:val="10"/>
                <w:color w:val="auto"/>
              </w:rPr>
            </w:pP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w w:val="94"/>
              </w:rPr>
              <w:t>signatory is duly authorised to execute this document on behalf of</w:t>
            </w:r>
          </w:p>
        </w:tc>
        <w:tc>
          <w:tcPr>
            <w:tcW w:w="0" w:type="dxa"/>
            <w:vAlign w:val="bottom"/>
          </w:tcPr>
          <w:p>
            <w:pPr>
              <w:spacing w:after="0"/>
              <w:rPr>
                <w:sz w:val="1"/>
                <w:szCs w:val="1"/>
                <w:color w:val="auto"/>
              </w:rPr>
            </w:pPr>
          </w:p>
        </w:tc>
      </w:tr>
      <w:tr>
        <w:trPr>
          <w:trHeight w:val="94"/>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960" w:type="dxa"/>
            <w:vAlign w:val="bottom"/>
          </w:tcPr>
          <w:p>
            <w:pPr>
              <w:ind w:left="2040"/>
              <w:spacing w:after="0" w:line="138" w:lineRule="exact"/>
              <w:rPr>
                <w:sz w:val="20"/>
                <w:szCs w:val="20"/>
                <w:color w:val="auto"/>
              </w:rPr>
            </w:pPr>
            <w:r>
              <w:rPr>
                <w:rFonts w:ascii="Arial" w:cs="Arial" w:eastAsia="Arial" w:hAnsi="Arial"/>
                <w:sz w:val="15"/>
                <w:szCs w:val="15"/>
                <w:color w:val="auto"/>
              </w:rPr>
              <w:t>ZHEJIANG GEELY HOLDING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-643255</wp:posOffset>
            </wp:positionV>
            <wp:extent cx="308610" cy="1028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08610" cy="10287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-77470</wp:posOffset>
            </wp:positionV>
            <wp:extent cx="1259840" cy="1028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59840" cy="102870"/>
                    </a:xfrm>
                    <a:prstGeom prst="rect">
                      <a:avLst/>
                    </a:prstGeom>
                    <a:noFill/>
                  </pic:spPr>
                </pic:pic>
              </a:graphicData>
            </a:graphic>
          </wp:anchor>
        </w:drawing>
      </w:r>
    </w:p>
    <w:p>
      <w:pPr>
        <w:ind w:left="327" w:hanging="327"/>
        <w:spacing w:after="0" w:line="184" w:lineRule="auto"/>
        <w:tabs>
          <w:tab w:leader="none" w:pos="327" w:val="left"/>
        </w:tabs>
        <w:numPr>
          <w:ilvl w:val="0"/>
          <w:numId w:val="49"/>
        </w:numPr>
        <w:rPr>
          <w:rFonts w:ascii="Arial" w:cs="Arial" w:eastAsia="Arial" w:hAnsi="Arial"/>
          <w:sz w:val="35"/>
          <w:szCs w:val="35"/>
          <w:color w:val="auto"/>
          <w:vertAlign w:val="superscript"/>
        </w:rPr>
      </w:pPr>
      <w:r>
        <w:rPr>
          <w:rFonts w:ascii="Arial" w:cs="Arial" w:eastAsia="Arial" w:hAnsi="Arial"/>
          <w:sz w:val="18"/>
          <w:szCs w:val="18"/>
          <w:color w:val="auto"/>
        </w:rPr>
        <w:t>GROUP CO., LTD.</w:t>
      </w:r>
    </w:p>
    <w:p>
      <w:pPr>
        <w:spacing w:after="0" w:line="1743" w:lineRule="exact"/>
        <w:rPr>
          <w:sz w:val="20"/>
          <w:szCs w:val="20"/>
          <w:color w:val="auto"/>
        </w:rPr>
      </w:pPr>
    </w:p>
    <w:p>
      <w:pPr>
        <w:sectPr>
          <w:pgSz w:w="11900" w:h="16838" w:orient="portrait"/>
          <w:cols w:equalWidth="0" w:num="2">
            <w:col w:w="5460" w:space="273"/>
            <w:col w:w="5287"/>
          </w:cols>
          <w:pgMar w:left="440" w:top="274"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Acknowledgement Agreement to the Shareholders Agreement</w:t>
      </w:r>
      <w:r>
        <w:rPr>
          <w:rFonts w:ascii="Arial" w:cs="Arial" w:eastAsia="Arial" w:hAnsi="Arial"/>
          <w:sz w:val="16"/>
          <w:szCs w:val="16"/>
          <w:color w:val="auto"/>
        </w:rPr>
        <w:t>)</w:t>
      </w:r>
    </w:p>
    <w:p>
      <w:pPr>
        <w:sectPr>
          <w:pgSz w:w="11900" w:h="16838" w:orient="portrait"/>
          <w:cols w:equalWidth="0" w:num="1">
            <w:col w:w="11020"/>
          </w:cols>
          <w:pgMar w:left="440" w:top="274" w:right="4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Party below have executed this Agreement as of the date first above written.</w:t>
      </w:r>
    </w:p>
    <w:p>
      <w:pPr>
        <w:sectPr>
          <w:pgSz w:w="11900" w:h="16838" w:orient="portrait"/>
          <w:cols w:equalWidth="0" w:num="1">
            <w:col w:w="11020"/>
          </w:cols>
          <w:pgMar w:left="440" w:top="274" w:right="439" w:bottom="1440" w:gutter="0" w:footer="0" w:header="0"/>
        </w:sectPr>
      </w:pPr>
    </w:p>
    <w:p>
      <w:pPr>
        <w:spacing w:after="0" w:line="271"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for and on behalf of</w:t>
      </w:r>
      <w:r>
        <w:rPr>
          <w:rFonts w:ascii="Arial" w:cs="Arial" w:eastAsia="Arial" w:hAnsi="Arial"/>
          <w:sz w:val="17"/>
          <w:szCs w:val="17"/>
          <w:b w:val="1"/>
          <w:bCs w:val="1"/>
          <w:color w:val="auto"/>
        </w:rPr>
        <w:t xml:space="preserve"> PSD INVESTMENT LIMITED</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incorporated in British Virgin Islands by </w:t>
      </w:r>
      <w:r>
        <w:rPr>
          <w:rFonts w:ascii="Arial" w:cs="Arial" w:eastAsia="Arial" w:hAnsi="Arial"/>
          <w:sz w:val="17"/>
          <w:szCs w:val="17"/>
          <w:b w:val="1"/>
          <w:bCs w:val="1"/>
          <w:color w:val="auto"/>
        </w:rPr>
        <w:t>LI Shufu</w:t>
      </w:r>
      <w:r>
        <w:rPr>
          <w:rFonts w:ascii="Arial" w:cs="Arial" w:eastAsia="Arial" w:hAnsi="Arial"/>
          <w:sz w:val="17"/>
          <w:szCs w:val="17"/>
          <w:color w:val="auto"/>
        </w:rPr>
        <w:t>, being a Person who, in accordance with applicable laws or regulations of that place, is acting under the authority of such company, in the presence of:</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 Yimin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058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Yimin Chen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Contact details for the purpose of Section 9 of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and Tel No.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rPr>
              <w:t>/s/ Shufu Li</w:t>
            </w:r>
          </w:p>
        </w:tc>
        <w:tc>
          <w:tcPr>
            <w:tcW w:w="0" w:type="dxa"/>
            <w:vAlign w:val="bottom"/>
          </w:tcPr>
          <w:p>
            <w:pPr>
              <w:spacing w:after="0"/>
              <w:rPr>
                <w:sz w:val="1"/>
                <w:szCs w:val="1"/>
                <w:color w:val="auto"/>
              </w:rPr>
            </w:pPr>
          </w:p>
        </w:tc>
      </w:tr>
      <w:tr>
        <w:trPr>
          <w:trHeight w:val="95"/>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0" w:type="dxa"/>
            <w:vAlign w:val="bottom"/>
            <w:vMerge w:val="continue"/>
          </w:tcPr>
          <w:p>
            <w:pPr>
              <w:spacing w:after="0"/>
              <w:rPr>
                <w:sz w:val="10"/>
                <w:szCs w:val="10"/>
                <w:color w:val="auto"/>
              </w:rPr>
            </w:pPr>
          </w:p>
        </w:tc>
        <w:tc>
          <w:tcPr>
            <w:tcW w:w="5100" w:type="dxa"/>
            <w:vAlign w:val="bottom"/>
            <w:gridSpan w:val="2"/>
            <w:vMerge w:val="restart"/>
          </w:tcPr>
          <w:p>
            <w:pPr>
              <w:ind w:left="140"/>
              <w:spacing w:after="0" w:line="195" w:lineRule="exact"/>
              <w:rPr>
                <w:sz w:val="20"/>
                <w:szCs w:val="20"/>
                <w:color w:val="auto"/>
              </w:rPr>
            </w:pPr>
            <w:r>
              <w:rPr>
                <w:rFonts w:ascii="Arial" w:cs="Arial" w:eastAsia="Arial" w:hAnsi="Arial"/>
                <w:sz w:val="18"/>
                <w:szCs w:val="18"/>
                <w:color w:val="auto"/>
              </w:rPr>
              <w:t>By executing this document, the signatory warrants that the</w:t>
            </w:r>
          </w:p>
        </w:tc>
        <w:tc>
          <w:tcPr>
            <w:tcW w:w="0" w:type="dxa"/>
            <w:vAlign w:val="bottom"/>
          </w:tcPr>
          <w:p>
            <w:pPr>
              <w:spacing w:after="0"/>
              <w:rPr>
                <w:sz w:val="1"/>
                <w:szCs w:val="1"/>
                <w:color w:val="auto"/>
              </w:rPr>
            </w:pPr>
          </w:p>
        </w:tc>
      </w:tr>
      <w:tr>
        <w:trPr>
          <w:trHeight w:val="80"/>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80" w:type="dxa"/>
            <w:vAlign w:val="bottom"/>
            <w:vMerge w:val="continue"/>
          </w:tcPr>
          <w:p>
            <w:pPr>
              <w:spacing w:after="0"/>
              <w:rPr>
                <w:sz w:val="10"/>
                <w:szCs w:val="10"/>
                <w:color w:val="auto"/>
              </w:rPr>
            </w:pP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w w:val="94"/>
              </w:rPr>
              <w:t>signatory is duly authorised to execute this document on behalf of</w:t>
            </w:r>
          </w:p>
        </w:tc>
        <w:tc>
          <w:tcPr>
            <w:tcW w:w="0" w:type="dxa"/>
            <w:vAlign w:val="bottom"/>
          </w:tcPr>
          <w:p>
            <w:pPr>
              <w:spacing w:after="0"/>
              <w:rPr>
                <w:sz w:val="1"/>
                <w:szCs w:val="1"/>
                <w:color w:val="auto"/>
              </w:rPr>
            </w:pPr>
          </w:p>
        </w:tc>
      </w:tr>
      <w:tr>
        <w:trPr>
          <w:trHeight w:val="95"/>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80" w:type="dxa"/>
            <w:vAlign w:val="bottom"/>
            <w:vMerge w:val="continue"/>
          </w:tcPr>
          <w:p>
            <w:pPr>
              <w:spacing w:after="0"/>
              <w:rPr>
                <w:sz w:val="11"/>
                <w:szCs w:val="11"/>
                <w:color w:val="auto"/>
              </w:rPr>
            </w:pP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rPr>
              <w:t>PSD Investment Limited</w:t>
            </w:r>
          </w:p>
        </w:tc>
        <w:tc>
          <w:tcPr>
            <w:tcW w:w="0" w:type="dxa"/>
            <w:vAlign w:val="bottom"/>
          </w:tcPr>
          <w:p>
            <w:pPr>
              <w:spacing w:after="0"/>
              <w:rPr>
                <w:sz w:val="1"/>
                <w:szCs w:val="1"/>
                <w:color w:val="auto"/>
              </w:rPr>
            </w:pPr>
          </w:p>
        </w:tc>
      </w:tr>
      <w:tr>
        <w:trPr>
          <w:trHeight w:val="94"/>
        </w:trPr>
        <w:tc>
          <w:tcPr>
            <w:tcW w:w="180" w:type="dxa"/>
            <w:vAlign w:val="bottom"/>
          </w:tcPr>
          <w:p>
            <w:pPr>
              <w:spacing w:after="0"/>
              <w:rPr>
                <w:sz w:val="8"/>
                <w:szCs w:val="8"/>
                <w:color w:val="auto"/>
              </w:rPr>
            </w:pPr>
          </w:p>
        </w:tc>
        <w:tc>
          <w:tcPr>
            <w:tcW w:w="5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500" w:lineRule="exact"/>
        <w:rPr>
          <w:sz w:val="20"/>
          <w:szCs w:val="20"/>
          <w:color w:val="auto"/>
        </w:rPr>
      </w:pPr>
    </w:p>
    <w:p>
      <w:pPr>
        <w:sectPr>
          <w:pgSz w:w="11900" w:h="16838" w:orient="portrait"/>
          <w:cols w:equalWidth="0" w:num="2">
            <w:col w:w="5500" w:space="240"/>
            <w:col w:w="5280"/>
          </w:cols>
          <w:pgMar w:left="440" w:top="274"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Acknowledgement Agreement to the Shareholders Agreement</w:t>
      </w:r>
      <w:r>
        <w:rPr>
          <w:rFonts w:ascii="Arial" w:cs="Arial" w:eastAsia="Arial" w:hAnsi="Arial"/>
          <w:sz w:val="16"/>
          <w:szCs w:val="16"/>
          <w:color w:val="auto"/>
        </w:rPr>
        <w:t>)</w:t>
      </w:r>
    </w:p>
    <w:p>
      <w:pPr>
        <w:sectPr>
          <w:pgSz w:w="11900" w:h="16838" w:orient="portrait"/>
          <w:cols w:equalWidth="0" w:num="1">
            <w:col w:w="11020"/>
          </w:cols>
          <w:pgMar w:left="440" w:top="274" w:right="4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Party below have executed this Agreement as of the date first above written.</w:t>
      </w:r>
    </w:p>
    <w:p>
      <w:pPr>
        <w:sectPr>
          <w:pgSz w:w="11900" w:h="16838" w:orient="portrait"/>
          <w:cols w:equalWidth="0" w:num="1">
            <w:col w:w="10820"/>
          </w:cols>
          <w:pgMar w:left="440" w:top="274" w:right="639" w:bottom="1440" w:gutter="0" w:footer="0" w:header="0"/>
        </w:sectPr>
      </w:pPr>
    </w:p>
    <w:p>
      <w:pPr>
        <w:spacing w:after="0" w:line="271"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for and on behalf of</w:t>
      </w:r>
      <w:r>
        <w:rPr>
          <w:rFonts w:ascii="Arial" w:cs="Arial" w:eastAsia="Arial" w:hAnsi="Arial"/>
          <w:sz w:val="17"/>
          <w:szCs w:val="17"/>
          <w:b w:val="1"/>
          <w:bCs w:val="1"/>
          <w:color w:val="auto"/>
        </w:rPr>
        <w:t xml:space="preserve"> PSINV AB</w:t>
      </w:r>
      <w:r>
        <w:rPr>
          <w:rFonts w:ascii="Arial" w:cs="Arial" w:eastAsia="Arial" w:hAnsi="Arial"/>
          <w:sz w:val="17"/>
          <w:szCs w:val="17"/>
          <w:color w:val="auto"/>
        </w:rPr>
        <w:t>, a company incorporated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Sweden by </w:t>
      </w:r>
      <w:r>
        <w:rPr>
          <w:rFonts w:ascii="Arial" w:cs="Arial" w:eastAsia="Arial" w:hAnsi="Arial"/>
          <w:sz w:val="17"/>
          <w:szCs w:val="17"/>
          <w:b w:val="1"/>
          <w:bCs w:val="1"/>
          <w:color w:val="auto"/>
        </w:rPr>
        <w:t>FREDRIK AABEN</w:t>
      </w:r>
      <w:r>
        <w:rPr>
          <w:rFonts w:ascii="Arial" w:cs="Arial" w:eastAsia="Arial" w:hAnsi="Arial"/>
          <w:sz w:val="17"/>
          <w:szCs w:val="17"/>
          <w:color w:val="auto"/>
        </w:rPr>
        <w:t xml:space="preserve"> and </w:t>
      </w:r>
      <w:r>
        <w:rPr>
          <w:rFonts w:ascii="Arial" w:cs="Arial" w:eastAsia="Arial" w:hAnsi="Arial"/>
          <w:sz w:val="17"/>
          <w:szCs w:val="17"/>
          <w:b w:val="1"/>
          <w:bCs w:val="1"/>
          <w:color w:val="auto"/>
        </w:rPr>
        <w:t>PER ANSGAR</w:t>
      </w:r>
      <w:r>
        <w:rPr>
          <w:rFonts w:ascii="Arial" w:cs="Arial" w:eastAsia="Arial" w:hAnsi="Arial"/>
          <w:sz w:val="17"/>
          <w:szCs w:val="17"/>
          <w:color w:val="auto"/>
        </w:rPr>
        <w:t>, being Persons who, in accordance with applicable laws or regulations of that place, is acting under the authority of such company, in the presence of:</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 Rosmarie Söderbom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05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Rosmarie Söderbom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Contact details for the purpose of Section 9 of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and Tel No.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ind w:left="327" w:hanging="327"/>
        <w:spacing w:after="0"/>
        <w:tabs>
          <w:tab w:leader="none" w:pos="327" w:val="left"/>
        </w:tabs>
        <w:numPr>
          <w:ilvl w:val="0"/>
          <w:numId w:val="50"/>
        </w:numPr>
        <w:rPr>
          <w:rFonts w:ascii="Arial" w:cs="Arial" w:eastAsia="Arial" w:hAnsi="Arial"/>
          <w:sz w:val="18"/>
          <w:szCs w:val="18"/>
          <w:color w:val="auto"/>
        </w:rPr>
      </w:pPr>
      <w:r>
        <w:rPr>
          <w:rFonts w:ascii="Arial" w:cs="Arial" w:eastAsia="Arial" w:hAnsi="Arial"/>
          <w:sz w:val="18"/>
          <w:szCs w:val="18"/>
          <w:color w:val="auto"/>
        </w:rPr>
        <w:t>/s/ Fredrik Aaben</w:t>
      </w:r>
    </w:p>
    <w:p>
      <w:pPr>
        <w:ind w:left="327" w:hanging="327"/>
        <w:spacing w:after="0" w:line="180" w:lineRule="auto"/>
        <w:tabs>
          <w:tab w:leader="none" w:pos="327" w:val="left"/>
        </w:tabs>
        <w:numPr>
          <w:ilvl w:val="0"/>
          <w:numId w:val="51"/>
        </w:numPr>
        <w:rPr>
          <w:rFonts w:ascii="Arial" w:cs="Arial" w:eastAsia="Arial" w:hAnsi="Arial"/>
          <w:sz w:val="25"/>
          <w:szCs w:val="25"/>
          <w:color w:val="auto"/>
          <w:vertAlign w:val="superscript"/>
        </w:rPr>
      </w:pPr>
      <w:r>
        <w:rPr>
          <w:rFonts w:ascii="Arial" w:cs="Arial" w:eastAsia="Arial" w:hAnsi="Arial"/>
          <w:sz w:val="14"/>
          <w:szCs w:val="14"/>
          <w:color w:val="auto"/>
        </w:rPr>
        <w:t>Signature of FREDRIK AABEN</w:t>
      </w:r>
    </w:p>
    <w:p>
      <w:pPr>
        <w:spacing w:after="0"/>
        <w:tabs>
          <w:tab w:leader="none" w:pos="0" w:val="left"/>
        </w:tabs>
        <w:numPr>
          <w:ilvl w:val="0"/>
          <w:numId w:val="51"/>
        </w:numPr>
        <w:rPr>
          <w:rFonts w:ascii="Arial" w:cs="Arial" w:eastAsia="Arial" w:hAnsi="Arial"/>
          <w:sz w:val="18"/>
          <w:szCs w:val="18"/>
          <w:color w:val="auto"/>
        </w:rPr>
      </w:pPr>
    </w:p>
    <w:p>
      <w:pPr>
        <w:spacing w:after="0" w:line="7" w:lineRule="exact"/>
        <w:rPr>
          <w:rFonts w:ascii="Arial" w:cs="Arial" w:eastAsia="Arial" w:hAnsi="Arial"/>
          <w:sz w:val="18"/>
          <w:szCs w:val="18"/>
          <w:color w:val="auto"/>
        </w:rPr>
      </w:pPr>
    </w:p>
    <w:p>
      <w:pPr>
        <w:spacing w:after="0"/>
        <w:tabs>
          <w:tab w:leader="none" w:pos="0" w:val="left"/>
        </w:tabs>
        <w:numPr>
          <w:ilvl w:val="0"/>
          <w:numId w:val="5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5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51"/>
        </w:numPr>
        <w:rPr>
          <w:rFonts w:ascii="Arial" w:cs="Arial" w:eastAsia="Arial" w:hAnsi="Arial"/>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-662305</wp:posOffset>
            </wp:positionV>
            <wp:extent cx="31457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327" w:hanging="327"/>
        <w:spacing w:after="0" w:line="181" w:lineRule="auto"/>
        <w:tabs>
          <w:tab w:leader="none" w:pos="327" w:val="left"/>
        </w:tabs>
        <w:numPr>
          <w:ilvl w:val="0"/>
          <w:numId w:val="52"/>
        </w:numPr>
        <w:rPr>
          <w:rFonts w:ascii="Arial" w:cs="Arial" w:eastAsia="Arial" w:hAnsi="Arial"/>
          <w:sz w:val="26"/>
          <w:szCs w:val="26"/>
          <w:color w:val="auto"/>
          <w:vertAlign w:val="superscript"/>
        </w:rPr>
      </w:pPr>
      <w:r>
        <w:rPr>
          <w:rFonts w:ascii="Arial" w:cs="Arial" w:eastAsia="Arial" w:hAnsi="Arial"/>
          <w:sz w:val="15"/>
          <w:szCs w:val="15"/>
          <w:color w:val="auto"/>
        </w:rPr>
        <w:t>/s/ Per Ansgar</w:t>
      </w:r>
    </w:p>
    <w:p>
      <w:pPr>
        <w:ind w:left="327" w:hanging="327"/>
        <w:spacing w:after="0" w:line="181" w:lineRule="auto"/>
        <w:tabs>
          <w:tab w:leader="none" w:pos="327" w:val="left"/>
        </w:tabs>
        <w:numPr>
          <w:ilvl w:val="0"/>
          <w:numId w:val="53"/>
        </w:numPr>
        <w:rPr>
          <w:rFonts w:ascii="Arial" w:cs="Arial" w:eastAsia="Arial" w:hAnsi="Arial"/>
          <w:sz w:val="25"/>
          <w:szCs w:val="25"/>
          <w:color w:val="auto"/>
          <w:vertAlign w:val="superscript"/>
        </w:rPr>
      </w:pPr>
      <w:r>
        <w:rPr>
          <w:rFonts w:ascii="Arial" w:cs="Arial" w:eastAsia="Arial" w:hAnsi="Arial"/>
          <w:sz w:val="14"/>
          <w:szCs w:val="14"/>
          <w:color w:val="auto"/>
        </w:rPr>
        <w:t>Signature of PER ANSGAR</w:t>
      </w:r>
    </w:p>
    <w:p>
      <w:pPr>
        <w:spacing w:after="0"/>
        <w:tabs>
          <w:tab w:leader="none" w:pos="0" w:val="left"/>
        </w:tabs>
        <w:numPr>
          <w:ilvl w:val="0"/>
          <w:numId w:val="53"/>
        </w:numPr>
        <w:rPr>
          <w:rFonts w:ascii="Arial" w:cs="Arial" w:eastAsia="Arial" w:hAnsi="Arial"/>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-234950</wp:posOffset>
            </wp:positionV>
            <wp:extent cx="31457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tbl>
      <w:tblPr>
        <w:tblLayout w:type="fixed"/>
        <w:tblInd w:w="7" w:type="dxa"/>
        <w:tblCellMar>
          <w:top w:w="0" w:type="dxa"/>
          <w:left w:w="0" w:type="dxa"/>
          <w:bottom w:w="0" w:type="dxa"/>
          <w:right w:w="0" w:type="dxa"/>
        </w:tblCellMar>
      </w:tblPr>
      <w:tr>
        <w:trPr>
          <w:trHeight w:val="202"/>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vMerge w:val="restart"/>
          </w:tcPr>
          <w:p>
            <w:pPr>
              <w:ind w:left="140"/>
              <w:spacing w:after="0"/>
              <w:rPr>
                <w:sz w:val="20"/>
                <w:szCs w:val="20"/>
                <w:color w:val="auto"/>
              </w:rPr>
            </w:pPr>
            <w:r>
              <w:rPr>
                <w:rFonts w:ascii="Arial" w:cs="Arial" w:eastAsia="Arial" w:hAnsi="Arial"/>
                <w:sz w:val="18"/>
                <w:szCs w:val="18"/>
                <w:color w:val="auto"/>
                <w:w w:val="99"/>
              </w:rPr>
              <w:t>By executing this document, the signatories warrant that the</w:t>
            </w:r>
          </w:p>
        </w:tc>
        <w:tc>
          <w:tcPr>
            <w:tcW w:w="0" w:type="dxa"/>
            <w:vAlign w:val="bottom"/>
          </w:tcPr>
          <w:p>
            <w:pPr>
              <w:spacing w:after="0"/>
              <w:rPr>
                <w:sz w:val="1"/>
                <w:szCs w:val="1"/>
                <w:color w:val="auto"/>
              </w:rPr>
            </w:pPr>
          </w:p>
        </w:tc>
      </w:tr>
      <w:tr>
        <w:trPr>
          <w:trHeight w:val="94"/>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4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80" w:type="dxa"/>
            <w:vAlign w:val="bottom"/>
            <w:vMerge w:val="continue"/>
          </w:tcPr>
          <w:p>
            <w:pPr>
              <w:spacing w:after="0"/>
              <w:rPr>
                <w:sz w:val="11"/>
                <w:szCs w:val="11"/>
                <w:color w:val="auto"/>
              </w:rPr>
            </w:pPr>
          </w:p>
        </w:tc>
        <w:tc>
          <w:tcPr>
            <w:tcW w:w="4900" w:type="dxa"/>
            <w:vAlign w:val="bottom"/>
          </w:tcPr>
          <w:p>
            <w:pPr>
              <w:ind w:left="140"/>
              <w:spacing w:after="0" w:line="138" w:lineRule="exact"/>
              <w:rPr>
                <w:sz w:val="20"/>
                <w:szCs w:val="20"/>
                <w:color w:val="auto"/>
              </w:rPr>
            </w:pPr>
            <w:r>
              <w:rPr>
                <w:rFonts w:ascii="Arial" w:cs="Arial" w:eastAsia="Arial" w:hAnsi="Arial"/>
                <w:sz w:val="15"/>
                <w:szCs w:val="15"/>
                <w:color w:val="auto"/>
              </w:rPr>
              <w:t>signatories are duly authorised to execute this document on behalf</w:t>
            </w:r>
          </w:p>
        </w:tc>
        <w:tc>
          <w:tcPr>
            <w:tcW w:w="0" w:type="dxa"/>
            <w:vAlign w:val="bottom"/>
          </w:tcPr>
          <w:p>
            <w:pPr>
              <w:spacing w:after="0"/>
              <w:rPr>
                <w:sz w:val="1"/>
                <w:szCs w:val="1"/>
                <w:color w:val="auto"/>
              </w:rPr>
            </w:pPr>
          </w:p>
        </w:tc>
      </w:tr>
    </w:tbl>
    <w:p>
      <w:pPr>
        <w:ind w:left="327" w:hanging="327"/>
        <w:spacing w:after="0" w:line="184" w:lineRule="auto"/>
        <w:tabs>
          <w:tab w:leader="none" w:pos="327" w:val="left"/>
        </w:tabs>
        <w:numPr>
          <w:ilvl w:val="0"/>
          <w:numId w:val="54"/>
        </w:numPr>
        <w:rPr>
          <w:rFonts w:ascii="Arial" w:cs="Arial" w:eastAsia="Arial" w:hAnsi="Arial"/>
          <w:sz w:val="35"/>
          <w:szCs w:val="35"/>
          <w:color w:val="auto"/>
          <w:vertAlign w:val="superscript"/>
        </w:rPr>
      </w:pPr>
      <w:r>
        <w:rPr>
          <w:rFonts w:ascii="Arial" w:cs="Arial" w:eastAsia="Arial" w:hAnsi="Arial"/>
          <w:sz w:val="18"/>
          <w:szCs w:val="18"/>
          <w:color w:val="auto"/>
        </w:rPr>
        <w:t>of PSINV AB</w:t>
      </w:r>
    </w:p>
    <w:p>
      <w:pPr>
        <w:spacing w:after="0" w:line="1608" w:lineRule="exact"/>
        <w:rPr>
          <w:sz w:val="20"/>
          <w:szCs w:val="20"/>
          <w:color w:val="auto"/>
        </w:rPr>
      </w:pPr>
    </w:p>
    <w:p>
      <w:pPr>
        <w:sectPr>
          <w:pgSz w:w="11900" w:h="16838" w:orient="portrait"/>
          <w:cols w:equalWidth="0" w:num="2">
            <w:col w:w="5340" w:space="393"/>
            <w:col w:w="5087"/>
          </w:cols>
          <w:pgMar w:left="440" w:top="274"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Acknowledgement Agreement to the Shareholders Agreement</w:t>
      </w:r>
      <w:r>
        <w:rPr>
          <w:rFonts w:ascii="Arial" w:cs="Arial" w:eastAsia="Arial" w:hAnsi="Arial"/>
          <w:sz w:val="16"/>
          <w:szCs w:val="16"/>
          <w:color w:val="auto"/>
        </w:rPr>
        <w:t>)</w:t>
      </w:r>
    </w:p>
    <w:p>
      <w:pPr>
        <w:sectPr>
          <w:pgSz w:w="11900" w:h="16838" w:orient="portrait"/>
          <w:cols w:equalWidth="0" w:num="1">
            <w:col w:w="10820"/>
          </w:cols>
          <w:pgMar w:left="440" w:top="274" w:right="6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Party below have executed this Agreement as of the date first above written.</w:t>
      </w:r>
    </w:p>
    <w:p>
      <w:pPr>
        <w:sectPr>
          <w:pgSz w:w="11900" w:h="16838" w:orient="portrait"/>
          <w:cols w:equalWidth="0" w:num="1">
            <w:col w:w="11020"/>
          </w:cols>
          <w:pgMar w:left="440" w:top="274" w:right="43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for and on behalf of</w:t>
      </w:r>
      <w:r>
        <w:rPr>
          <w:rFonts w:ascii="Arial" w:cs="Arial" w:eastAsia="Arial" w:hAnsi="Arial"/>
          <w:sz w:val="17"/>
          <w:szCs w:val="17"/>
          <w:b w:val="1"/>
          <w:bCs w:val="1"/>
          <w:color w:val="auto"/>
        </w:rPr>
        <w:t xml:space="preserve"> POLESTAR AUTOMOTIVE HOLDING</w:t>
      </w:r>
    </w:p>
    <w:p>
      <w:pPr>
        <w:spacing w:after="0" w:line="3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 xml:space="preserve">LIMITED </w:t>
      </w:r>
      <w:r>
        <w:rPr>
          <w:sz w:val="1"/>
          <w:szCs w:val="1"/>
          <w:color w:val="auto"/>
        </w:rPr>
        <w:drawing>
          <wp:inline distT="0" distB="0" distL="0" distR="0">
            <wp:extent cx="1028700" cy="10287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28700" cy="102870"/>
                    </a:xfrm>
                    <a:prstGeom prst="rect">
                      <a:avLst/>
                    </a:prstGeom>
                    <a:noFill/>
                    <a:ln>
                      <a:noFill/>
                    </a:ln>
                  </pic:spPr>
                </pic:pic>
              </a:graphicData>
            </a:graphic>
          </wp:inline>
        </w:drawing>
      </w:r>
      <w:r>
        <w:rPr>
          <w:rFonts w:ascii="Arial" w:cs="Arial" w:eastAsia="Arial" w:hAnsi="Arial"/>
          <w:sz w:val="18"/>
          <w:szCs w:val="18"/>
          <w:color w:val="auto"/>
        </w:rPr>
        <w:t xml:space="preserve"> , by </w:t>
      </w:r>
      <w:r>
        <w:rPr>
          <w:rFonts w:ascii="Arial" w:cs="Arial" w:eastAsia="Arial" w:hAnsi="Arial"/>
          <w:sz w:val="18"/>
          <w:szCs w:val="18"/>
          <w:b w:val="1"/>
          <w:bCs w:val="1"/>
          <w:color w:val="auto"/>
        </w:rPr>
        <w:t>Lars Helge Peter DANIELSON</w:t>
      </w:r>
      <w:r>
        <w:rPr>
          <w:rFonts w:ascii="Arial" w:cs="Arial" w:eastAsia="Arial" w:hAnsi="Arial"/>
          <w:sz w:val="18"/>
          <w:szCs w:val="18"/>
          <w:color w:val="auto"/>
        </w:rPr>
        <w:t>, being a Person who is acting under the authority of the Company, in the presence 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Xinyi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058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Xinyi Zhang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505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288925</wp:posOffset>
            </wp:positionV>
            <wp:extent cx="3505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Contact details for the purpose of Section 9 of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and Tel No.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rPr>
              <w:t>/s/ Lars Danielson</w:t>
            </w:r>
          </w:p>
        </w:tc>
        <w:tc>
          <w:tcPr>
            <w:tcW w:w="0" w:type="dxa"/>
            <w:vAlign w:val="bottom"/>
          </w:tcPr>
          <w:p>
            <w:pPr>
              <w:spacing w:after="0"/>
              <w:rPr>
                <w:sz w:val="1"/>
                <w:szCs w:val="1"/>
                <w:color w:val="auto"/>
              </w:rPr>
            </w:pPr>
          </w:p>
        </w:tc>
      </w:tr>
      <w:tr>
        <w:trPr>
          <w:trHeight w:val="149"/>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180" w:type="dxa"/>
            <w:vAlign w:val="bottom"/>
            <w:vMerge w:val="continue"/>
          </w:tcPr>
          <w:p>
            <w:pPr>
              <w:spacing w:after="0"/>
              <w:rPr>
                <w:sz w:val="4"/>
                <w:szCs w:val="4"/>
                <w:color w:val="auto"/>
              </w:rPr>
            </w:pPr>
          </w:p>
        </w:tc>
        <w:tc>
          <w:tcPr>
            <w:tcW w:w="5100" w:type="dxa"/>
            <w:vAlign w:val="bottom"/>
            <w:gridSpan w:val="2"/>
            <w:vMerge w:val="restart"/>
          </w:tcPr>
          <w:p>
            <w:pPr>
              <w:ind w:left="140"/>
              <w:spacing w:after="0" w:line="195" w:lineRule="exact"/>
              <w:rPr>
                <w:sz w:val="20"/>
                <w:szCs w:val="20"/>
                <w:color w:val="auto"/>
              </w:rPr>
            </w:pPr>
            <w:r>
              <w:rPr>
                <w:rFonts w:ascii="Arial" w:cs="Arial" w:eastAsia="Arial" w:hAnsi="Arial"/>
                <w:sz w:val="18"/>
                <w:szCs w:val="18"/>
                <w:color w:val="auto"/>
              </w:rPr>
              <w:t>By executing this document, the signatory warrants that the</w:t>
            </w:r>
          </w:p>
        </w:tc>
        <w:tc>
          <w:tcPr>
            <w:tcW w:w="0" w:type="dxa"/>
            <w:vAlign w:val="bottom"/>
          </w:tcPr>
          <w:p>
            <w:pPr>
              <w:spacing w:after="0"/>
              <w:rPr>
                <w:sz w:val="1"/>
                <w:szCs w:val="1"/>
                <w:color w:val="auto"/>
              </w:rPr>
            </w:pPr>
          </w:p>
        </w:tc>
      </w:tr>
      <w:tr>
        <w:trPr>
          <w:trHeight w:val="148"/>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0" w:type="dxa"/>
            <w:vAlign w:val="bottom"/>
            <w:vMerge w:val="continue"/>
          </w:tcPr>
          <w:p>
            <w:pPr>
              <w:spacing w:after="0"/>
              <w:rPr>
                <w:sz w:val="5"/>
                <w:szCs w:val="5"/>
                <w:color w:val="auto"/>
              </w:rPr>
            </w:pP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w w:val="94"/>
              </w:rPr>
              <w:t>signatory is duly authorised to execute this document on behalf of</w:t>
            </w:r>
          </w:p>
        </w:tc>
        <w:tc>
          <w:tcPr>
            <w:tcW w:w="0" w:type="dxa"/>
            <w:vAlign w:val="bottom"/>
          </w:tcPr>
          <w:p>
            <w:pPr>
              <w:spacing w:after="0"/>
              <w:rPr>
                <w:sz w:val="1"/>
                <w:szCs w:val="1"/>
                <w:color w:val="auto"/>
              </w:rPr>
            </w:pPr>
          </w:p>
        </w:tc>
      </w:tr>
      <w:tr>
        <w:trPr>
          <w:trHeight w:val="148"/>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0" w:type="dxa"/>
            <w:vAlign w:val="bottom"/>
            <w:vMerge w:val="continue"/>
          </w:tcPr>
          <w:p>
            <w:pPr>
              <w:spacing w:after="0"/>
              <w:rPr>
                <w:sz w:val="5"/>
                <w:szCs w:val="5"/>
                <w:color w:val="auto"/>
              </w:rPr>
            </w:pP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rPr>
              <w:t>POLESTAR AUTOMOTIVE HOLDING LIMITED</w:t>
            </w:r>
          </w:p>
        </w:tc>
        <w:tc>
          <w:tcPr>
            <w:tcW w:w="0" w:type="dxa"/>
            <w:vAlign w:val="bottom"/>
          </w:tcPr>
          <w:p>
            <w:pPr>
              <w:spacing w:after="0"/>
              <w:rPr>
                <w:sz w:val="1"/>
                <w:szCs w:val="1"/>
                <w:color w:val="auto"/>
              </w:rPr>
            </w:pPr>
          </w:p>
        </w:tc>
      </w:tr>
      <w:tr>
        <w:trPr>
          <w:trHeight w:val="163"/>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9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-42545</wp:posOffset>
            </wp:positionV>
            <wp:extent cx="1028700" cy="1028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028700" cy="102870"/>
                    </a:xfrm>
                    <a:prstGeom prst="rect">
                      <a:avLst/>
                    </a:prstGeom>
                    <a:noFill/>
                  </pic:spPr>
                </pic:pic>
              </a:graphicData>
            </a:graphic>
          </wp:anchor>
        </w:drawing>
      </w:r>
    </w:p>
    <w:p>
      <w:pPr>
        <w:spacing w:after="0" w:line="1594" w:lineRule="exact"/>
        <w:rPr>
          <w:sz w:val="20"/>
          <w:szCs w:val="20"/>
          <w:color w:val="auto"/>
        </w:rPr>
      </w:pPr>
    </w:p>
    <w:p>
      <w:pPr>
        <w:sectPr>
          <w:pgSz w:w="11900" w:h="16838" w:orient="portrait"/>
          <w:cols w:equalWidth="0" w:num="2">
            <w:col w:w="5380" w:space="360"/>
            <w:col w:w="5280"/>
          </w:cols>
          <w:pgMar w:left="440" w:top="274"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Acknowledgement Agreement to the Shareholders Agreement</w:t>
      </w:r>
      <w:r>
        <w:rPr>
          <w:rFonts w:ascii="Arial" w:cs="Arial" w:eastAsia="Arial" w:hAnsi="Arial"/>
          <w:sz w:val="16"/>
          <w:szCs w:val="16"/>
          <w:color w:val="auto"/>
        </w:rPr>
        <w:t>)</w:t>
      </w:r>
    </w:p>
    <w:p>
      <w:pPr>
        <w:sectPr>
          <w:pgSz w:w="11900" w:h="16838" w:orient="portrait"/>
          <w:cols w:equalWidth="0" w:num="1">
            <w:col w:w="11020"/>
          </w:cols>
          <w:pgMar w:left="440" w:top="274" w:right="4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Party below have executed this Agreement as of the date first above written.</w:t>
      </w:r>
    </w:p>
    <w:p>
      <w:pPr>
        <w:sectPr>
          <w:pgSz w:w="11900" w:h="16838" w:orient="portrait"/>
          <w:cols w:equalWidth="0" w:num="1">
            <w:col w:w="10800"/>
          </w:cols>
          <w:pgMar w:left="440" w:top="274" w:right="659" w:bottom="1440" w:gutter="0" w:footer="0" w:header="0"/>
        </w:sectPr>
      </w:pPr>
    </w:p>
    <w:p>
      <w:pPr>
        <w:spacing w:after="0" w:line="271"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 xml:space="preserve">for and on behalf of </w:t>
      </w:r>
      <w:r>
        <w:rPr>
          <w:sz w:val="1"/>
          <w:szCs w:val="1"/>
          <w:color w:val="auto"/>
        </w:rPr>
        <w:drawing>
          <wp:inline distT="0" distB="0" distL="0" distR="0">
            <wp:extent cx="1345565" cy="102870"/>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45565" cy="102870"/>
                    </a:xfrm>
                    <a:prstGeom prst="rect">
                      <a:avLst/>
                    </a:prstGeom>
                    <a:noFill/>
                    <a:ln>
                      <a:noFill/>
                    </a:ln>
                  </pic:spPr>
                </pic:pic>
              </a:graphicData>
            </a:graphic>
          </wp:inline>
        </w:drawing>
      </w:r>
      <w:r>
        <w:rPr>
          <w:rFonts w:ascii="Arial" w:cs="Arial" w:eastAsia="Arial" w:hAnsi="Arial"/>
          <w:sz w:val="17"/>
          <w:szCs w:val="17"/>
          <w:b w:val="1"/>
          <w:bCs w:val="1"/>
          <w:color w:val="auto"/>
        </w:rPr>
        <w:t xml:space="preserve"> ZIBO FINANCIAL GROUP HOLDING CO., LTD</w:t>
      </w:r>
      <w:r>
        <w:rPr>
          <w:rFonts w:ascii="Arial" w:cs="Arial" w:eastAsia="Arial" w:hAnsi="Arial"/>
          <w:sz w:val="17"/>
          <w:szCs w:val="17"/>
          <w:color w:val="auto"/>
        </w:rPr>
        <w:t>., a limited liability company</w:t>
      </w:r>
    </w:p>
    <w:p>
      <w:pPr>
        <w:spacing w:after="0" w:line="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incorporated in PRC by </w:t>
      </w:r>
      <w:r>
        <w:rPr>
          <w:rFonts w:ascii="Arial" w:cs="Arial" w:eastAsia="Arial" w:hAnsi="Arial"/>
          <w:sz w:val="16"/>
          <w:szCs w:val="16"/>
          <w:b w:val="1"/>
          <w:bCs w:val="1"/>
          <w:color w:val="auto"/>
        </w:rPr>
        <w:t xml:space="preserve">Dapeng Li ( </w:t>
      </w:r>
      <w:r>
        <w:rPr>
          <w:sz w:val="1"/>
          <w:szCs w:val="1"/>
          <w:color w:val="auto"/>
        </w:rPr>
        <w:drawing>
          <wp:inline distT="0" distB="0" distL="0" distR="0">
            <wp:extent cx="308610" cy="10287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08610" cy="102870"/>
                    </a:xfrm>
                    <a:prstGeom prst="rect">
                      <a:avLst/>
                    </a:prstGeom>
                    <a:noFill/>
                    <a:ln>
                      <a:noFill/>
                    </a:ln>
                  </pic:spPr>
                </pic:pic>
              </a:graphicData>
            </a:graphic>
          </wp:inline>
        </w:drawing>
      </w:r>
      <w:r>
        <w:rPr>
          <w:rFonts w:ascii="Arial" w:cs="Arial" w:eastAsia="Arial" w:hAnsi="Arial"/>
          <w:sz w:val="16"/>
          <w:szCs w:val="16"/>
          <w:b w:val="1"/>
          <w:bCs w:val="1"/>
          <w:color w:val="auto"/>
        </w:rPr>
        <w:t xml:space="preserve"> )</w:t>
      </w:r>
      <w:r>
        <w:rPr>
          <w:rFonts w:ascii="Arial" w:cs="Arial" w:eastAsia="Arial" w:hAnsi="Arial"/>
          <w:sz w:val="16"/>
          <w:szCs w:val="16"/>
          <w:color w:val="auto"/>
        </w:rPr>
        <w:t>, being the legal representative</w:t>
      </w:r>
      <w:r>
        <w:rPr>
          <w:rFonts w:ascii="Arial" w:cs="Arial" w:eastAsia="Arial" w:hAnsi="Arial"/>
          <w:sz w:val="16"/>
          <w:szCs w:val="16"/>
          <w:b w:val="1"/>
          <w:bCs w:val="1"/>
          <w:color w:val="auto"/>
        </w:rPr>
        <w:t xml:space="preserve"> </w:t>
      </w:r>
      <w:r>
        <w:rPr>
          <w:rFonts w:ascii="Arial" w:cs="Arial" w:eastAsia="Arial" w:hAnsi="Arial"/>
          <w:sz w:val="16"/>
          <w:szCs w:val="16"/>
          <w:color w:val="auto"/>
        </w:rPr>
        <w:t>who, in accordance with applicable laws or regulations of that place, is acting under the authority of such company, in the presence 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Xiudi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058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Xiudi Tan ( </w:t>
      </w:r>
      <w:r>
        <w:rPr>
          <w:sz w:val="1"/>
          <w:szCs w:val="1"/>
          <w:color w:val="auto"/>
        </w:rPr>
        <w:drawing>
          <wp:inline distT="0" distB="0" distL="0" distR="0">
            <wp:extent cx="308610" cy="10287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08610" cy="102870"/>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Contact details for the purpose of Section 9 of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and Tel No.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31457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327" w:hanging="327"/>
        <w:spacing w:after="0"/>
        <w:tabs>
          <w:tab w:leader="none" w:pos="3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Official seal of </w:t>
      </w:r>
      <w:r>
        <w:rPr>
          <w:rFonts w:ascii="Arial" w:cs="Arial" w:eastAsia="Arial" w:hAnsi="Arial"/>
          <w:sz w:val="1"/>
          <w:szCs w:val="1"/>
          <w:color w:val="auto"/>
        </w:rPr>
        <w:drawing>
          <wp:inline distT="0" distB="0" distL="0" distR="0">
            <wp:extent cx="1345565" cy="102870"/>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345565" cy="102870"/>
                    </a:xfrm>
                    <a:prstGeom prst="rect">
                      <a:avLst/>
                    </a:prstGeom>
                    <a:noFill/>
                    <a:ln>
                      <a:noFill/>
                    </a:ln>
                  </pic:spPr>
                </pic:pic>
              </a:graphicData>
            </a:graphic>
          </wp:inline>
        </w:drawing>
      </w:r>
      <w:r>
        <w:rPr>
          <w:rFonts w:ascii="Arial" w:cs="Arial" w:eastAsia="Arial" w:hAnsi="Arial"/>
          <w:sz w:val="18"/>
          <w:szCs w:val="18"/>
          <w:color w:val="auto"/>
        </w:rPr>
        <w:t xml:space="preserve"> Zibo Financial</w:t>
      </w:r>
    </w:p>
    <w:p>
      <w:pPr>
        <w:spacing w:after="0" w:line="9" w:lineRule="exact"/>
        <w:rPr>
          <w:rFonts w:ascii="Arial" w:cs="Arial" w:eastAsia="Arial" w:hAnsi="Arial"/>
          <w:sz w:val="18"/>
          <w:szCs w:val="18"/>
          <w:color w:val="auto"/>
        </w:rPr>
      </w:pPr>
    </w:p>
    <w:p>
      <w:pPr>
        <w:ind w:left="327" w:hanging="327"/>
        <w:spacing w:after="0"/>
        <w:tabs>
          <w:tab w:leader="none" w:pos="3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Holding Group Co., Ltd.</w:t>
      </w:r>
    </w:p>
    <w:p>
      <w:pPr>
        <w:spacing w:after="0" w:line="9" w:lineRule="exact"/>
        <w:rPr>
          <w:rFonts w:ascii="Arial" w:cs="Arial" w:eastAsia="Arial" w:hAnsi="Arial"/>
          <w:sz w:val="18"/>
          <w:szCs w:val="18"/>
          <w:color w:val="auto"/>
        </w:rPr>
      </w:pPr>
    </w:p>
    <w:p>
      <w:pPr>
        <w:spacing w:after="0"/>
        <w:tabs>
          <w:tab w:leader="none" w:pos="0" w:val="left"/>
        </w:tabs>
        <w:numPr>
          <w:ilvl w:val="0"/>
          <w:numId w:val="55"/>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55"/>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55"/>
        </w:numPr>
        <w:rPr>
          <w:rFonts w:ascii="Arial" w:cs="Arial" w:eastAsia="Arial" w:hAnsi="Arial"/>
          <w:sz w:val="18"/>
          <w:szCs w:val="18"/>
          <w:color w:val="auto"/>
        </w:rPr>
      </w:pPr>
    </w:p>
    <w:p>
      <w:pPr>
        <w:ind w:left="327" w:hanging="327"/>
        <w:spacing w:after="0"/>
        <w:tabs>
          <w:tab w:leader="none" w:pos="3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/s/ Dapeng Li</w:t>
      </w:r>
    </w:p>
    <w:p>
      <w:pPr>
        <w:spacing w:after="0" w:line="20" w:lineRule="exact"/>
        <w:rPr>
          <w:rFonts w:ascii="Arial" w:cs="Arial" w:eastAsia="Arial" w:hAnsi="Arial"/>
          <w:sz w:val="18"/>
          <w:szCs w:val="18"/>
          <w:color w:val="auto"/>
        </w:rPr>
      </w:pPr>
    </w:p>
    <w:p>
      <w:pPr>
        <w:ind w:left="327" w:hanging="327"/>
        <w:spacing w:after="0"/>
        <w:tabs>
          <w:tab w:leader="none" w:pos="3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Signature of Dapeng Li ( </w:t>
      </w:r>
      <w:r>
        <w:rPr>
          <w:rFonts w:ascii="Arial" w:cs="Arial" w:eastAsia="Arial" w:hAnsi="Arial"/>
          <w:sz w:val="1"/>
          <w:szCs w:val="1"/>
          <w:color w:val="auto"/>
        </w:rPr>
        <w:drawing>
          <wp:inline distT="0" distB="0" distL="0" distR="0">
            <wp:extent cx="308610" cy="10287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08610" cy="102870"/>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9" w:lineRule="exact"/>
        <w:rPr>
          <w:rFonts w:ascii="Arial" w:cs="Arial" w:eastAsia="Arial" w:hAnsi="Arial"/>
          <w:sz w:val="18"/>
          <w:szCs w:val="18"/>
          <w:color w:val="auto"/>
        </w:rPr>
      </w:pPr>
    </w:p>
    <w:p>
      <w:pPr>
        <w:ind w:left="327" w:hanging="327"/>
        <w:spacing w:after="0"/>
        <w:tabs>
          <w:tab w:leader="none" w:pos="3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executing this document, the signatory warrants that the</w:t>
      </w:r>
    </w:p>
    <w:p>
      <w:pPr>
        <w:spacing w:after="0" w:line="9" w:lineRule="exact"/>
        <w:rPr>
          <w:rFonts w:ascii="Arial" w:cs="Arial" w:eastAsia="Arial" w:hAnsi="Arial"/>
          <w:sz w:val="18"/>
          <w:szCs w:val="18"/>
          <w:color w:val="auto"/>
        </w:rPr>
      </w:pPr>
    </w:p>
    <w:p>
      <w:pPr>
        <w:ind w:left="327" w:hanging="327"/>
        <w:spacing w:after="0"/>
        <w:tabs>
          <w:tab w:leader="none" w:pos="327" w:val="left"/>
        </w:tabs>
        <w:numPr>
          <w:ilvl w:val="0"/>
          <w:numId w:val="55"/>
        </w:numPr>
        <w:rPr>
          <w:rFonts w:ascii="Arial" w:cs="Arial" w:eastAsia="Arial" w:hAnsi="Arial"/>
          <w:sz w:val="16"/>
          <w:szCs w:val="16"/>
          <w:color w:val="auto"/>
        </w:rPr>
      </w:pPr>
      <w:r>
        <w:rPr>
          <w:rFonts w:ascii="Arial" w:cs="Arial" w:eastAsia="Arial" w:hAnsi="Arial"/>
          <w:sz w:val="16"/>
          <w:szCs w:val="16"/>
          <w:color w:val="auto"/>
        </w:rPr>
        <w:t>signatory is duly authorised to execute this document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-398780</wp:posOffset>
            </wp:positionV>
            <wp:extent cx="31457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ind w:left="327" w:hanging="327"/>
        <w:spacing w:after="0"/>
        <w:tabs>
          <w:tab w:leader="none" w:pos="327" w:val="left"/>
        </w:tabs>
        <w:numPr>
          <w:ilvl w:val="0"/>
          <w:numId w:val="56"/>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728980" cy="102870"/>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80" cy="102870"/>
                    </a:xfrm>
                    <a:prstGeom prst="rect">
                      <a:avLst/>
                    </a:prstGeom>
                    <a:noFill/>
                    <a:ln>
                      <a:noFill/>
                    </a:ln>
                  </pic:spPr>
                </pic:pic>
              </a:graphicData>
            </a:graphic>
          </wp:inline>
        </w:drawing>
        <w:drawing>
          <wp:inline distT="0" distB="0" distL="0" distR="0">
            <wp:extent cx="617220" cy="102870"/>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17220" cy="102870"/>
                    </a:xfrm>
                    <a:prstGeom prst="rect">
                      <a:avLst/>
                    </a:prstGeom>
                    <a:noFill/>
                    <a:ln>
                      <a:noFill/>
                    </a:ln>
                  </pic:spPr>
                </pic:pic>
              </a:graphicData>
            </a:graphic>
          </wp:inline>
        </w:drawing>
      </w:r>
      <w:r>
        <w:rPr>
          <w:rFonts w:ascii="Arial" w:cs="Arial" w:eastAsia="Arial" w:hAnsi="Arial"/>
          <w:sz w:val="18"/>
          <w:szCs w:val="18"/>
          <w:color w:val="auto"/>
        </w:rPr>
        <w:t xml:space="preserve"> Zibo Financial Holding</w:t>
      </w:r>
    </w:p>
    <w:p>
      <w:pPr>
        <w:spacing w:after="0" w:line="9" w:lineRule="exact"/>
        <w:rPr>
          <w:rFonts w:ascii="Arial" w:cs="Arial" w:eastAsia="Arial" w:hAnsi="Arial"/>
          <w:sz w:val="18"/>
          <w:szCs w:val="18"/>
          <w:color w:val="auto"/>
        </w:rPr>
      </w:pPr>
    </w:p>
    <w:p>
      <w:pPr>
        <w:ind w:left="327" w:hanging="327"/>
        <w:spacing w:after="0"/>
        <w:tabs>
          <w:tab w:leader="none" w:pos="327"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Group Co., Ltd.</w:t>
      </w:r>
    </w:p>
    <w:p>
      <w:pPr>
        <w:spacing w:after="0" w:line="1617" w:lineRule="exact"/>
        <w:rPr>
          <w:sz w:val="20"/>
          <w:szCs w:val="20"/>
          <w:color w:val="auto"/>
        </w:rPr>
      </w:pPr>
    </w:p>
    <w:p>
      <w:pPr>
        <w:sectPr>
          <w:pgSz w:w="11900" w:h="16838" w:orient="portrait"/>
          <w:cols w:equalWidth="0" w:num="2">
            <w:col w:w="5500" w:space="233"/>
            <w:col w:w="5067"/>
          </w:cols>
          <w:pgMar w:left="440" w:top="274"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Acknowledgement Agreement to the Shareholders Agreement</w:t>
      </w:r>
      <w:r>
        <w:rPr>
          <w:rFonts w:ascii="Arial" w:cs="Arial" w:eastAsia="Arial" w:hAnsi="Arial"/>
          <w:sz w:val="16"/>
          <w:szCs w:val="16"/>
          <w:color w:val="auto"/>
        </w:rPr>
        <w:t>)</w:t>
      </w:r>
    </w:p>
    <w:p>
      <w:pPr>
        <w:sectPr>
          <w:pgSz w:w="11900" w:h="16838" w:orient="portrait"/>
          <w:cols w:equalWidth="0" w:num="1">
            <w:col w:w="10800"/>
          </w:cols>
          <w:pgMar w:left="440" w:top="274" w:right="65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Party below have executed this Agreement as of the date first above written.</w:t>
      </w:r>
    </w:p>
    <w:p>
      <w:pPr>
        <w:sectPr>
          <w:pgSz w:w="11900" w:h="16838" w:orient="portrait"/>
          <w:cols w:equalWidth="0" w:num="1">
            <w:col w:w="11020"/>
          </w:cols>
          <w:pgMar w:left="440" w:top="274" w:right="439" w:bottom="1440" w:gutter="0" w:footer="0" w:header="0"/>
        </w:sectPr>
      </w:pPr>
    </w:p>
    <w:p>
      <w:pPr>
        <w:spacing w:after="0" w:line="271"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 xml:space="preserve">for and on behalf of </w:t>
      </w:r>
      <w:r>
        <w:rPr>
          <w:sz w:val="1"/>
          <w:szCs w:val="1"/>
          <w:color w:val="auto"/>
        </w:rPr>
        <w:drawing>
          <wp:inline distT="0" distB="0" distL="0" distR="0">
            <wp:extent cx="1243330" cy="102870"/>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43330" cy="102870"/>
                    </a:xfrm>
                    <a:prstGeom prst="rect">
                      <a:avLst/>
                    </a:prstGeom>
                    <a:noFill/>
                    <a:ln>
                      <a:noFill/>
                    </a:ln>
                  </pic:spPr>
                </pic:pic>
              </a:graphicData>
            </a:graphic>
          </wp:inline>
        </w:drawing>
      </w:r>
      <w:r>
        <w:rPr>
          <w:rFonts w:ascii="Arial" w:cs="Arial" w:eastAsia="Arial" w:hAnsi="Arial"/>
          <w:sz w:val="17"/>
          <w:szCs w:val="17"/>
          <w:b w:val="1"/>
          <w:bCs w:val="1"/>
          <w:color w:val="auto"/>
        </w:rPr>
        <w:t xml:space="preserve"> ZIBO HIGH-TECH INDUSTRIAL INVESTMENT CO., LTD.</w:t>
      </w:r>
      <w:r>
        <w:rPr>
          <w:rFonts w:ascii="Arial" w:cs="Arial" w:eastAsia="Arial" w:hAnsi="Arial"/>
          <w:sz w:val="17"/>
          <w:szCs w:val="17"/>
          <w:color w:val="auto"/>
        </w:rPr>
        <w:t>, a limited liability</w:t>
      </w:r>
    </w:p>
    <w:p>
      <w:pPr>
        <w:spacing w:after="0" w:line="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company incorporated in PRC by Ning Chen </w:t>
      </w:r>
      <w:r>
        <w:rPr>
          <w:sz w:val="1"/>
          <w:szCs w:val="1"/>
          <w:color w:val="auto"/>
        </w:rPr>
        <w:drawing>
          <wp:inline distT="0" distB="0" distL="0" distR="0">
            <wp:extent cx="197485" cy="102870"/>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97485" cy="102870"/>
                    </a:xfrm>
                    <a:prstGeom prst="rect">
                      <a:avLst/>
                    </a:prstGeom>
                    <a:noFill/>
                    <a:ln>
                      <a:noFill/>
                    </a:ln>
                  </pic:spPr>
                </pic:pic>
              </a:graphicData>
            </a:graphic>
          </wp:inline>
        </w:drawing>
      </w:r>
      <w:r>
        <w:rPr>
          <w:rFonts w:ascii="Arial" w:cs="Arial" w:eastAsia="Arial" w:hAnsi="Arial"/>
          <w:sz w:val="16"/>
          <w:szCs w:val="16"/>
          <w:b w:val="1"/>
          <w:bCs w:val="1"/>
          <w:color w:val="auto"/>
        </w:rPr>
        <w:t xml:space="preserve"> )</w:t>
      </w:r>
      <w:r>
        <w:rPr>
          <w:rFonts w:ascii="Arial" w:cs="Arial" w:eastAsia="Arial" w:hAnsi="Arial"/>
          <w:sz w:val="16"/>
          <w:szCs w:val="16"/>
          <w:color w:val="auto"/>
        </w:rPr>
        <w:t>, being the legal</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who, in accordance with applicable laws or regulations of that place, is acting under the authority of such company, in the presence 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Xiaopeng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058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Xiaopeng Zhao ( </w:t>
      </w:r>
      <w:r>
        <w:rPr>
          <w:sz w:val="1"/>
          <w:szCs w:val="1"/>
          <w:color w:val="auto"/>
        </w:rPr>
        <w:drawing>
          <wp:inline distT="0" distB="0" distL="0" distR="0">
            <wp:extent cx="308610" cy="10287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08610" cy="102870"/>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Contact details for the purpose of Section 9 of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and Tel No.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ind w:left="7"/>
        <w:spacing w:after="0" w:line="229" w:lineRule="auto"/>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-33020</wp:posOffset>
            </wp:positionV>
            <wp:extent cx="31457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327" w:hanging="327"/>
        <w:spacing w:after="0"/>
        <w:tabs>
          <w:tab w:leader="none" w:pos="32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Official seal of </w:t>
      </w:r>
      <w:r>
        <w:rPr>
          <w:rFonts w:ascii="Arial" w:cs="Arial" w:eastAsia="Arial" w:hAnsi="Arial"/>
          <w:sz w:val="1"/>
          <w:szCs w:val="1"/>
          <w:color w:val="auto"/>
        </w:rPr>
        <w:drawing>
          <wp:inline distT="0" distB="0" distL="0" distR="0">
            <wp:extent cx="1243330" cy="10287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43330" cy="102870"/>
                    </a:xfrm>
                    <a:prstGeom prst="rect">
                      <a:avLst/>
                    </a:prstGeom>
                    <a:noFill/>
                    <a:ln>
                      <a:noFill/>
                    </a:ln>
                  </pic:spPr>
                </pic:pic>
              </a:graphicData>
            </a:graphic>
          </wp:inline>
        </w:drawing>
      </w:r>
      <w:r>
        <w:rPr>
          <w:rFonts w:ascii="Arial" w:cs="Arial" w:eastAsia="Arial" w:hAnsi="Arial"/>
          <w:sz w:val="18"/>
          <w:szCs w:val="18"/>
          <w:color w:val="auto"/>
        </w:rPr>
        <w:t xml:space="preserve"> Zibo High-Tech</w:t>
      </w:r>
    </w:p>
    <w:p>
      <w:pPr>
        <w:spacing w:after="0" w:line="11" w:lineRule="exact"/>
        <w:rPr>
          <w:sz w:val="20"/>
          <w:szCs w:val="20"/>
          <w:color w:val="auto"/>
        </w:rPr>
      </w:pPr>
    </w:p>
    <w:p>
      <w:pPr>
        <w:ind w:left="327" w:hanging="327"/>
        <w:spacing w:after="0"/>
        <w:tabs>
          <w:tab w:leader="none" w:pos="327"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Industrial Investment Co., Ltd.</w:t>
      </w:r>
    </w:p>
    <w:p>
      <w:pPr>
        <w:spacing w:after="0" w:line="34" w:lineRule="exact"/>
        <w:rPr>
          <w:rFonts w:ascii="Arial" w:cs="Arial" w:eastAsia="Arial" w:hAnsi="Arial"/>
          <w:sz w:val="18"/>
          <w:szCs w:val="18"/>
          <w:color w:val="auto"/>
        </w:rPr>
      </w:pPr>
    </w:p>
    <w:p>
      <w:pPr>
        <w:spacing w:after="0"/>
        <w:tabs>
          <w:tab w:leader="none" w:pos="0" w:val="left"/>
        </w:tabs>
        <w:numPr>
          <w:ilvl w:val="0"/>
          <w:numId w:val="58"/>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58"/>
        </w:numPr>
        <w:rPr>
          <w:rFonts w:ascii="Arial" w:cs="Arial" w:eastAsia="Arial" w:hAnsi="Arial"/>
          <w:sz w:val="18"/>
          <w:szCs w:val="18"/>
          <w:color w:val="auto"/>
        </w:rPr>
      </w:pPr>
    </w:p>
    <w:p>
      <w:pPr>
        <w:ind w:left="7"/>
        <w:spacing w:after="0" w:line="215" w:lineRule="auto"/>
        <w:rPr>
          <w:sz w:val="20"/>
          <w:szCs w:val="20"/>
          <w:color w:val="auto"/>
        </w:rPr>
      </w:pPr>
      <w:r>
        <w:rPr>
          <w:rFonts w:ascii="Arial" w:cs="Arial" w:eastAsia="Arial" w:hAnsi="Arial"/>
          <w:sz w:val="18"/>
          <w:szCs w:val="18"/>
          <w:color w:val="auto"/>
        </w:rPr>
        <w:t>)</w:t>
      </w:r>
    </w:p>
    <w:p>
      <w:pPr>
        <w:ind w:left="327" w:hanging="327"/>
        <w:spacing w:after="0" w:line="187" w:lineRule="auto"/>
        <w:tabs>
          <w:tab w:leader="none" w:pos="327" w:val="left"/>
        </w:tabs>
        <w:numPr>
          <w:ilvl w:val="0"/>
          <w:numId w:val="59"/>
        </w:numPr>
        <w:rPr>
          <w:rFonts w:ascii="Arial" w:cs="Arial" w:eastAsia="Arial" w:hAnsi="Arial"/>
          <w:sz w:val="24"/>
          <w:szCs w:val="24"/>
          <w:color w:val="auto"/>
          <w:vertAlign w:val="subscript"/>
        </w:rPr>
      </w:pPr>
      <w:r>
        <w:rPr>
          <w:rFonts w:ascii="Arial" w:cs="Arial" w:eastAsia="Arial" w:hAnsi="Arial"/>
          <w:sz w:val="14"/>
          <w:szCs w:val="14"/>
          <w:color w:val="auto"/>
        </w:rPr>
        <w:t>/s/ Ning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1380490</wp:posOffset>
            </wp:positionH>
            <wp:positionV relativeFrom="paragraph">
              <wp:posOffset>8890</wp:posOffset>
            </wp:positionV>
            <wp:extent cx="196850" cy="1028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96850" cy="102870"/>
                    </a:xfrm>
                    <a:prstGeom prst="rect">
                      <a:avLst/>
                    </a:prstGeom>
                    <a:noFill/>
                  </pic:spPr>
                </pic:pic>
              </a:graphicData>
            </a:graphic>
          </wp:anchor>
        </w:drawing>
      </w:r>
    </w:p>
    <w:tbl>
      <w:tblPr>
        <w:tblLayout w:type="fixed"/>
        <w:tblInd w:w="7" w:type="dxa"/>
        <w:tblCellMar>
          <w:top w:w="0" w:type="dxa"/>
          <w:left w:w="0" w:type="dxa"/>
          <w:bottom w:w="0" w:type="dxa"/>
          <w:right w:w="0" w:type="dxa"/>
        </w:tblCellMar>
      </w:tblPr>
      <w:tr>
        <w:trPr>
          <w:trHeight w:val="222"/>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Signature of Ning Chen </w:t>
            </w:r>
            <w:r>
              <w:rPr>
                <w:rFonts w:ascii="Arial" w:cs="Arial" w:eastAsia="Arial" w:hAnsi="Arial"/>
                <w:sz w:val="16"/>
                <w:szCs w:val="16"/>
                <w:color w:val="auto"/>
              </w:rPr>
              <w:t>(</w:t>
            </w:r>
          </w:p>
        </w:tc>
        <w:tc>
          <w:tcPr>
            <w:tcW w:w="2960" w:type="dxa"/>
            <w:vAlign w:val="bottom"/>
            <w:tcBorders>
              <w:top w:val="single" w:sz="8" w:color="auto"/>
            </w:tcBorders>
          </w:tcPr>
          <w:p>
            <w:pPr>
              <w:jc w:val="right"/>
              <w:ind w:right="2619"/>
              <w:spacing w:after="0"/>
              <w:rPr>
                <w:sz w:val="20"/>
                <w:szCs w:val="20"/>
                <w:color w:val="auto"/>
              </w:rPr>
            </w:pPr>
            <w:r>
              <w:rPr>
                <w:rFonts w:ascii="Arial" w:cs="Arial" w:eastAsia="Arial" w:hAnsi="Arial"/>
                <w:sz w:val="16"/>
                <w:szCs w:val="16"/>
                <w:color w:val="auto"/>
              </w:rPr>
              <w:t>)</w:t>
            </w:r>
          </w:p>
        </w:tc>
      </w:tr>
      <w:tr>
        <w:trPr>
          <w:trHeight w:val="230"/>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000" w:type="dxa"/>
            <w:vAlign w:val="bottom"/>
          </w:tcPr>
          <w:p>
            <w:pPr>
              <w:spacing w:after="0"/>
              <w:rPr>
                <w:sz w:val="20"/>
                <w:szCs w:val="20"/>
                <w:color w:val="auto"/>
              </w:rPr>
            </w:pPr>
          </w:p>
        </w:tc>
        <w:tc>
          <w:tcPr>
            <w:tcW w:w="2960" w:type="dxa"/>
            <w:vAlign w:val="bottom"/>
          </w:tcPr>
          <w:p>
            <w:pPr>
              <w:spacing w:after="0"/>
              <w:rPr>
                <w:sz w:val="20"/>
                <w:szCs w:val="20"/>
                <w:color w:val="auto"/>
              </w:rPr>
            </w:pPr>
          </w:p>
        </w:tc>
      </w:tr>
    </w:tbl>
    <w:p>
      <w:pPr>
        <w:ind w:left="327" w:hanging="327"/>
        <w:spacing w:after="0"/>
        <w:tabs>
          <w:tab w:leader="none" w:pos="327" w:val="left"/>
        </w:tabs>
        <w:numPr>
          <w:ilvl w:val="0"/>
          <w:numId w:val="60"/>
        </w:numPr>
        <w:rPr>
          <w:rFonts w:ascii="Arial" w:cs="Arial" w:eastAsia="Arial" w:hAnsi="Arial"/>
          <w:sz w:val="18"/>
          <w:szCs w:val="18"/>
          <w:color w:val="auto"/>
        </w:rPr>
      </w:pPr>
      <w:r>
        <w:rPr>
          <w:rFonts w:ascii="Arial" w:cs="Arial" w:eastAsia="Arial" w:hAnsi="Arial"/>
          <w:sz w:val="18"/>
          <w:szCs w:val="18"/>
          <w:color w:val="auto"/>
        </w:rPr>
        <w:t>By executing this document, the signatory warrants that the</w:t>
      </w:r>
    </w:p>
    <w:p>
      <w:pPr>
        <w:spacing w:after="0" w:line="9" w:lineRule="exact"/>
        <w:rPr>
          <w:sz w:val="20"/>
          <w:szCs w:val="20"/>
          <w:color w:val="auto"/>
        </w:rPr>
      </w:pPr>
    </w:p>
    <w:p>
      <w:pPr>
        <w:ind w:left="327" w:hanging="327"/>
        <w:spacing w:after="0"/>
        <w:tabs>
          <w:tab w:leader="none" w:pos="327" w:val="left"/>
        </w:tabs>
        <w:numPr>
          <w:ilvl w:val="0"/>
          <w:numId w:val="61"/>
        </w:numPr>
        <w:rPr>
          <w:rFonts w:ascii="Arial" w:cs="Arial" w:eastAsia="Arial" w:hAnsi="Arial"/>
          <w:sz w:val="17"/>
          <w:szCs w:val="17"/>
          <w:color w:val="auto"/>
        </w:rPr>
      </w:pPr>
      <w:r>
        <w:rPr>
          <w:rFonts w:ascii="Arial" w:cs="Arial" w:eastAsia="Arial" w:hAnsi="Arial"/>
          <w:sz w:val="17"/>
          <w:szCs w:val="17"/>
          <w:color w:val="auto"/>
        </w:rPr>
        <w:t>signatory is duly authorised to execute this document on behalf of</w:t>
      </w:r>
    </w:p>
    <w:p>
      <w:pPr>
        <w:spacing w:after="0" w:line="21" w:lineRule="exact"/>
        <w:rPr>
          <w:sz w:val="20"/>
          <w:szCs w:val="20"/>
          <w:color w:val="auto"/>
        </w:rPr>
      </w:pPr>
    </w:p>
    <w:p>
      <w:pPr>
        <w:ind w:left="7"/>
        <w:spacing w:after="0"/>
        <w:tabs>
          <w:tab w:leader="none" w:pos="304" w:val="left"/>
        </w:tabs>
        <w:rPr>
          <w:sz w:val="20"/>
          <w:szCs w:val="20"/>
          <w:color w:val="auto"/>
        </w:rPr>
      </w:pPr>
      <w:r>
        <w:rPr>
          <w:rFonts w:ascii="Arial" w:cs="Arial" w:eastAsia="Arial" w:hAnsi="Arial"/>
          <w:sz w:val="18"/>
          <w:szCs w:val="18"/>
          <w:color w:val="auto"/>
        </w:rPr>
        <w:t>)</w:t>
      </w:r>
      <w:r>
        <w:rPr>
          <w:sz w:val="20"/>
          <w:szCs w:val="20"/>
          <w:color w:val="auto"/>
        </w:rPr>
        <w:tab/>
      </w:r>
      <w:r>
        <w:rPr>
          <w:sz w:val="1"/>
          <w:szCs w:val="1"/>
          <w:color w:val="auto"/>
        </w:rPr>
        <w:drawing>
          <wp:inline distT="0" distB="0" distL="0" distR="0">
            <wp:extent cx="728980" cy="10287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80" cy="102870"/>
                    </a:xfrm>
                    <a:prstGeom prst="rect">
                      <a:avLst/>
                    </a:prstGeom>
                    <a:noFill/>
                    <a:ln>
                      <a:noFill/>
                    </a:ln>
                  </pic:spPr>
                </pic:pic>
              </a:graphicData>
            </a:graphic>
          </wp:inline>
        </w:drawing>
      </w:r>
      <w:r>
        <w:rPr>
          <w:rFonts w:ascii="Arial" w:cs="Arial" w:eastAsia="Arial" w:hAnsi="Arial"/>
          <w:sz w:val="18"/>
          <w:szCs w:val="18"/>
          <w:color w:val="auto"/>
        </w:rPr>
        <w:t xml:space="preserve">          Zibo High-Tech Industrial Investment</w:t>
      </w:r>
    </w:p>
    <w:p>
      <w:pPr>
        <w:spacing w:after="0" w:line="9" w:lineRule="exact"/>
        <w:rPr>
          <w:sz w:val="20"/>
          <w:szCs w:val="20"/>
          <w:color w:val="auto"/>
        </w:rPr>
      </w:pPr>
    </w:p>
    <w:p>
      <w:pPr>
        <w:ind w:left="327" w:hanging="327"/>
        <w:spacing w:after="0"/>
        <w:tabs>
          <w:tab w:leader="none" w:pos="327"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 Ltd.</w:t>
      </w:r>
    </w:p>
    <w:p>
      <w:pPr>
        <w:spacing w:after="0" w:line="1617" w:lineRule="exact"/>
        <w:rPr>
          <w:sz w:val="20"/>
          <w:szCs w:val="20"/>
          <w:color w:val="auto"/>
        </w:rPr>
      </w:pPr>
    </w:p>
    <w:p>
      <w:pPr>
        <w:sectPr>
          <w:pgSz w:w="11900" w:h="16838" w:orient="portrait"/>
          <w:cols w:equalWidth="0" w:num="2">
            <w:col w:w="5520" w:space="213"/>
            <w:col w:w="5287"/>
          </w:cols>
          <w:pgMar w:left="440" w:top="274"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Acknowledgement Agreement to the Shareholders Agreement</w:t>
      </w:r>
      <w:r>
        <w:rPr>
          <w:rFonts w:ascii="Arial" w:cs="Arial" w:eastAsia="Arial" w:hAnsi="Arial"/>
          <w:sz w:val="16"/>
          <w:szCs w:val="16"/>
          <w:color w:val="auto"/>
        </w:rPr>
        <w:t>)</w:t>
      </w:r>
    </w:p>
    <w:p>
      <w:pPr>
        <w:sectPr>
          <w:pgSz w:w="11900" w:h="16838" w:orient="portrait"/>
          <w:cols w:equalWidth="0" w:num="1">
            <w:col w:w="11020"/>
          </w:cols>
          <w:pgMar w:left="440" w:top="274" w:right="4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Party below have executed this Agreement as of the date first above written.</w:t>
      </w:r>
    </w:p>
    <w:p>
      <w:pPr>
        <w:sectPr>
          <w:pgSz w:w="11900" w:h="16838" w:orient="portrait"/>
          <w:cols w:equalWidth="0" w:num="1">
            <w:col w:w="11020"/>
          </w:cols>
          <w:pgMar w:left="440" w:top="274" w:right="439" w:bottom="144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SIGNED </w:t>
      </w:r>
      <w:r>
        <w:rPr>
          <w:rFonts w:ascii="Arial" w:cs="Arial" w:eastAsia="Arial" w:hAnsi="Arial"/>
          <w:sz w:val="16"/>
          <w:szCs w:val="16"/>
          <w:color w:val="auto"/>
        </w:rPr>
        <w:t xml:space="preserve">for and on behalf of </w:t>
      </w:r>
      <w:r>
        <w:rPr>
          <w:sz w:val="1"/>
          <w:szCs w:val="1"/>
          <w:color w:val="auto"/>
        </w:rPr>
        <w:drawing>
          <wp:inline distT="0" distB="0" distL="0" distR="0">
            <wp:extent cx="1937385" cy="111125"/>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937385" cy="111125"/>
                    </a:xfrm>
                    <a:prstGeom prst="rect">
                      <a:avLst/>
                    </a:prstGeom>
                    <a:noFill/>
                    <a:ln>
                      <a:noFill/>
                    </a:ln>
                  </pic:spPr>
                </pic:pic>
              </a:graphicData>
            </a:graphic>
          </wp:inline>
        </w:drawing>
      </w:r>
      <w:r>
        <w:rPr>
          <w:rFonts w:ascii="Arial" w:cs="Arial" w:eastAsia="Arial" w:hAnsi="Arial"/>
          <w:sz w:val="16"/>
          <w:szCs w:val="16"/>
          <w:color w:val="auto"/>
        </w:rPr>
        <w:t xml:space="preserve"> , 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limited partnership ( </w:t>
      </w:r>
      <w:r>
        <w:rPr>
          <w:sz w:val="1"/>
          <w:szCs w:val="1"/>
          <w:color w:val="auto"/>
        </w:rPr>
        <w:drawing>
          <wp:inline distT="0" distB="0" distL="0" distR="0">
            <wp:extent cx="625475" cy="102870"/>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25475" cy="102870"/>
                    </a:xfrm>
                    <a:prstGeom prst="rect">
                      <a:avLst/>
                    </a:prstGeom>
                    <a:noFill/>
                    <a:ln>
                      <a:noFill/>
                    </a:ln>
                  </pic:spPr>
                </pic:pic>
              </a:graphicData>
            </a:graphic>
          </wp:inline>
        </w:drawing>
      </w:r>
      <w:r>
        <w:rPr>
          <w:rFonts w:ascii="Arial" w:cs="Arial" w:eastAsia="Arial" w:hAnsi="Arial"/>
          <w:sz w:val="16"/>
          <w:szCs w:val="16"/>
          <w:color w:val="auto"/>
        </w:rPr>
        <w:t xml:space="preserve"> ) incorporated in PRC, by the signature</w:t>
      </w:r>
    </w:p>
    <w:p>
      <w:pPr>
        <w:spacing w:after="0" w:line="20" w:lineRule="exact"/>
        <w:rPr>
          <w:sz w:val="20"/>
          <w:szCs w:val="20"/>
          <w:color w:val="auto"/>
        </w:rPr>
      </w:pPr>
    </w:p>
    <w:p>
      <w:pPr>
        <w:jc w:val="right"/>
        <w:ind w:right="140"/>
        <w:spacing w:after="0" w:line="271" w:lineRule="auto"/>
        <w:rPr>
          <w:sz w:val="20"/>
          <w:szCs w:val="20"/>
          <w:color w:val="auto"/>
        </w:rPr>
      </w:pPr>
      <w:r>
        <w:rPr>
          <w:rFonts w:ascii="Arial" w:cs="Arial" w:eastAsia="Arial" w:hAnsi="Arial"/>
          <w:sz w:val="16"/>
          <w:szCs w:val="16"/>
          <w:color w:val="auto"/>
        </w:rPr>
        <w:t xml:space="preserve">of Yimin Ai ( </w:t>
      </w:r>
      <w:r>
        <w:rPr>
          <w:sz w:val="1"/>
          <w:szCs w:val="1"/>
          <w:color w:val="auto"/>
        </w:rPr>
        <w:drawing>
          <wp:inline distT="0" distB="0" distL="0" distR="0">
            <wp:extent cx="308610" cy="102870"/>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08610" cy="102870"/>
                    </a:xfrm>
                    <a:prstGeom prst="rect">
                      <a:avLst/>
                    </a:prstGeom>
                    <a:noFill/>
                    <a:ln>
                      <a:noFill/>
                    </a:ln>
                  </pic:spPr>
                </pic:pic>
              </a:graphicData>
            </a:graphic>
          </wp:inline>
        </w:drawing>
      </w:r>
      <w:r>
        <w:rPr>
          <w:rFonts w:ascii="Arial" w:cs="Arial" w:eastAsia="Arial" w:hAnsi="Arial"/>
          <w:sz w:val="16"/>
          <w:szCs w:val="16"/>
          <w:color w:val="auto"/>
        </w:rPr>
        <w:t xml:space="preserve"> ) as the legal representative and general manager of </w:t>
      </w:r>
      <w:r>
        <w:rPr>
          <w:sz w:val="1"/>
          <w:szCs w:val="1"/>
          <w:color w:val="auto"/>
        </w:rPr>
        <w:drawing>
          <wp:inline distT="0" distB="0" distL="0" distR="0">
            <wp:extent cx="1242695" cy="102870"/>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42695" cy="102870"/>
                    </a:xfrm>
                    <a:prstGeom prst="rect">
                      <a:avLst/>
                    </a:prstGeom>
                    <a:noFill/>
                    <a:ln>
                      <a:noFill/>
                    </a:ln>
                  </pic:spPr>
                </pic:pic>
              </a:graphicData>
            </a:graphic>
          </wp:inline>
        </w:drawing>
      </w:r>
      <w:r>
        <w:rPr>
          <w:rFonts w:ascii="Arial" w:cs="Arial" w:eastAsia="Arial" w:hAnsi="Arial"/>
          <w:sz w:val="16"/>
          <w:szCs w:val="16"/>
          <w:color w:val="auto"/>
        </w:rPr>
        <w:t xml:space="preserve"> , in its capacity as the executive partner of the said limited partnership, in accordance with applicable laws or regulations</w:t>
      </w:r>
    </w:p>
    <w:p>
      <w:pPr>
        <w:spacing w:after="0" w:line="1" w:lineRule="exact"/>
        <w:rPr>
          <w:sz w:val="20"/>
          <w:szCs w:val="20"/>
          <w:color w:val="auto"/>
        </w:rPr>
      </w:pPr>
    </w:p>
    <w:p>
      <w:pPr>
        <w:jc w:val="center"/>
        <w:ind w:right="160"/>
        <w:spacing w:after="0" w:line="276" w:lineRule="auto"/>
        <w:rPr>
          <w:sz w:val="20"/>
          <w:szCs w:val="20"/>
          <w:color w:val="auto"/>
        </w:rPr>
      </w:pPr>
      <w:r>
        <w:rPr>
          <w:rFonts w:ascii="Arial" w:cs="Arial" w:eastAsia="Arial" w:hAnsi="Arial"/>
          <w:sz w:val="17"/>
          <w:szCs w:val="17"/>
          <w:color w:val="auto"/>
        </w:rPr>
        <w:t xml:space="preserve">of that place, is acting under the authority of the said limited partnership, and by affixing the official seal of each of the said limited partnership and </w:t>
      </w:r>
      <w:r>
        <w:rPr>
          <w:sz w:val="1"/>
          <w:szCs w:val="1"/>
          <w:color w:val="auto"/>
        </w:rPr>
        <w:drawing>
          <wp:inline distT="0" distB="0" distL="0" distR="0">
            <wp:extent cx="1242695" cy="10287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42695" cy="102870"/>
                    </a:xfrm>
                    <a:prstGeom prst="rect">
                      <a:avLst/>
                    </a:prstGeom>
                    <a:noFill/>
                    <a:ln>
                      <a:noFill/>
                    </a:ln>
                  </pic:spPr>
                </pic:pic>
              </a:graphicData>
            </a:graphic>
          </wp:inline>
        </w:drawing>
      </w:r>
      <w:r>
        <w:rPr>
          <w:rFonts w:ascii="Arial" w:cs="Arial" w:eastAsia="Arial" w:hAnsi="Arial"/>
          <w:sz w:val="17"/>
          <w:szCs w:val="17"/>
          <w:color w:val="auto"/>
        </w:rPr>
        <w:t xml:space="preserve"> , in the presence of:</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Chong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058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Chong Zhou ( </w:t>
      </w:r>
      <w:r>
        <w:rPr>
          <w:sz w:val="1"/>
          <w:szCs w:val="1"/>
          <w:color w:val="auto"/>
        </w:rPr>
        <w:drawing>
          <wp:inline distT="0" distB="0" distL="0" distR="0">
            <wp:extent cx="205740" cy="102870"/>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05740" cy="102870"/>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Contact details for the purpose of Section 9 of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and Tel No.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-10795</wp:posOffset>
            </wp:positionV>
            <wp:extent cx="31457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327" w:hanging="327"/>
        <w:spacing w:after="0" w:line="181" w:lineRule="auto"/>
        <w:tabs>
          <w:tab w:leader="none" w:pos="327" w:val="left"/>
        </w:tabs>
        <w:numPr>
          <w:ilvl w:val="0"/>
          <w:numId w:val="63"/>
        </w:numPr>
        <w:rPr>
          <w:rFonts w:ascii="Arial" w:cs="Arial" w:eastAsia="Arial" w:hAnsi="Arial"/>
          <w:sz w:val="26"/>
          <w:szCs w:val="26"/>
          <w:color w:val="auto"/>
          <w:vertAlign w:val="superscript"/>
        </w:rPr>
      </w:pPr>
      <w:r>
        <w:rPr>
          <w:rFonts w:ascii="Arial" w:cs="Arial" w:eastAsia="Arial" w:hAnsi="Arial"/>
          <w:sz w:val="15"/>
          <w:szCs w:val="15"/>
          <w:color w:val="auto"/>
        </w:rPr>
        <w:t xml:space="preserve">Official seal of </w:t>
      </w:r>
      <w:r>
        <w:rPr>
          <w:sz w:val="1"/>
          <w:szCs w:val="1"/>
          <w:color w:val="auto"/>
        </w:rPr>
        <w:drawing>
          <wp:inline distT="0" distB="0" distL="0" distR="0">
            <wp:extent cx="1937385" cy="111125"/>
            <wp:effectExtent l="0" t="0" r="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937385" cy="111125"/>
                    </a:xfrm>
                    <a:prstGeom prst="rect">
                      <a:avLst/>
                    </a:prstGeom>
                    <a:noFill/>
                    <a:ln>
                      <a:noFill/>
                    </a:ln>
                  </pic:spPr>
                </pic:pic>
              </a:graphicData>
            </a:graphic>
          </wp:inline>
        </w:drawing>
      </w:r>
    </w:p>
    <w:p>
      <w:pPr>
        <w:spacing w:after="0" w:line="1" w:lineRule="exact"/>
        <w:rPr>
          <w:rFonts w:ascii="Arial" w:cs="Arial" w:eastAsia="Arial" w:hAnsi="Arial"/>
          <w:sz w:val="26"/>
          <w:szCs w:val="26"/>
          <w:color w:val="auto"/>
          <w:vertAlign w:val="superscript"/>
        </w:rPr>
      </w:pPr>
    </w:p>
    <w:p>
      <w:pPr>
        <w:spacing w:after="0"/>
        <w:tabs>
          <w:tab w:leader="none" w:pos="0" w:val="left"/>
        </w:tabs>
        <w:numPr>
          <w:ilvl w:val="0"/>
          <w:numId w:val="63"/>
        </w:numPr>
        <w:rPr>
          <w:rFonts w:ascii="Arial" w:cs="Arial" w:eastAsia="Arial" w:hAnsi="Arial"/>
          <w:sz w:val="18"/>
          <w:szCs w:val="18"/>
          <w:color w:val="auto"/>
        </w:rPr>
      </w:pPr>
    </w:p>
    <w:p>
      <w:pPr>
        <w:spacing w:after="0" w:line="7" w:lineRule="exact"/>
        <w:rPr>
          <w:rFonts w:ascii="Arial" w:cs="Arial" w:eastAsia="Arial" w:hAnsi="Arial"/>
          <w:sz w:val="18"/>
          <w:szCs w:val="18"/>
          <w:color w:val="auto"/>
        </w:rPr>
      </w:pPr>
    </w:p>
    <w:p>
      <w:pPr>
        <w:spacing w:after="0"/>
        <w:tabs>
          <w:tab w:leader="none" w:pos="0" w:val="left"/>
        </w:tabs>
        <w:numPr>
          <w:ilvl w:val="0"/>
          <w:numId w:val="63"/>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63"/>
        </w:numPr>
        <w:rPr>
          <w:rFonts w:ascii="Arial" w:cs="Arial" w:eastAsia="Arial" w:hAnsi="Arial"/>
          <w:sz w:val="18"/>
          <w:szCs w:val="18"/>
          <w:color w:val="auto"/>
        </w:rPr>
      </w:pPr>
    </w:p>
    <w:p>
      <w:pPr>
        <w:ind w:left="327" w:hanging="327"/>
        <w:spacing w:after="0" w:line="181" w:lineRule="auto"/>
        <w:tabs>
          <w:tab w:leader="none" w:pos="327" w:val="left"/>
        </w:tabs>
        <w:numPr>
          <w:ilvl w:val="0"/>
          <w:numId w:val="64"/>
        </w:numPr>
        <w:rPr>
          <w:rFonts w:ascii="Arial" w:cs="Arial" w:eastAsia="Arial" w:hAnsi="Arial"/>
          <w:sz w:val="26"/>
          <w:szCs w:val="26"/>
          <w:color w:val="auto"/>
          <w:vertAlign w:val="superscript"/>
        </w:rPr>
      </w:pPr>
      <w:r>
        <w:rPr>
          <w:rFonts w:ascii="Arial" w:cs="Arial" w:eastAsia="Arial" w:hAnsi="Arial"/>
          <w:sz w:val="15"/>
          <w:szCs w:val="15"/>
          <w:color w:val="auto"/>
        </w:rPr>
        <w:t xml:space="preserve">Official seal of </w:t>
      </w:r>
      <w:r>
        <w:rPr>
          <w:sz w:val="1"/>
          <w:szCs w:val="1"/>
          <w:color w:val="auto"/>
        </w:rPr>
        <w:drawing>
          <wp:inline distT="0" distB="0" distL="0" distR="0">
            <wp:extent cx="1243330" cy="10287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43330" cy="102870"/>
                    </a:xfrm>
                    <a:prstGeom prst="rect">
                      <a:avLst/>
                    </a:prstGeom>
                    <a:noFill/>
                    <a:ln>
                      <a:noFill/>
                    </a:ln>
                  </pic:spPr>
                </pic:pic>
              </a:graphicData>
            </a:graphic>
          </wp:inline>
        </w:drawing>
      </w:r>
    </w:p>
    <w:p>
      <w:pPr>
        <w:spacing w:after="0" w:line="1" w:lineRule="exact"/>
        <w:rPr>
          <w:rFonts w:ascii="Arial" w:cs="Arial" w:eastAsia="Arial" w:hAnsi="Arial"/>
          <w:sz w:val="26"/>
          <w:szCs w:val="26"/>
          <w:color w:val="auto"/>
          <w:vertAlign w:val="superscript"/>
        </w:rPr>
      </w:pPr>
    </w:p>
    <w:p>
      <w:pPr>
        <w:spacing w:after="0"/>
        <w:tabs>
          <w:tab w:leader="none" w:pos="0" w:val="left"/>
        </w:tabs>
        <w:numPr>
          <w:ilvl w:val="0"/>
          <w:numId w:val="64"/>
        </w:numPr>
        <w:rPr>
          <w:rFonts w:ascii="Arial" w:cs="Arial" w:eastAsia="Arial" w:hAnsi="Arial"/>
          <w:sz w:val="18"/>
          <w:szCs w:val="18"/>
          <w:color w:val="auto"/>
        </w:rPr>
      </w:pPr>
    </w:p>
    <w:p>
      <w:pPr>
        <w:spacing w:after="0" w:line="7" w:lineRule="exact"/>
        <w:rPr>
          <w:rFonts w:ascii="Arial" w:cs="Arial" w:eastAsia="Arial" w:hAnsi="Arial"/>
          <w:sz w:val="18"/>
          <w:szCs w:val="18"/>
          <w:color w:val="auto"/>
        </w:rPr>
      </w:pPr>
    </w:p>
    <w:p>
      <w:pPr>
        <w:spacing w:after="0"/>
        <w:tabs>
          <w:tab w:leader="none" w:pos="0" w:val="left"/>
        </w:tabs>
        <w:numPr>
          <w:ilvl w:val="0"/>
          <w:numId w:val="64"/>
        </w:numPr>
        <w:rPr>
          <w:rFonts w:ascii="Arial" w:cs="Arial" w:eastAsia="Arial" w:hAnsi="Arial"/>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-387985</wp:posOffset>
            </wp:positionV>
            <wp:extent cx="31457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327" w:hanging="327"/>
        <w:spacing w:after="0"/>
        <w:tabs>
          <w:tab w:leader="none" w:pos="3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/s/ Yimin Ai</w:t>
      </w:r>
    </w:p>
    <w:tbl>
      <w:tblPr>
        <w:tblLayout w:type="fixed"/>
        <w:tblInd w:w="7" w:type="dxa"/>
        <w:tblCellMar>
          <w:top w:w="0" w:type="dxa"/>
          <w:left w:w="0" w:type="dxa"/>
          <w:bottom w:w="0" w:type="dxa"/>
          <w:right w:w="0" w:type="dxa"/>
        </w:tblCellMar>
      </w:tblPr>
      <w:tr>
        <w:trPr>
          <w:trHeight w:val="25"/>
        </w:trPr>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4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20" w:type="dxa"/>
            <w:vAlign w:val="bottom"/>
            <w:vMerge w:val="continue"/>
          </w:tcPr>
          <w:p>
            <w:pPr>
              <w:spacing w:after="0"/>
              <w:rPr>
                <w:sz w:val="13"/>
                <w:szCs w:val="13"/>
                <w:color w:val="auto"/>
              </w:rPr>
            </w:pPr>
          </w:p>
        </w:tc>
        <w:tc>
          <w:tcPr>
            <w:tcW w:w="4960" w:type="dxa"/>
            <w:vAlign w:val="bottom"/>
          </w:tcPr>
          <w:p>
            <w:pPr>
              <w:spacing w:after="0" w:line="156" w:lineRule="exact"/>
              <w:rPr>
                <w:sz w:val="20"/>
                <w:szCs w:val="20"/>
                <w:color w:val="auto"/>
              </w:rPr>
            </w:pPr>
            <w:r>
              <w:rPr>
                <w:rFonts w:ascii="Arial" w:cs="Arial" w:eastAsia="Arial" w:hAnsi="Arial"/>
                <w:sz w:val="18"/>
                <w:szCs w:val="18"/>
                <w:color w:val="auto"/>
                <w:w w:val="99"/>
              </w:rPr>
              <w:t>Signature of Yimin Ai ()</w:t>
            </w:r>
          </w:p>
        </w:tc>
        <w:tc>
          <w:tcPr>
            <w:tcW w:w="0" w:type="dxa"/>
            <w:vAlign w:val="bottom"/>
          </w:tcPr>
          <w:p>
            <w:pPr>
              <w:spacing w:after="0"/>
              <w:rPr>
                <w:sz w:val="1"/>
                <w:szCs w:val="1"/>
                <w:color w:val="auto"/>
              </w:rPr>
            </w:pPr>
          </w:p>
        </w:tc>
      </w:tr>
      <w:tr>
        <w:trPr>
          <w:trHeight w:val="230"/>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-248285</wp:posOffset>
            </wp:positionV>
            <wp:extent cx="308610" cy="1028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08610" cy="102870"/>
                    </a:xfrm>
                    <a:prstGeom prst="rect">
                      <a:avLst/>
                    </a:prstGeom>
                    <a:noFill/>
                  </pic:spPr>
                </pic:pic>
              </a:graphicData>
            </a:graphic>
          </wp:anchor>
        </w:drawing>
      </w:r>
    </w:p>
    <w:p>
      <w:pPr>
        <w:spacing w:after="0" w:line="32" w:lineRule="exact"/>
        <w:rPr>
          <w:sz w:val="20"/>
          <w:szCs w:val="20"/>
          <w:color w:val="auto"/>
        </w:rPr>
      </w:pPr>
    </w:p>
    <w:p>
      <w:pPr>
        <w:ind w:left="327" w:right="220"/>
        <w:spacing w:after="0" w:line="342" w:lineRule="auto"/>
        <w:rPr>
          <w:sz w:val="20"/>
          <w:szCs w:val="20"/>
          <w:color w:val="auto"/>
        </w:rPr>
      </w:pPr>
      <w:r>
        <w:rPr>
          <w:rFonts w:ascii="Arial" w:cs="Arial" w:eastAsia="Arial" w:hAnsi="Arial"/>
          <w:sz w:val="16"/>
          <w:szCs w:val="16"/>
          <w:color w:val="auto"/>
        </w:rPr>
        <w:t>By executing this document, the signatory warrants that the signatory is duly authorised to execute this document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-48895</wp:posOffset>
            </wp:positionV>
            <wp:extent cx="1962785" cy="11112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962785" cy="111125"/>
                    </a:xfrm>
                    <a:prstGeom prst="rect">
                      <a:avLst/>
                    </a:prstGeom>
                    <a:noFill/>
                  </pic:spPr>
                </pic:pic>
              </a:graphicData>
            </a:graphic>
          </wp:anchor>
        </w:drawing>
      </w:r>
    </w:p>
    <w:p>
      <w:pPr>
        <w:spacing w:after="0" w:line="1651" w:lineRule="exact"/>
        <w:rPr>
          <w:sz w:val="20"/>
          <w:szCs w:val="20"/>
          <w:color w:val="auto"/>
        </w:rPr>
      </w:pPr>
    </w:p>
    <w:p>
      <w:pPr>
        <w:sectPr>
          <w:pgSz w:w="11900" w:h="16838" w:orient="portrait"/>
          <w:cols w:equalWidth="0" w:num="2">
            <w:col w:w="5480" w:space="253"/>
            <w:col w:w="5287"/>
          </w:cols>
          <w:pgMar w:left="440" w:top="274"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Acknowledgement Agreement to the Shareholders Agreement</w:t>
      </w:r>
      <w:r>
        <w:rPr>
          <w:rFonts w:ascii="Arial" w:cs="Arial" w:eastAsia="Arial" w:hAnsi="Arial"/>
          <w:sz w:val="16"/>
          <w:szCs w:val="16"/>
          <w:color w:val="auto"/>
        </w:rPr>
        <w:t>)</w:t>
      </w:r>
    </w:p>
    <w:p>
      <w:pPr>
        <w:sectPr>
          <w:pgSz w:w="11900" w:h="16838" w:orient="portrait"/>
          <w:cols w:equalWidth="0" w:num="1">
            <w:col w:w="11020"/>
          </w:cols>
          <w:pgMar w:left="440" w:top="274" w:right="4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Party below have executed this Agreement as of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w w:val="95"/>
              </w:rPr>
              <w:t xml:space="preserve">SIGNED </w:t>
            </w:r>
            <w:r>
              <w:rPr>
                <w:rFonts w:ascii="Arial" w:cs="Arial" w:eastAsia="Arial" w:hAnsi="Arial"/>
                <w:sz w:val="18"/>
                <w:szCs w:val="18"/>
                <w:color w:val="auto"/>
                <w:w w:val="95"/>
              </w:rPr>
              <w:t>for and on behalf of</w:t>
            </w:r>
            <w:r>
              <w:rPr>
                <w:rFonts w:ascii="Arial" w:cs="Arial" w:eastAsia="Arial" w:hAnsi="Arial"/>
                <w:sz w:val="18"/>
                <w:szCs w:val="18"/>
                <w:b w:val="1"/>
                <w:bCs w:val="1"/>
                <w:color w:val="auto"/>
                <w:w w:val="95"/>
              </w:rPr>
              <w:t xml:space="preserve"> Northpole GLY 1 LP</w:t>
            </w:r>
            <w:r>
              <w:rPr>
                <w:rFonts w:ascii="Arial" w:cs="Arial" w:eastAsia="Arial" w:hAnsi="Arial"/>
                <w:sz w:val="18"/>
                <w:szCs w:val="18"/>
                <w:color w:val="auto"/>
                <w:w w:val="95"/>
              </w:rPr>
              <w:t>, an exempted limited</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8"/>
                <w:szCs w:val="18"/>
                <w:color w:val="auto"/>
                <w:w w:val="97"/>
              </w:rPr>
              <w:t xml:space="preserve">partnership incorporated in the Cayman Islands by </w:t>
            </w:r>
            <w:r>
              <w:rPr>
                <w:rFonts w:ascii="Arial" w:cs="Arial" w:eastAsia="Arial" w:hAnsi="Arial"/>
                <w:sz w:val="18"/>
                <w:szCs w:val="18"/>
                <w:b w:val="1"/>
                <w:bCs w:val="1"/>
                <w:color w:val="auto"/>
                <w:w w:val="97"/>
              </w:rPr>
              <w:t>Hrvoje Krkalo</w:t>
            </w:r>
            <w:r>
              <w:rPr>
                <w:rFonts w:ascii="Arial" w:cs="Arial" w:eastAsia="Arial" w:hAnsi="Arial"/>
                <w:sz w:val="18"/>
                <w:szCs w:val="18"/>
                <w:color w:val="auto"/>
                <w:w w:val="97"/>
              </w:rPr>
              <w:t xml:space="preserve"> as a</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w w:val="97"/>
              </w:rPr>
              <w:t>director of Northpole GLY GP1, in its capacity as general partner of the</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w w:val="91"/>
              </w:rPr>
              <w:t>partnership, in accordance with applicable laws or regulations of that place,</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is acting under the authority of such partnership, in the presence of:</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 Bai Shiyu</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520" w:type="dxa"/>
            <w:vAlign w:val="bottom"/>
            <w:tcBorders>
              <w:bottom w:val="single" w:sz="8" w:color="auto"/>
            </w:tcBorders>
          </w:tcPr>
          <w:p>
            <w:pPr>
              <w:spacing w:after="0"/>
              <w:rPr>
                <w:sz w:val="3"/>
                <w:szCs w:val="3"/>
                <w:color w:val="auto"/>
              </w:rPr>
            </w:pPr>
          </w:p>
        </w:tc>
        <w:tc>
          <w:tcPr>
            <w:tcW w:w="4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8"/>
                <w:szCs w:val="18"/>
                <w:color w:val="auto"/>
              </w:rPr>
              <w:t>Signature of witness</w:t>
            </w:r>
          </w:p>
        </w:tc>
        <w:tc>
          <w:tcPr>
            <w:tcW w:w="400" w:type="dxa"/>
            <w:vAlign w:val="bottom"/>
            <w:vMerge w:val="continue"/>
          </w:tcPr>
          <w:p>
            <w:pPr>
              <w:spacing w:after="0"/>
              <w:rPr>
                <w:sz w:val="18"/>
                <w:szCs w:val="18"/>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/s/ Hrvoje Krkalo</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400" w:type="dxa"/>
            <w:vAlign w:val="bottom"/>
            <w:vMerge w:val="restart"/>
          </w:tcPr>
          <w:p>
            <w:pPr>
              <w:jc w:val="right"/>
              <w:ind w:right="30"/>
              <w:spacing w:after="0" w:line="16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55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5100" w:type="dxa"/>
            <w:vAlign w:val="bottom"/>
            <w:gridSpan w:val="2"/>
            <w:vMerge w:val="restart"/>
          </w:tcPr>
          <w:p>
            <w:pPr>
              <w:ind w:left="140"/>
              <w:spacing w:after="0" w:line="195" w:lineRule="exact"/>
              <w:rPr>
                <w:sz w:val="20"/>
                <w:szCs w:val="20"/>
                <w:color w:val="auto"/>
              </w:rPr>
            </w:pPr>
            <w:r>
              <w:rPr>
                <w:rFonts w:ascii="Arial" w:cs="Arial" w:eastAsia="Arial" w:hAnsi="Arial"/>
                <w:sz w:val="18"/>
                <w:szCs w:val="18"/>
                <w:color w:val="auto"/>
              </w:rPr>
              <w:t>By executing this document, the signatory warrants that the</w:t>
            </w:r>
          </w:p>
        </w:tc>
        <w:tc>
          <w:tcPr>
            <w:tcW w:w="0" w:type="dxa"/>
            <w:vAlign w:val="bottom"/>
          </w:tcPr>
          <w:p>
            <w:pPr>
              <w:spacing w:after="0"/>
              <w:rPr>
                <w:sz w:val="1"/>
                <w:szCs w:val="1"/>
                <w:color w:val="auto"/>
              </w:rPr>
            </w:pPr>
          </w:p>
        </w:tc>
      </w:tr>
      <w:tr>
        <w:trPr>
          <w:trHeight w:val="108"/>
        </w:trPr>
        <w:tc>
          <w:tcPr>
            <w:tcW w:w="5520" w:type="dxa"/>
            <w:vAlign w:val="bottom"/>
            <w:vMerge w:val="restart"/>
          </w:tcPr>
          <w:p>
            <w:pPr>
              <w:spacing w:after="0"/>
              <w:rPr>
                <w:sz w:val="20"/>
                <w:szCs w:val="20"/>
                <w:color w:val="auto"/>
              </w:rPr>
            </w:pPr>
            <w:r>
              <w:rPr>
                <w:rFonts w:ascii="Arial" w:cs="Arial" w:eastAsia="Arial" w:hAnsi="Arial"/>
                <w:sz w:val="18"/>
                <w:szCs w:val="18"/>
                <w:color w:val="auto"/>
              </w:rPr>
              <w:t>BAI SHIYU</w:t>
            </w:r>
          </w:p>
        </w:tc>
        <w:tc>
          <w:tcPr>
            <w:tcW w:w="4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5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w w:val="94"/>
              </w:rPr>
              <w:t>signatory is duly authorised to execute this document on behalf of</w:t>
            </w:r>
          </w:p>
        </w:tc>
        <w:tc>
          <w:tcPr>
            <w:tcW w:w="0" w:type="dxa"/>
            <w:vAlign w:val="bottom"/>
          </w:tcPr>
          <w:p>
            <w:pPr>
              <w:spacing w:after="0"/>
              <w:rPr>
                <w:sz w:val="1"/>
                <w:szCs w:val="1"/>
                <w:color w:val="auto"/>
              </w:rPr>
            </w:pPr>
          </w:p>
        </w:tc>
      </w:tr>
      <w:tr>
        <w:trPr>
          <w:trHeight w:val="108"/>
        </w:trPr>
        <w:tc>
          <w:tcPr>
            <w:tcW w:w="5520" w:type="dxa"/>
            <w:vAlign w:val="bottom"/>
            <w:vMerge w:val="continue"/>
          </w:tcPr>
          <w:p>
            <w:pPr>
              <w:spacing w:after="0"/>
              <w:rPr>
                <w:sz w:val="9"/>
                <w:szCs w:val="9"/>
                <w:color w:val="auto"/>
              </w:rPr>
            </w:pPr>
          </w:p>
        </w:tc>
        <w:tc>
          <w:tcPr>
            <w:tcW w:w="4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5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rPr>
              <w:t>Northpole GLY 1 LP</w:t>
            </w:r>
          </w:p>
        </w:tc>
        <w:tc>
          <w:tcPr>
            <w:tcW w:w="0" w:type="dxa"/>
            <w:vAlign w:val="bottom"/>
          </w:tcPr>
          <w:p>
            <w:pPr>
              <w:spacing w:after="0"/>
              <w:rPr>
                <w:sz w:val="1"/>
                <w:szCs w:val="1"/>
                <w:color w:val="auto"/>
              </w:rPr>
            </w:pPr>
          </w:p>
        </w:tc>
      </w:tr>
      <w:tr>
        <w:trPr>
          <w:trHeight w:val="122"/>
        </w:trPr>
        <w:tc>
          <w:tcPr>
            <w:tcW w:w="5520" w:type="dxa"/>
            <w:vAlign w:val="bottom"/>
          </w:tcPr>
          <w:p>
            <w:pPr>
              <w:spacing w:after="0"/>
              <w:rPr>
                <w:sz w:val="10"/>
                <w:szCs w:val="10"/>
                <w:color w:val="auto"/>
              </w:rPr>
            </w:pPr>
          </w:p>
        </w:tc>
        <w:tc>
          <w:tcPr>
            <w:tcW w:w="4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5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5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5520" w:type="dxa"/>
            <w:vAlign w:val="bottom"/>
            <w:tcBorders>
              <w:bottom w:val="single" w:sz="8" w:color="auto"/>
            </w:tcBorders>
          </w:tcPr>
          <w:p>
            <w:pPr>
              <w:spacing w:after="0"/>
              <w:rPr>
                <w:sz w:val="7"/>
                <w:szCs w:val="7"/>
                <w:color w:val="auto"/>
              </w:rPr>
            </w:pPr>
          </w:p>
        </w:tc>
        <w:tc>
          <w:tcPr>
            <w:tcW w:w="4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7"/>
                <w:szCs w:val="7"/>
                <w:color w:val="auto"/>
              </w:rPr>
            </w:pPr>
          </w:p>
        </w:tc>
        <w:tc>
          <w:tcPr>
            <w:tcW w:w="4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5520" w:type="dxa"/>
            <w:vAlign w:val="bottom"/>
            <w:vMerge w:val="restart"/>
          </w:tcPr>
          <w:p>
            <w:pPr>
              <w:spacing w:after="0"/>
              <w:rPr>
                <w:sz w:val="20"/>
                <w:szCs w:val="20"/>
                <w:color w:val="auto"/>
              </w:rPr>
            </w:pPr>
            <w:r>
              <w:rPr>
                <w:rFonts w:ascii="Arial" w:cs="Arial" w:eastAsia="Arial" w:hAnsi="Arial"/>
                <w:sz w:val="18"/>
                <w:szCs w:val="18"/>
                <w:color w:val="auto"/>
              </w:rPr>
              <w:t>Name of witness (block letters)</w:t>
            </w:r>
          </w:p>
        </w:tc>
        <w:tc>
          <w:tcPr>
            <w:tcW w:w="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5520" w:type="dxa"/>
            <w:vAlign w:val="bottom"/>
            <w:vMerge w:val="continue"/>
          </w:tcPr>
          <w:p>
            <w:pPr>
              <w:spacing w:after="0"/>
              <w:rPr>
                <w:sz w:val="9"/>
                <w:szCs w:val="9"/>
                <w:color w:val="auto"/>
              </w:rPr>
            </w:pPr>
          </w:p>
        </w:tc>
        <w:tc>
          <w:tcPr>
            <w:tcW w:w="4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9"/>
                <w:szCs w:val="9"/>
                <w:color w:val="auto"/>
              </w:rPr>
            </w:pPr>
          </w:p>
        </w:tc>
        <w:tc>
          <w:tcPr>
            <w:tcW w:w="4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5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520" w:type="dxa"/>
            <w:vAlign w:val="bottom"/>
            <w:tcBorders>
              <w:bottom w:val="single" w:sz="8" w:color="auto"/>
            </w:tcBorders>
          </w:tcPr>
          <w:p>
            <w:pPr>
              <w:spacing w:after="0"/>
              <w:rPr>
                <w:sz w:val="8"/>
                <w:szCs w:val="8"/>
                <w:color w:val="auto"/>
              </w:rPr>
            </w:pPr>
          </w:p>
        </w:tc>
        <w:tc>
          <w:tcPr>
            <w:tcW w:w="4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8"/>
                <w:szCs w:val="8"/>
                <w:color w:val="auto"/>
              </w:rPr>
            </w:pPr>
          </w:p>
        </w:tc>
        <w:tc>
          <w:tcPr>
            <w:tcW w:w="4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5520" w:type="dxa"/>
            <w:vAlign w:val="bottom"/>
            <w:vMerge w:val="restart"/>
          </w:tcPr>
          <w:p>
            <w:pPr>
              <w:spacing w:after="0"/>
              <w:rPr>
                <w:sz w:val="20"/>
                <w:szCs w:val="20"/>
                <w:color w:val="auto"/>
              </w:rPr>
            </w:pPr>
            <w:r>
              <w:rPr>
                <w:rFonts w:ascii="Arial" w:cs="Arial" w:eastAsia="Arial" w:hAnsi="Arial"/>
                <w:sz w:val="18"/>
                <w:szCs w:val="18"/>
                <w:color w:val="auto"/>
              </w:rPr>
              <w:t>Address of witness</w:t>
            </w:r>
          </w:p>
        </w:tc>
        <w:tc>
          <w:tcPr>
            <w:tcW w:w="4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5520" w:type="dxa"/>
            <w:vAlign w:val="bottom"/>
            <w:vMerge w:val="continue"/>
          </w:tcPr>
          <w:p>
            <w:pPr>
              <w:spacing w:after="0"/>
              <w:rPr>
                <w:sz w:val="10"/>
                <w:szCs w:val="10"/>
                <w:color w:val="auto"/>
              </w:rPr>
            </w:pPr>
          </w:p>
        </w:tc>
        <w:tc>
          <w:tcPr>
            <w:tcW w:w="4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55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5520" w:type="dxa"/>
            <w:vAlign w:val="bottom"/>
          </w:tcPr>
          <w:p>
            <w:pPr>
              <w:spacing w:after="0"/>
              <w:rPr>
                <w:sz w:val="20"/>
                <w:szCs w:val="20"/>
                <w:color w:val="auto"/>
              </w:rPr>
            </w:pPr>
            <w:r>
              <w:rPr>
                <w:rFonts w:ascii="Arial" w:cs="Arial" w:eastAsia="Arial" w:hAnsi="Arial"/>
                <w:sz w:val="18"/>
                <w:szCs w:val="18"/>
                <w:i w:val="1"/>
                <w:iCs w:val="1"/>
                <w:color w:val="auto"/>
              </w:rPr>
              <w:t>Contact details for the purpose of Section 9 of this Agreement</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Address :</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Attention :</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Fax and Tel No. :</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Email address :</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Acknowledgement Agreement to the Shareholders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Party below have executed this Agreement as of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w:t>
            </w:r>
            <w:r>
              <w:rPr>
                <w:rFonts w:ascii="Arial" w:cs="Arial" w:eastAsia="Arial" w:hAnsi="Arial"/>
                <w:sz w:val="18"/>
                <w:szCs w:val="18"/>
                <w:b w:val="1"/>
                <w:bCs w:val="1"/>
                <w:color w:val="auto"/>
              </w:rPr>
              <w:t xml:space="preserve"> GLY New Mobility 1. LP</w:t>
            </w:r>
            <w:r>
              <w:rPr>
                <w:rFonts w:ascii="Arial" w:cs="Arial" w:eastAsia="Arial" w:hAnsi="Arial"/>
                <w:sz w:val="18"/>
                <w:szCs w:val="18"/>
                <w:color w:val="auto"/>
              </w:rPr>
              <w:t>, an exempted</w:t>
            </w: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8"/>
                <w:szCs w:val="18"/>
                <w:color w:val="auto"/>
                <w:w w:val="93"/>
              </w:rPr>
              <w:t xml:space="preserve">limited partnership incorporated in Cayman Islands by </w:t>
            </w:r>
            <w:r>
              <w:rPr>
                <w:rFonts w:ascii="Arial" w:cs="Arial" w:eastAsia="Arial" w:hAnsi="Arial"/>
                <w:sz w:val="18"/>
                <w:szCs w:val="18"/>
                <w:b w:val="1"/>
                <w:bCs w:val="1"/>
                <w:color w:val="auto"/>
                <w:w w:val="93"/>
              </w:rPr>
              <w:t>Hrvoje Krkalo</w:t>
            </w:r>
            <w:r>
              <w:rPr>
                <w:rFonts w:ascii="Arial" w:cs="Arial" w:eastAsia="Arial" w:hAnsi="Arial"/>
                <w:sz w:val="18"/>
                <w:szCs w:val="18"/>
                <w:color w:val="auto"/>
                <w:w w:val="93"/>
              </w:rPr>
              <w:t xml:space="preserve"> as a</w:t>
            </w: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w w:val="93"/>
              </w:rPr>
              <w:t>director of GLY New Mobility GP1, in its capacity as general partner of the</w:t>
            </w: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w w:val="91"/>
              </w:rPr>
              <w:t>partnership, in accordance with applicable laws or regulations of that place,</w:t>
            </w: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is acting under the authority of such partnership, in the presence of:</w:t>
            </w: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 Bai Shiyu</w:t>
            </w: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520" w:type="dxa"/>
            <w:vAlign w:val="bottom"/>
            <w:tcBorders>
              <w:bottom w:val="single" w:sz="8" w:color="auto"/>
            </w:tcBorders>
          </w:tcPr>
          <w:p>
            <w:pPr>
              <w:spacing w:after="0"/>
              <w:rPr>
                <w:sz w:val="3"/>
                <w:szCs w:val="3"/>
                <w:color w:val="auto"/>
              </w:rPr>
            </w:pPr>
          </w:p>
        </w:tc>
        <w:tc>
          <w:tcPr>
            <w:tcW w:w="54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49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5520" w:type="dxa"/>
            <w:vAlign w:val="bottom"/>
          </w:tcPr>
          <w:p>
            <w:pPr>
              <w:spacing w:after="0" w:line="156" w:lineRule="exact"/>
              <w:rPr>
                <w:sz w:val="20"/>
                <w:szCs w:val="20"/>
                <w:color w:val="auto"/>
              </w:rPr>
            </w:pPr>
            <w:r>
              <w:rPr>
                <w:rFonts w:ascii="Arial" w:cs="Arial" w:eastAsia="Arial" w:hAnsi="Arial"/>
                <w:sz w:val="18"/>
                <w:szCs w:val="18"/>
                <w:color w:val="auto"/>
              </w:rPr>
              <w:t>Signature of witness</w:t>
            </w:r>
          </w:p>
        </w:tc>
        <w:tc>
          <w:tcPr>
            <w:tcW w:w="540" w:type="dxa"/>
            <w:vAlign w:val="bottom"/>
            <w:vMerge w:val="continue"/>
          </w:tcPr>
          <w:p>
            <w:pPr>
              <w:spacing w:after="0"/>
              <w:rPr>
                <w:sz w:val="13"/>
                <w:szCs w:val="13"/>
                <w:color w:val="auto"/>
              </w:rPr>
            </w:pPr>
          </w:p>
        </w:tc>
        <w:tc>
          <w:tcPr>
            <w:tcW w:w="4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   /s/ Hrvoje Krkalo</w:t>
            </w:r>
          </w:p>
        </w:tc>
        <w:tc>
          <w:tcPr>
            <w:tcW w:w="0" w:type="dxa"/>
            <w:vAlign w:val="bottom"/>
          </w:tcPr>
          <w:p>
            <w:pPr>
              <w:spacing w:after="0"/>
              <w:rPr>
                <w:sz w:val="1"/>
                <w:szCs w:val="1"/>
                <w:color w:val="auto"/>
              </w:rPr>
            </w:pPr>
          </w:p>
        </w:tc>
      </w:tr>
      <w:tr>
        <w:trPr>
          <w:trHeight w:val="195"/>
        </w:trPr>
        <w:tc>
          <w:tcPr>
            <w:tcW w:w="5520" w:type="dxa"/>
            <w:vAlign w:val="bottom"/>
            <w:vMerge w:val="restart"/>
          </w:tcPr>
          <w:p>
            <w:pPr>
              <w:spacing w:after="0"/>
              <w:rPr>
                <w:sz w:val="20"/>
                <w:szCs w:val="20"/>
                <w:color w:val="auto"/>
              </w:rPr>
            </w:pPr>
            <w:r>
              <w:rPr>
                <w:rFonts w:ascii="Arial" w:cs="Arial" w:eastAsia="Arial" w:hAnsi="Arial"/>
                <w:sz w:val="18"/>
                <w:szCs w:val="18"/>
                <w:color w:val="auto"/>
              </w:rPr>
              <w:t>BAI SHIYU</w:t>
            </w:r>
          </w:p>
        </w:tc>
        <w:tc>
          <w:tcPr>
            <w:tcW w:w="540" w:type="dxa"/>
            <w:vAlign w:val="bottom"/>
          </w:tcPr>
          <w:p>
            <w:pPr>
              <w:ind w:left="220"/>
              <w:spacing w:after="0" w:line="195" w:lineRule="exact"/>
              <w:rPr>
                <w:sz w:val="20"/>
                <w:szCs w:val="20"/>
                <w:color w:val="auto"/>
              </w:rPr>
            </w:pPr>
            <w:r>
              <w:rPr>
                <w:rFonts w:ascii="Arial" w:cs="Arial" w:eastAsia="Arial" w:hAnsi="Arial"/>
                <w:sz w:val="18"/>
                <w:szCs w:val="18"/>
                <w:color w:val="auto"/>
              </w:rPr>
              <w:t>)</w:t>
            </w: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 executing this document, the signatory warrants that the</w:t>
            </w:r>
          </w:p>
        </w:tc>
        <w:tc>
          <w:tcPr>
            <w:tcW w:w="0" w:type="dxa"/>
            <w:vAlign w:val="bottom"/>
          </w:tcPr>
          <w:p>
            <w:pPr>
              <w:spacing w:after="0"/>
              <w:rPr>
                <w:sz w:val="1"/>
                <w:szCs w:val="1"/>
                <w:color w:val="auto"/>
              </w:rPr>
            </w:pPr>
          </w:p>
        </w:tc>
      </w:tr>
      <w:tr>
        <w:trPr>
          <w:trHeight w:val="82"/>
        </w:trPr>
        <w:tc>
          <w:tcPr>
            <w:tcW w:w="5520" w:type="dxa"/>
            <w:vAlign w:val="bottom"/>
            <w:vMerge w:val="continue"/>
          </w:tcPr>
          <w:p>
            <w:pPr>
              <w:spacing w:after="0"/>
              <w:rPr>
                <w:sz w:val="7"/>
                <w:szCs w:val="7"/>
                <w:color w:val="auto"/>
              </w:rPr>
            </w:pPr>
          </w:p>
        </w:tc>
        <w:tc>
          <w:tcPr>
            <w:tcW w:w="5500" w:type="dxa"/>
            <w:vAlign w:val="bottom"/>
            <w:gridSpan w:val="2"/>
            <w:vMerge w:val="restart"/>
          </w:tcPr>
          <w:p>
            <w:pPr>
              <w:ind w:left="220"/>
              <w:spacing w:after="0"/>
              <w:rPr>
                <w:sz w:val="20"/>
                <w:szCs w:val="20"/>
                <w:color w:val="auto"/>
              </w:rPr>
            </w:pPr>
            <w:r>
              <w:rPr>
                <w:rFonts w:ascii="Arial" w:cs="Arial" w:eastAsia="Arial" w:hAnsi="Arial"/>
                <w:sz w:val="18"/>
                <w:szCs w:val="18"/>
                <w:color w:val="auto"/>
                <w:w w:val="96"/>
              </w:rPr>
              <w:t>)   signatory is duly authorised to execute this document on behalf of</w:t>
            </w:r>
          </w:p>
        </w:tc>
        <w:tc>
          <w:tcPr>
            <w:tcW w:w="0" w:type="dxa"/>
            <w:vAlign w:val="bottom"/>
          </w:tcPr>
          <w:p>
            <w:pPr>
              <w:spacing w:after="0"/>
              <w:rPr>
                <w:sz w:val="1"/>
                <w:szCs w:val="1"/>
                <w:color w:val="auto"/>
              </w:rPr>
            </w:pPr>
          </w:p>
        </w:tc>
      </w:tr>
      <w:tr>
        <w:trPr>
          <w:trHeight w:val="134"/>
        </w:trPr>
        <w:tc>
          <w:tcPr>
            <w:tcW w:w="5520" w:type="dxa"/>
            <w:vAlign w:val="bottom"/>
          </w:tcPr>
          <w:p>
            <w:pPr>
              <w:spacing w:after="0"/>
              <w:rPr>
                <w:sz w:val="11"/>
                <w:szCs w:val="11"/>
                <w:color w:val="auto"/>
              </w:rPr>
            </w:pPr>
          </w:p>
        </w:tc>
        <w:tc>
          <w:tcPr>
            <w:tcW w:w="5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   GLY New Mobility 1. LP</w:t>
            </w:r>
          </w:p>
        </w:tc>
        <w:tc>
          <w:tcPr>
            <w:tcW w:w="0" w:type="dxa"/>
            <w:vAlign w:val="bottom"/>
          </w:tcPr>
          <w:p>
            <w:pPr>
              <w:spacing w:after="0"/>
              <w:rPr>
                <w:sz w:val="1"/>
                <w:szCs w:val="1"/>
                <w:color w:val="auto"/>
              </w:rPr>
            </w:pPr>
          </w:p>
        </w:tc>
      </w:tr>
      <w:tr>
        <w:trPr>
          <w:trHeight w:val="82"/>
        </w:trPr>
        <w:tc>
          <w:tcPr>
            <w:tcW w:w="5520" w:type="dxa"/>
            <w:vAlign w:val="bottom"/>
            <w:tcBorders>
              <w:bottom w:val="single" w:sz="8" w:color="auto"/>
            </w:tcBorders>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49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5520" w:type="dxa"/>
            <w:vAlign w:val="bottom"/>
            <w:vMerge w:val="restart"/>
          </w:tcPr>
          <w:p>
            <w:pPr>
              <w:spacing w:after="0"/>
              <w:rPr>
                <w:sz w:val="20"/>
                <w:szCs w:val="20"/>
                <w:color w:val="auto"/>
              </w:rPr>
            </w:pPr>
            <w:r>
              <w:rPr>
                <w:rFonts w:ascii="Arial" w:cs="Arial" w:eastAsia="Arial" w:hAnsi="Arial"/>
                <w:sz w:val="18"/>
                <w:szCs w:val="18"/>
                <w:color w:val="auto"/>
              </w:rPr>
              <w:t>Name of witness (block letters)</w:t>
            </w:r>
          </w:p>
        </w:tc>
        <w:tc>
          <w:tcPr>
            <w:tcW w:w="540" w:type="dxa"/>
            <w:vAlign w:val="bottom"/>
            <w:vMerge w:val="continue"/>
          </w:tcPr>
          <w:p>
            <w:pPr>
              <w:spacing w:after="0"/>
              <w:rPr>
                <w:sz w:val="9"/>
                <w:szCs w:val="9"/>
                <w:color w:val="auto"/>
              </w:rPr>
            </w:pPr>
          </w:p>
        </w:tc>
        <w:tc>
          <w:tcPr>
            <w:tcW w:w="4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5520" w:type="dxa"/>
            <w:vAlign w:val="bottom"/>
            <w:vMerge w:val="continue"/>
          </w:tcPr>
          <w:p>
            <w:pPr>
              <w:spacing w:after="0"/>
              <w:rPr>
                <w:sz w:val="9"/>
                <w:szCs w:val="9"/>
                <w:color w:val="auto"/>
              </w:rPr>
            </w:pPr>
          </w:p>
        </w:tc>
        <w:tc>
          <w:tcPr>
            <w:tcW w:w="54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5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4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520" w:type="dxa"/>
            <w:vAlign w:val="bottom"/>
            <w:tcBorders>
              <w:bottom w:val="single" w:sz="8" w:color="auto"/>
            </w:tcBorders>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49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5520" w:type="dxa"/>
            <w:vAlign w:val="bottom"/>
            <w:vMerge w:val="restart"/>
          </w:tcPr>
          <w:p>
            <w:pPr>
              <w:spacing w:after="0"/>
              <w:rPr>
                <w:sz w:val="20"/>
                <w:szCs w:val="20"/>
                <w:color w:val="auto"/>
              </w:rPr>
            </w:pPr>
            <w:r>
              <w:rPr>
                <w:rFonts w:ascii="Arial" w:cs="Arial" w:eastAsia="Arial" w:hAnsi="Arial"/>
                <w:sz w:val="18"/>
                <w:szCs w:val="18"/>
                <w:color w:val="auto"/>
              </w:rPr>
              <w:t>Address of witness</w:t>
            </w:r>
          </w:p>
        </w:tc>
        <w:tc>
          <w:tcPr>
            <w:tcW w:w="540" w:type="dxa"/>
            <w:vAlign w:val="bottom"/>
            <w:vMerge w:val="continue"/>
          </w:tcPr>
          <w:p>
            <w:pPr>
              <w:spacing w:after="0"/>
              <w:rPr>
                <w:sz w:val="8"/>
                <w:szCs w:val="8"/>
                <w:color w:val="auto"/>
              </w:rPr>
            </w:pPr>
          </w:p>
        </w:tc>
        <w:tc>
          <w:tcPr>
            <w:tcW w:w="4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5520" w:type="dxa"/>
            <w:vAlign w:val="bottom"/>
            <w:vMerge w:val="continue"/>
          </w:tcPr>
          <w:p>
            <w:pPr>
              <w:spacing w:after="0"/>
              <w:rPr>
                <w:sz w:val="10"/>
                <w:szCs w:val="10"/>
                <w:color w:val="auto"/>
              </w:rPr>
            </w:pPr>
          </w:p>
        </w:tc>
        <w:tc>
          <w:tcPr>
            <w:tcW w:w="54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55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4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5520" w:type="dxa"/>
            <w:vAlign w:val="bottom"/>
          </w:tcPr>
          <w:p>
            <w:pPr>
              <w:spacing w:after="0"/>
              <w:rPr>
                <w:sz w:val="20"/>
                <w:szCs w:val="20"/>
                <w:color w:val="auto"/>
              </w:rPr>
            </w:pPr>
            <w:r>
              <w:rPr>
                <w:rFonts w:ascii="Arial" w:cs="Arial" w:eastAsia="Arial" w:hAnsi="Arial"/>
                <w:sz w:val="18"/>
                <w:szCs w:val="18"/>
                <w:i w:val="1"/>
                <w:iCs w:val="1"/>
                <w:color w:val="auto"/>
              </w:rPr>
              <w:t>Contact details for the purpose of Section 9 of this Agreement</w:t>
            </w:r>
          </w:p>
        </w:tc>
        <w:tc>
          <w:tcPr>
            <w:tcW w:w="5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Address :</w:t>
            </w:r>
          </w:p>
        </w:tc>
        <w:tc>
          <w:tcPr>
            <w:tcW w:w="5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Attention :</w:t>
            </w:r>
          </w:p>
        </w:tc>
        <w:tc>
          <w:tcPr>
            <w:tcW w:w="5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Fax and Tel No. :</w:t>
            </w:r>
          </w:p>
        </w:tc>
        <w:tc>
          <w:tcPr>
            <w:tcW w:w="5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Email address :</w:t>
            </w:r>
          </w:p>
        </w:tc>
        <w:tc>
          <w:tcPr>
            <w:tcW w:w="5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Acknowledgement Agreement to the Shareholders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Party below have executed this Agreement as of the date first above written.</w:t>
      </w:r>
    </w:p>
    <w:p>
      <w:pPr>
        <w:sectPr>
          <w:pgSz w:w="11900" w:h="16838" w:orient="portrait"/>
          <w:cols w:equalWidth="0" w:num="1">
            <w:col w:w="11020"/>
          </w:cols>
          <w:pgMar w:left="440" w:top="274" w:right="439" w:bottom="1440" w:gutter="0" w:footer="0" w:header="0"/>
        </w:sectPr>
      </w:pPr>
    </w:p>
    <w:p>
      <w:pPr>
        <w:spacing w:after="0" w:line="271"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for and on behalf of</w:t>
      </w:r>
      <w:r>
        <w:rPr>
          <w:rFonts w:ascii="Arial" w:cs="Arial" w:eastAsia="Arial" w:hAnsi="Arial"/>
          <w:sz w:val="17"/>
          <w:szCs w:val="17"/>
          <w:b w:val="1"/>
          <w:bCs w:val="1"/>
          <w:color w:val="auto"/>
        </w:rPr>
        <w:t xml:space="preserve"> POLESTAR AUTOMOTIVE HOLDING UK LIMITED</w:t>
      </w:r>
      <w:r>
        <w:rPr>
          <w:rFonts w:ascii="Arial" w:cs="Arial" w:eastAsia="Arial" w:hAnsi="Arial"/>
          <w:sz w:val="17"/>
          <w:szCs w:val="17"/>
          <w:color w:val="auto"/>
        </w:rPr>
        <w:t>, by</w:t>
      </w:r>
      <w:r>
        <w:rPr>
          <w:rFonts w:ascii="Arial" w:cs="Arial" w:eastAsia="Arial" w:hAnsi="Arial"/>
          <w:sz w:val="17"/>
          <w:szCs w:val="17"/>
          <w:b w:val="1"/>
          <w:bCs w:val="1"/>
          <w:color w:val="auto"/>
        </w:rPr>
        <w:t xml:space="preserve"> JAN MIKAEL ALKMARK</w:t>
      </w:r>
      <w:r>
        <w:rPr>
          <w:rFonts w:ascii="Arial" w:cs="Arial" w:eastAsia="Arial" w:hAnsi="Arial"/>
          <w:sz w:val="17"/>
          <w:szCs w:val="17"/>
          <w:color w:val="auto"/>
        </w:rPr>
        <w:t>, being a Person who is</w:t>
      </w:r>
      <w:r>
        <w:rPr>
          <w:rFonts w:ascii="Arial" w:cs="Arial" w:eastAsia="Arial" w:hAnsi="Arial"/>
          <w:sz w:val="17"/>
          <w:szCs w:val="17"/>
          <w:b w:val="1"/>
          <w:bCs w:val="1"/>
          <w:color w:val="auto"/>
        </w:rPr>
        <w:t xml:space="preserve"> </w:t>
      </w:r>
      <w:r>
        <w:rPr>
          <w:rFonts w:ascii="Arial" w:cs="Arial" w:eastAsia="Arial" w:hAnsi="Arial"/>
          <w:sz w:val="17"/>
          <w:szCs w:val="17"/>
          <w:color w:val="auto"/>
        </w:rPr>
        <w:t>acting under the authority of the Company, in the presence 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Anna Rudensjö</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058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Anna Rudensjö</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058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Contact details for the purpose of Section 9 of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and Tel No.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rPr>
              <w:t>/s/ Jan Mikael Alkmark</w:t>
            </w:r>
          </w:p>
        </w:tc>
        <w:tc>
          <w:tcPr>
            <w:tcW w:w="0" w:type="dxa"/>
            <w:vAlign w:val="bottom"/>
          </w:tcPr>
          <w:p>
            <w:pPr>
              <w:spacing w:after="0"/>
              <w:rPr>
                <w:sz w:val="1"/>
                <w:szCs w:val="1"/>
                <w:color w:val="auto"/>
              </w:rPr>
            </w:pPr>
          </w:p>
        </w:tc>
      </w:tr>
      <w:tr>
        <w:trPr>
          <w:trHeight w:val="109"/>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80" w:type="dxa"/>
            <w:vAlign w:val="bottom"/>
            <w:vMerge w:val="continue"/>
          </w:tcPr>
          <w:p>
            <w:pPr>
              <w:spacing w:after="0"/>
              <w:rPr>
                <w:sz w:val="7"/>
                <w:szCs w:val="7"/>
                <w:color w:val="auto"/>
              </w:rPr>
            </w:pPr>
          </w:p>
        </w:tc>
        <w:tc>
          <w:tcPr>
            <w:tcW w:w="5100" w:type="dxa"/>
            <w:vAlign w:val="bottom"/>
            <w:gridSpan w:val="2"/>
            <w:vMerge w:val="restart"/>
          </w:tcPr>
          <w:p>
            <w:pPr>
              <w:ind w:left="140"/>
              <w:spacing w:after="0" w:line="195" w:lineRule="exact"/>
              <w:rPr>
                <w:sz w:val="20"/>
                <w:szCs w:val="20"/>
                <w:color w:val="auto"/>
              </w:rPr>
            </w:pPr>
            <w:r>
              <w:rPr>
                <w:rFonts w:ascii="Arial" w:cs="Arial" w:eastAsia="Arial" w:hAnsi="Arial"/>
                <w:sz w:val="18"/>
                <w:szCs w:val="18"/>
                <w:color w:val="auto"/>
              </w:rPr>
              <w:t>By executing this document, the signatory warrants that the</w:t>
            </w:r>
          </w:p>
        </w:tc>
        <w:tc>
          <w:tcPr>
            <w:tcW w:w="0" w:type="dxa"/>
            <w:vAlign w:val="bottom"/>
          </w:tcPr>
          <w:p>
            <w:pPr>
              <w:spacing w:after="0"/>
              <w:rPr>
                <w:sz w:val="1"/>
                <w:szCs w:val="1"/>
                <w:color w:val="auto"/>
              </w:rPr>
            </w:pPr>
          </w:p>
        </w:tc>
      </w:tr>
      <w:tr>
        <w:trPr>
          <w:trHeight w:val="108"/>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0" w:type="dxa"/>
            <w:vAlign w:val="bottom"/>
            <w:vMerge w:val="continue"/>
          </w:tcPr>
          <w:p>
            <w:pPr>
              <w:spacing w:after="0"/>
              <w:rPr>
                <w:sz w:val="9"/>
                <w:szCs w:val="9"/>
                <w:color w:val="auto"/>
              </w:rPr>
            </w:pP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w w:val="94"/>
              </w:rPr>
              <w:t>signatory is duly authorised to execute this document on behalf of</w:t>
            </w:r>
          </w:p>
        </w:tc>
        <w:tc>
          <w:tcPr>
            <w:tcW w:w="0" w:type="dxa"/>
            <w:vAlign w:val="bottom"/>
          </w:tcPr>
          <w:p>
            <w:pPr>
              <w:spacing w:after="0"/>
              <w:rPr>
                <w:sz w:val="1"/>
                <w:szCs w:val="1"/>
                <w:color w:val="auto"/>
              </w:rPr>
            </w:pPr>
          </w:p>
        </w:tc>
      </w:tr>
      <w:tr>
        <w:trPr>
          <w:trHeight w:val="108"/>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0" w:type="dxa"/>
            <w:vAlign w:val="bottom"/>
            <w:vMerge w:val="continue"/>
          </w:tcPr>
          <w:p>
            <w:pPr>
              <w:spacing w:after="0"/>
              <w:rPr>
                <w:sz w:val="9"/>
                <w:szCs w:val="9"/>
                <w:color w:val="auto"/>
              </w:rPr>
            </w:pPr>
          </w:p>
        </w:tc>
        <w:tc>
          <w:tcPr>
            <w:tcW w:w="5100" w:type="dxa"/>
            <w:vAlign w:val="bottom"/>
            <w:gridSpan w:val="2"/>
            <w:vMerge w:val="restart"/>
          </w:tcPr>
          <w:p>
            <w:pPr>
              <w:ind w:left="140"/>
              <w:spacing w:after="0"/>
              <w:rPr>
                <w:sz w:val="20"/>
                <w:szCs w:val="20"/>
                <w:color w:val="auto"/>
              </w:rPr>
            </w:pPr>
            <w:r>
              <w:rPr>
                <w:rFonts w:ascii="Arial" w:cs="Arial" w:eastAsia="Arial" w:hAnsi="Arial"/>
                <w:sz w:val="18"/>
                <w:szCs w:val="18"/>
                <w:color w:val="auto"/>
              </w:rPr>
              <w:t>POLESTAR AUTOMOTIVE HOLDING UK LIMITED</w:t>
            </w:r>
          </w:p>
        </w:tc>
        <w:tc>
          <w:tcPr>
            <w:tcW w:w="0" w:type="dxa"/>
            <w:vAlign w:val="bottom"/>
          </w:tcPr>
          <w:p>
            <w:pPr>
              <w:spacing w:after="0"/>
              <w:rPr>
                <w:sz w:val="1"/>
                <w:szCs w:val="1"/>
                <w:color w:val="auto"/>
              </w:rPr>
            </w:pPr>
          </w:p>
        </w:tc>
      </w:tr>
      <w:tr>
        <w:trPr>
          <w:trHeight w:val="122"/>
        </w:trPr>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5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8" w:lineRule="exact"/>
        <w:rPr>
          <w:sz w:val="20"/>
          <w:szCs w:val="20"/>
          <w:color w:val="auto"/>
        </w:rPr>
      </w:pPr>
    </w:p>
    <w:p>
      <w:pPr>
        <w:sectPr>
          <w:pgSz w:w="11900" w:h="16838" w:orient="portrait"/>
          <w:cols w:equalWidth="0" w:num="2">
            <w:col w:w="5380" w:space="360"/>
            <w:col w:w="5280"/>
          </w:cols>
          <w:pgMar w:left="440" w:top="274"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Acknowledgement Agreement to the Shareholders Agreement</w:t>
      </w:r>
      <w:r>
        <w:rPr>
          <w:rFonts w:ascii="Arial" w:cs="Arial" w:eastAsia="Arial" w:hAnsi="Arial"/>
          <w:sz w:val="16"/>
          <w:szCs w:val="16"/>
          <w:color w:val="auto"/>
        </w:rPr>
        <w:t>)</w:t>
      </w:r>
    </w:p>
    <w:sectPr>
      <w:pgSz w:w="11900" w:h="16838" w:orient="portrait"/>
      <w:cols w:equalWidth="0" w:num="1">
        <w:col w:w="11020"/>
      </w:cols>
      <w:pgMar w:left="440" w:top="274"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lowerLetter"/>
      <w:start w:val="23"/>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lowerLetter"/>
      <w:start w:val="1"/>
    </w:lvl>
  </w:abstractNum>
  <w:abstractNum w:abstractNumId="6">
    <w:nsid w:val="5072367"/>
    <w:multiLevelType w:val="hybridMultilevel"/>
    <w:lvl w:ilvl="0">
      <w:lvlJc w:val="left"/>
      <w:lvlText w:val="%1."/>
      <w:numFmt w:val="decimal"/>
      <w:start w:val="3"/>
    </w:lvl>
  </w:abstractNum>
  <w:abstractNum w:abstractNumId="7">
    <w:nsid w:val="3804823E"/>
    <w:multiLevelType w:val="hybridMultilevel"/>
    <w:lvl w:ilvl="0">
      <w:lvlJc w:val="left"/>
      <w:lvlText w:val="%1."/>
      <w:numFmt w:val="decimal"/>
      <w:start w:val="1"/>
    </w:lvl>
    <w:lvl w:ilvl="1">
      <w:lvlJc w:val="left"/>
      <w:lvlText w:val="%2"/>
      <w:numFmt w:val="lowerLetter"/>
      <w:start w:val="1"/>
    </w:lvl>
  </w:abstractNum>
  <w:abstractNum w:abstractNumId="8">
    <w:nsid w:val="77465F01"/>
    <w:multiLevelType w:val="hybridMultilevel"/>
    <w:lvl w:ilvl="0">
      <w:lvlJc w:val="left"/>
      <w:lvlText w:val="(%1)"/>
      <w:numFmt w:val="lowerLetter"/>
      <w:start w:val="5"/>
    </w:lvl>
  </w:abstractNum>
  <w:abstractNum w:abstractNumId="9">
    <w:nsid w:val="7724C67E"/>
    <w:multiLevelType w:val="hybridMultilevel"/>
    <w:lvl w:ilvl="0">
      <w:lvlJc w:val="left"/>
      <w:lvlText w:val="%1."/>
      <w:numFmt w:val="decimal"/>
      <w:start w:val="2"/>
    </w:lvl>
  </w:abstractNum>
  <w:abstractNum w:abstractNumId="10">
    <w:nsid w:val="5C482A97"/>
    <w:multiLevelType w:val="hybridMultilevel"/>
    <w:lvl w:ilvl="0">
      <w:lvlJc w:val="left"/>
      <w:lvlText w:val="%1."/>
      <w:numFmt w:val="decimal"/>
      <w:start w:val="1"/>
    </w:lvl>
    <w:lvl w:ilvl="1">
      <w:lvlJc w:val="left"/>
      <w:lvlText w:val="%2."/>
      <w:numFmt w:val="lowerLetter"/>
      <w:start w:val="1"/>
    </w:lvl>
  </w:abstractNum>
  <w:abstractNum w:abstractNumId="11">
    <w:nsid w:val="2463B9EA"/>
    <w:multiLevelType w:val="hybridMultilevel"/>
    <w:lvl w:ilvl="0">
      <w:lvlJc w:val="left"/>
      <w:lvlText w:val="(%1)"/>
      <w:numFmt w:val="decimal"/>
      <w:start w:val="1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lowerLetter"/>
      <w:start w:val="1"/>
    </w:lvl>
  </w:abstractNum>
  <w:abstractNum w:abstractNumId="14">
    <w:nsid w:val="2D517796"/>
    <w:multiLevelType w:val="hybridMultilevel"/>
    <w:lvl w:ilvl="0">
      <w:lvlJc w:val="left"/>
      <w:lvlText w:val="%1"/>
      <w:numFmt w:val="decimal"/>
      <w:start w:val="1"/>
    </w:lvl>
    <w:lvl w:ilvl="1">
      <w:lvlJc w:val="left"/>
      <w:lvlText w:val="(%2)"/>
      <w:numFmt w:val="lowerLetter"/>
      <w:start w:val="3"/>
    </w:lvl>
  </w:abstractNum>
  <w:abstractNum w:abstractNumId="15">
    <w:nsid w:val="580BD78F"/>
    <w:multiLevelType w:val="hybridMultilevel"/>
    <w:lvl w:ilvl="0">
      <w:lvlJc w:val="left"/>
      <w:lvlText w:val="%1."/>
      <w:numFmt w:val="decimal"/>
      <w:start w:val="2"/>
    </w:lvl>
    <w:lvl w:ilvl="1">
      <w:lvlJc w:val="left"/>
      <w:lvlText w:val="%2"/>
      <w:numFmt w:val="lowerLetter"/>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4"/>
    </w:lvl>
  </w:abstractNum>
  <w:abstractNum w:abstractNumId="26">
    <w:nsid w:val="4B588F54"/>
    <w:multiLevelType w:val="hybridMultilevel"/>
    <w:lvl w:ilvl="0">
      <w:lvlJc w:val="left"/>
      <w:lvlText w:val="(%1)"/>
      <w:numFmt w:val="decimal"/>
      <w:start w:val="1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lowerLetter"/>
      <w:start w:val="1"/>
    </w:lvl>
  </w:abstractNum>
  <w:abstractNum w:abstractNumId="29">
    <w:nsid w:val="38437FDB"/>
    <w:multiLevelType w:val="hybridMultilevel"/>
    <w:lvl w:ilvl="0">
      <w:lvlJc w:val="left"/>
      <w:lvlText w:val="(%1)"/>
      <w:numFmt w:val="lowerLetter"/>
      <w:start w:val="1"/>
    </w:lvl>
    <w:lvl w:ilvl="1">
      <w:lvlJc w:val="left"/>
      <w:lvlText w:val="(%2)"/>
      <w:numFmt w:val="lowerLetter"/>
      <w:start w:val="9"/>
    </w:lvl>
  </w:abstractNum>
  <w:abstractNum w:abstractNumId="30">
    <w:nsid w:val="7644A45C"/>
    <w:multiLevelType w:val="hybridMultilevel"/>
    <w:lvl w:ilvl="0">
      <w:lvlJc w:val="left"/>
      <w:lvlText w:val="(%1)"/>
      <w:numFmt w:val="lowerRoman"/>
      <w:start w:val="2"/>
    </w:lvl>
  </w:abstractNum>
  <w:abstractNum w:abstractNumId="31">
    <w:nsid w:val="32FFF902"/>
    <w:multiLevelType w:val="hybridMultilevel"/>
    <w:lvl w:ilvl="0">
      <w:lvlJc w:val="left"/>
      <w:lvlText w:val="%1"/>
      <w:numFmt w:val="decimal"/>
      <w:start w:val="1"/>
    </w:lvl>
    <w:lvl w:ilvl="1">
      <w:lvlJc w:val="left"/>
      <w:lvlText w:val="(%2)"/>
      <w:numFmt w:val="lowerLetter"/>
      <w:start w:val="2"/>
    </w:lvl>
  </w:abstractNum>
  <w:abstractNum w:abstractNumId="32">
    <w:nsid w:val="684A481A"/>
    <w:multiLevelType w:val="hybridMultilevel"/>
    <w:lvl w:ilvl="0">
      <w:lvlJc w:val="left"/>
      <w:lvlText w:val="%1."/>
      <w:numFmt w:val="decimal"/>
      <w:start w:val="4"/>
    </w:lvl>
    <w:lvl w:ilvl="1">
      <w:lvlJc w:val="left"/>
      <w:lvlText w:val="%2"/>
      <w:numFmt w:val="lowerLetter"/>
      <w:start w:val="1"/>
    </w:lvl>
  </w:abstractNum>
  <w:abstractNum w:abstractNumId="33">
    <w:nsid w:val="579478FE"/>
    <w:multiLevelType w:val="hybridMultilevel"/>
    <w:lvl w:ilvl="0">
      <w:lvlJc w:val="left"/>
      <w:lvlText w:val="(%1)"/>
      <w:numFmt w:val="lowerLetter"/>
      <w:start w:val="1"/>
    </w:lvl>
  </w:abstractNum>
  <w:abstractNum w:abstractNumId="34">
    <w:nsid w:val="749ABB43"/>
    <w:multiLevelType w:val="hybridMultilevel"/>
    <w:lvl w:ilvl="0">
      <w:lvlJc w:val="left"/>
      <w:lvlText w:val="(%1)"/>
      <w:numFmt w:val="lowerLetter"/>
      <w:start w:val="1"/>
    </w:lvl>
  </w:abstractNum>
  <w:abstractNum w:abstractNumId="35">
    <w:nsid w:val="3DC240FB"/>
    <w:multiLevelType w:val="hybridMultilevel"/>
    <w:lvl w:ilvl="0">
      <w:lvlJc w:val="left"/>
      <w:lvlText w:val="%1"/>
      <w:numFmt w:val="decimal"/>
      <w:start w:val="1"/>
    </w:lvl>
    <w:lvl w:ilvl="1">
      <w:lvlJc w:val="left"/>
      <w:lvlText w:val="(%2)"/>
      <w:numFmt w:val="lowerLetter"/>
      <w:start w:val="3"/>
    </w:lvl>
  </w:abstractNum>
  <w:abstractNum w:abstractNumId="36">
    <w:nsid w:val="1BA026FA"/>
    <w:multiLevelType w:val="hybridMultilevel"/>
    <w:lvl w:ilvl="0">
      <w:lvlJc w:val="left"/>
      <w:lvlText w:val="%1."/>
      <w:numFmt w:val="decimal"/>
      <w:start w:val="5"/>
    </w:lvl>
    <w:lvl w:ilvl="1">
      <w:lvlJc w:val="left"/>
      <w:lvlText w:val="%2"/>
      <w:numFmt w:val="lowerLetter"/>
      <w:start w:val="1"/>
    </w:lvl>
  </w:abstractNum>
  <w:abstractNum w:abstractNumId="37">
    <w:nsid w:val="79A1DEAA"/>
    <w:multiLevelType w:val="hybridMultilevel"/>
    <w:lvl w:ilvl="0">
      <w:lvlJc w:val="left"/>
      <w:lvlText w:val="(%1)"/>
      <w:numFmt w:val="lowerLetter"/>
      <w:start w:val="1"/>
    </w:lvl>
  </w:abstractNum>
  <w:abstractNum w:abstractNumId="38">
    <w:nsid w:val="75C6C33A"/>
    <w:multiLevelType w:val="hybridMultilevel"/>
    <w:lvl w:ilvl="0">
      <w:lvlJc w:val="left"/>
      <w:lvlText w:val="(%1)"/>
      <w:numFmt w:val="lowerLetter"/>
      <w:start w:val="1"/>
    </w:lvl>
  </w:abstractNum>
  <w:abstractNum w:abstractNumId="39">
    <w:nsid w:val="12E685FB"/>
    <w:multiLevelType w:val="hybridMultilevel"/>
    <w:lvl w:ilvl="0">
      <w:lvlJc w:val="left"/>
      <w:lvlText w:val="(%1)"/>
      <w:numFmt w:val="lowerLetter"/>
      <w:start w:val="2"/>
    </w:lvl>
  </w:abstractNum>
  <w:abstractNum w:abstractNumId="40">
    <w:nsid w:val="70C6A529"/>
    <w:multiLevelType w:val="hybridMultilevel"/>
    <w:lvl w:ilvl="0">
      <w:lvlJc w:val="left"/>
      <w:lvlText w:val="(%1)"/>
      <w:numFmt w:val="lowerLetter"/>
      <w:start w:val="1"/>
    </w:lvl>
  </w:abstractNum>
  <w:abstractNum w:abstractNumId="41">
    <w:nsid w:val="520EEDD1"/>
    <w:multiLevelType w:val="hybridMultilevel"/>
    <w:lvl w:ilvl="0">
      <w:lvlJc w:val="left"/>
      <w:lvlText w:val="(%1)"/>
      <w:numFmt w:val="lowerLetter"/>
      <w:start w:val="4"/>
    </w:lvl>
  </w:abstractNum>
  <w:abstractNum w:abstractNumId="42">
    <w:nsid w:val="374A3FE6"/>
    <w:multiLevelType w:val="hybridMultilevel"/>
    <w:lvl w:ilvl="0">
      <w:lvlJc w:val="left"/>
      <w:lvlText w:val="%1"/>
      <w:numFmt w:val="decimal"/>
      <w:start w:val="1"/>
    </w:lvl>
    <w:lvl w:ilvl="1">
      <w:lvlJc w:val="left"/>
      <w:lvlText w:val="(%2)"/>
      <w:numFmt w:val="lowerLetter"/>
      <w:start w:val="1"/>
    </w:lvl>
  </w:abstractNum>
  <w:abstractNum w:abstractNumId="43">
    <w:nsid w:val="4F4EF005"/>
    <w:multiLevelType w:val="hybridMultilevel"/>
    <w:lvl w:ilvl="0">
      <w:lvlJc w:val="left"/>
      <w:lvlText w:val="%1."/>
      <w:numFmt w:val="decimal"/>
      <w:start w:val="10"/>
    </w:lvl>
    <w:lvl w:ilvl="1">
      <w:lvlJc w:val="left"/>
      <w:lvlText w:val="%2"/>
      <w:numFmt w:val="lowerLetter"/>
      <w:start w:val="1"/>
    </w:lvl>
  </w:abstractNum>
  <w:abstractNum w:abstractNumId="44">
    <w:nsid w:val="23F9C13C"/>
    <w:multiLevelType w:val="hybridMultilevel"/>
    <w:lvl w:ilvl="0">
      <w:lvlJc w:val="left"/>
      <w:lvlText w:val="(%1)"/>
      <w:numFmt w:val="lowerLetter"/>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2022-03-25T15:55:41Z</dcterms:created>
  <dcterms:modified xsi:type="dcterms:W3CDTF">2022-03-25T15:55:41Z</dcterms:modified>
</cp:coreProperties>
</file>