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Filed by Polestar Automotive Holding UK Limited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ind w:left="8560"/>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ind w:left="7800"/>
        <w:spacing w:after="0"/>
        <w:rPr>
          <w:sz w:val="20"/>
          <w:szCs w:val="20"/>
          <w:color w:val="auto"/>
        </w:rPr>
      </w:pPr>
      <w:r>
        <w:rPr>
          <w:rFonts w:ascii="Arial" w:cs="Arial" w:eastAsia="Arial" w:hAnsi="Arial"/>
          <w:sz w:val="16"/>
          <w:szCs w:val="16"/>
          <w:b w:val="1"/>
          <w:bCs w:val="1"/>
          <w:color w:val="auto"/>
        </w:rPr>
        <w:t>Polestar Automotive Holding UK Limited</w:t>
      </w:r>
    </w:p>
    <w:p>
      <w:pPr>
        <w:spacing w:after="0" w:line="32" w:lineRule="exact"/>
        <w:rPr>
          <w:sz w:val="24"/>
          <w:szCs w:val="24"/>
          <w:color w:val="auto"/>
        </w:rPr>
      </w:pPr>
    </w:p>
    <w:p>
      <w:pPr>
        <w:ind w:left="9140"/>
        <w:spacing w:after="0"/>
        <w:rPr>
          <w:sz w:val="20"/>
          <w:szCs w:val="20"/>
          <w:color w:val="auto"/>
        </w:rPr>
      </w:pPr>
      <w:r>
        <w:rPr>
          <w:rFonts w:ascii="Arial" w:cs="Arial" w:eastAsia="Arial" w:hAnsi="Arial"/>
          <w:sz w:val="16"/>
          <w:szCs w:val="16"/>
          <w:b w:val="1"/>
          <w:bCs w:val="1"/>
          <w:color w:val="auto"/>
        </w:rPr>
        <w:t>Gores Guggenheim, Inc.</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001-40265)</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GORES GUGGENHEIM,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001-40265</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85-4385646</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6260 Lookout Road</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Boulder, CO</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80301</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 209-3010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960" w:hanging="532"/>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1940" w:firstLine="428"/>
        <w:spacing w:after="0" w:line="456" w:lineRule="auto"/>
        <w:tabs>
          <w:tab w:leader="none" w:pos="97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GGPI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Warrants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GGPIW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GGPIU</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116205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91" w:right="439" w:bottom="684"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Holder Meeting Record Date</w:t>
      </w:r>
    </w:p>
    <w:p>
      <w:pPr>
        <w:spacing w:after="0" w:line="117"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As previously disclosed, on September 27, 2021, Gores Guggenheim,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Business Combination Agreement (as amended by that certain amendment dated December 17, 2021, that certain amendment dated March 24, 2022 and that certain amendment dated April 21, 2022,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by and among the Company, Polestar Automotive Holding Limited, a Hong Kong incorporated company, Polestar Automotive (Singapore) Pte. Ltd., a private company limited by shares in Singapore, Polestar Holding AB, a private limited liability company incorporated under the laws of Sweden, Polestar Automotive Holding UK Limited, a limited company incorporated under the laws of England and Wales and a direct wholly owned subsidiary of Parent (“</w:t>
      </w:r>
      <w:r>
        <w:rPr>
          <w:rFonts w:ascii="Arial" w:cs="Arial" w:eastAsia="Arial" w:hAnsi="Arial"/>
          <w:sz w:val="18"/>
          <w:szCs w:val="18"/>
          <w:u w:val="single" w:color="auto"/>
          <w:color w:val="auto"/>
        </w:rPr>
        <w:t>ListCo</w:t>
      </w:r>
      <w:r>
        <w:rPr>
          <w:rFonts w:ascii="Arial" w:cs="Arial" w:eastAsia="Arial" w:hAnsi="Arial"/>
          <w:sz w:val="18"/>
          <w:szCs w:val="18"/>
          <w:color w:val="auto"/>
        </w:rPr>
        <w:t>”), and PAH UK Merger Sub Inc., a Delaware corporation and a direct wholly owned subsidiary of ListCo.</w:t>
      </w:r>
    </w:p>
    <w:p>
      <w:pPr>
        <w:spacing w:after="0" w:line="195"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The Business Combination Agreement contemplates that the Company will hold a meeting (the “</w:t>
      </w:r>
      <w:r>
        <w:rPr>
          <w:rFonts w:ascii="Arial" w:cs="Arial" w:eastAsia="Arial" w:hAnsi="Arial"/>
          <w:sz w:val="16"/>
          <w:szCs w:val="16"/>
          <w:u w:val="single" w:color="auto"/>
          <w:color w:val="auto"/>
        </w:rPr>
        <w:t>Warrant Holder Meeting</w:t>
      </w:r>
      <w:r>
        <w:rPr>
          <w:rFonts w:ascii="Arial" w:cs="Arial" w:eastAsia="Arial" w:hAnsi="Arial"/>
          <w:sz w:val="16"/>
          <w:szCs w:val="16"/>
          <w:color w:val="auto"/>
        </w:rPr>
        <w:t>”) of the holders of the public warrants of the Company (the “</w:t>
      </w:r>
      <w:r>
        <w:rPr>
          <w:rFonts w:ascii="Arial" w:cs="Arial" w:eastAsia="Arial" w:hAnsi="Arial"/>
          <w:sz w:val="16"/>
          <w:szCs w:val="16"/>
          <w:u w:val="single" w:color="auto"/>
          <w:color w:val="auto"/>
        </w:rPr>
        <w:t>Public Warrants</w:t>
      </w:r>
      <w:r>
        <w:rPr>
          <w:rFonts w:ascii="Arial" w:cs="Arial" w:eastAsia="Arial" w:hAnsi="Arial"/>
          <w:sz w:val="16"/>
          <w:szCs w:val="16"/>
          <w:color w:val="auto"/>
        </w:rPr>
        <w:t>”) for the purpose of soliciting the consent of such holders required by that certain Warrant Agreement, dated as of March 22, 2021 (as amended by that certain amendment dated April 7, 2022,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by and between the Company and Computershare Inc. and Computershare Trust Company, N.A (collectively, the “</w:t>
      </w:r>
      <w:r>
        <w:rPr>
          <w:rFonts w:ascii="Arial" w:cs="Arial" w:eastAsia="Arial" w:hAnsi="Arial"/>
          <w:sz w:val="16"/>
          <w:szCs w:val="16"/>
          <w:u w:val="single" w:color="auto"/>
          <w:color w:val="auto"/>
        </w:rPr>
        <w:t>Warrant Agent</w:t>
      </w:r>
      <w:r>
        <w:rPr>
          <w:rFonts w:ascii="Arial" w:cs="Arial" w:eastAsia="Arial" w:hAnsi="Arial"/>
          <w:sz w:val="16"/>
          <w:szCs w:val="16"/>
          <w:color w:val="auto"/>
        </w:rPr>
        <w:t>”) to amend the Warrant Agreement to, upon consummation of the mergers contemplated by the Business Combination Agreement, convert each outstanding (i) Public Warrant into one American depository share of ListCo duly and validly issued against the deposit of an underlying class C-1 preferred share in the share capital of ListCo deposited with a bank (the “</w:t>
      </w:r>
      <w:r>
        <w:rPr>
          <w:rFonts w:ascii="Arial" w:cs="Arial" w:eastAsia="Arial" w:hAnsi="Arial"/>
          <w:sz w:val="16"/>
          <w:szCs w:val="16"/>
          <w:u w:val="single" w:color="auto"/>
          <w:color w:val="auto"/>
        </w:rPr>
        <w:t>Depositary Bank</w:t>
      </w:r>
      <w:r>
        <w:rPr>
          <w:rFonts w:ascii="Arial" w:cs="Arial" w:eastAsia="Arial" w:hAnsi="Arial"/>
          <w:sz w:val="16"/>
          <w:szCs w:val="16"/>
          <w:color w:val="auto"/>
        </w:rPr>
        <w:t>”) and (ii) private placement warrant of the Company into one American depository share of ListCo duly and validly issued against the deposit of an underlying class C-2 preferred share in the share capital of ListCo deposited with the Depositary Bank.</w:t>
      </w:r>
    </w:p>
    <w:p>
      <w:pPr>
        <w:spacing w:after="0" w:line="16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Warrant Agreement provides that the Company may set a record date in respect of the Warrant Holder Meeting to determine the holders of Public Warrants entitled to vote at the Warrant Holder Meeting. As previously disclosed, on April 15, 2022, the Company set April 20, 2022 as the record date for the Warrant Holder Meeting. On May 16, 2022, the Company determined to change the record date and set May 18, 2022 as the record date for the Warrant Holder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Certain statements in this Current Report may be considered “forward-looking statements” as defined in the Private Securities Litigation Reform Act of 1995. Forward-looking statements generally relate to future events or the future financial or operating performance of the Company and Polestar Performance AB and its affiliates (“</w:t>
      </w:r>
      <w:r>
        <w:rPr>
          <w:rFonts w:ascii="Arial" w:cs="Arial" w:eastAsia="Arial" w:hAnsi="Arial"/>
          <w:sz w:val="17"/>
          <w:szCs w:val="17"/>
          <w:u w:val="single" w:color="auto"/>
          <w:color w:val="auto"/>
        </w:rPr>
        <w:t>Polestar</w:t>
      </w:r>
      <w:r>
        <w:rPr>
          <w:rFonts w:ascii="Arial" w:cs="Arial" w:eastAsia="Arial" w:hAnsi="Arial"/>
          <w:sz w:val="17"/>
          <w:szCs w:val="17"/>
          <w:color w:val="auto"/>
        </w:rPr>
        <w:t>”). For example, projections of future revenue, volumes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7" w:lineRule="exact"/>
        <w:rPr>
          <w:sz w:val="20"/>
          <w:szCs w:val="20"/>
          <w:color w:val="auto"/>
        </w:rPr>
      </w:pPr>
    </w:p>
    <w:p>
      <w:pPr>
        <w:ind w:right="200" w:firstLine="440"/>
        <w:spacing w:after="0" w:line="271" w:lineRule="auto"/>
        <w:rPr>
          <w:sz w:val="20"/>
          <w:szCs w:val="20"/>
          <w:color w:val="auto"/>
        </w:rPr>
      </w:pPr>
      <w:r>
        <w:rPr>
          <w:rFonts w:ascii="Arial" w:cs="Arial" w:eastAsia="Arial" w:hAnsi="Arial"/>
          <w:sz w:val="17"/>
          <w:szCs w:val="17"/>
          <w:color w:val="auto"/>
        </w:rPr>
        <w:t>These forward-looking statements are based upon estimates and assumptions that, while considered reasonable by the Company and its management, and Polestar and its management, as the case may be, are inherently uncertain. Factors that may cause actual results to differ materially from current expectations include, but are not limited to: (a) the occurrence of any event, change or other circumstances that could give rise to the termination of definitive agreements with respect to proposed Business Combination; (b) the outcome of any legal proceedings that may be instituted against the Company, the combined company or others following the announcement of the Business Combination and any definitive agreements with respect thereto; (c) the inability to complete the Business Combination due to the failure to obtain approval of the stockholders of the Company, to obtain financing to complete the Business Combination or to satisfy other conditions to Closing; (d) changes to the proposed structure of the Business Combination that may be required or appropriate as a result of applicable laws or</w:t>
      </w:r>
    </w:p>
    <w:p>
      <w:pPr>
        <w:sectPr>
          <w:pgSz w:w="11900" w:h="16838" w:orient="portrait"/>
          <w:cols w:equalWidth="0" w:num="1">
            <w:col w:w="11000"/>
          </w:cols>
          <w:pgMar w:left="440" w:top="270" w:right="459" w:bottom="1440" w:gutter="0" w:footer="0" w:header="0"/>
        </w:sectPr>
      </w:pPr>
    </w:p>
    <w:bookmarkStart w:id="2" w:name="page3"/>
    <w:bookmarkEnd w:id="2"/>
    <w:p>
      <w:pPr>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regulations or as a condition to obtaining regulatory approval of the Business Combination; (e) the ability to meet stock exchange listing standards following the consummation of the Business Combination; (f) the risk that the Business Combination disrupts current plans and operations of Polestar as a result of the announcement and consummation of the Business Combination; (g)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(h) costs related to the Business Combination;</w:t>
      </w:r>
    </w:p>
    <w:p>
      <w:pPr>
        <w:spacing w:after="0" w:line="2" w:lineRule="exact"/>
        <w:rPr>
          <w:sz w:val="20"/>
          <w:szCs w:val="20"/>
          <w:color w:val="auto"/>
        </w:rPr>
      </w:pPr>
    </w:p>
    <w:p>
      <w:pPr>
        <w:ind w:left="4" w:right="20" w:hanging="4"/>
        <w:spacing w:after="0" w:line="281" w:lineRule="auto"/>
        <w:tabs>
          <w:tab w:leader="none" w:pos="219"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associated with changes in applicable laws or regulations and Polestar’s international operations; (j) the possibility that Polestar or the combined company may be adversely affected by other economic, business, and/or competitive factors; (k) Polestar’s estimates of expenses and profitability;</w:t>
      </w:r>
    </w:p>
    <w:p>
      <w:pPr>
        <w:spacing w:after="0" w:line="1" w:lineRule="exact"/>
        <w:rPr>
          <w:rFonts w:ascii="Arial" w:cs="Arial" w:eastAsia="Arial" w:hAnsi="Arial"/>
          <w:sz w:val="16"/>
          <w:szCs w:val="16"/>
          <w:color w:val="auto"/>
        </w:rPr>
      </w:pPr>
    </w:p>
    <w:p>
      <w:pPr>
        <w:ind w:left="4" w:hanging="4"/>
        <w:spacing w:after="0" w:line="281" w:lineRule="auto"/>
        <w:tabs>
          <w:tab w:leader="none" w:pos="219" w:val="left"/>
        </w:tabs>
        <w:numPr>
          <w:ilvl w:val="0"/>
          <w:numId w:val="5"/>
        </w:numPr>
        <w:rPr>
          <w:rFonts w:ascii="Arial" w:cs="Arial" w:eastAsia="Arial" w:hAnsi="Arial"/>
          <w:sz w:val="16"/>
          <w:szCs w:val="16"/>
          <w:color w:val="auto"/>
        </w:rPr>
      </w:pPr>
      <w:r>
        <w:rPr>
          <w:rFonts w:ascii="Arial" w:cs="Arial" w:eastAsia="Arial" w:hAnsi="Arial"/>
          <w:sz w:val="16"/>
          <w:szCs w:val="16"/>
          <w:color w:val="auto"/>
        </w:rPr>
        <w:t>Polestar’s ability to maintain agreements or partnerships with its strategic partners Volvo Cars and Zhejiang Geely Holding Group Co., Ltd and to develop new agreements or partnerships; (m) Polestar’s ability to maintain relationships with its existing suppliers and strategic partners, and source new suppliers for its critical components, and to complete building out its supply chain, while effectively managing the risks due to such relationships;</w:t>
      </w:r>
    </w:p>
    <w:p>
      <w:pPr>
        <w:spacing w:after="0" w:line="1" w:lineRule="exact"/>
        <w:rPr>
          <w:rFonts w:ascii="Arial" w:cs="Arial" w:eastAsia="Arial" w:hAnsi="Arial"/>
          <w:sz w:val="16"/>
          <w:szCs w:val="16"/>
          <w:color w:val="auto"/>
        </w:rPr>
      </w:pPr>
    </w:p>
    <w:p>
      <w:pPr>
        <w:ind w:left="4" w:right="340" w:hanging="4"/>
        <w:spacing w:after="0" w:line="281" w:lineRule="auto"/>
        <w:tabs>
          <w:tab w:leader="none" w:pos="259" w:val="left"/>
        </w:tabs>
        <w:numPr>
          <w:ilvl w:val="0"/>
          <w:numId w:val="6"/>
        </w:numPr>
        <w:rPr>
          <w:rFonts w:ascii="Arial" w:cs="Arial" w:eastAsia="Arial" w:hAnsi="Arial"/>
          <w:sz w:val="16"/>
          <w:szCs w:val="16"/>
          <w:color w:val="auto"/>
        </w:rPr>
      </w:pPr>
      <w:r>
        <w:rPr>
          <w:rFonts w:ascii="Arial" w:cs="Arial" w:eastAsia="Arial" w:hAnsi="Arial"/>
          <w:sz w:val="16"/>
          <w:szCs w:val="16"/>
          <w:color w:val="auto"/>
        </w:rPr>
        <w:t>Polestar’s reliance on its partnerships with vehicle charging networks to provide charging solutions for its vehicles and its strategic partners for servicing its vehicles and their integrated software; (o) Polestar’s ability to establish its brand and capture additional market share, and the risks associated with negative press or reputational harm, including from lithium-ion battery cells catching fire or venting smoke; (p) delays in the design, manufacture, launch and financing of Polestar’s vehicles and Polestar’s reliance on a limited number of vehicle models to generate revenues;</w:t>
      </w:r>
    </w:p>
    <w:p>
      <w:pPr>
        <w:spacing w:after="0" w:line="2" w:lineRule="exact"/>
        <w:rPr>
          <w:rFonts w:ascii="Arial" w:cs="Arial" w:eastAsia="Arial" w:hAnsi="Arial"/>
          <w:sz w:val="16"/>
          <w:szCs w:val="16"/>
          <w:color w:val="auto"/>
        </w:rPr>
      </w:pPr>
    </w:p>
    <w:p>
      <w:pPr>
        <w:ind w:left="4" w:right="60" w:hanging="4"/>
        <w:spacing w:after="0" w:line="281"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Polestar’s ability to continuously and rapidly innovate, develop and market new products; (r) risks related to future market adoption of Polestar’s offerings; (s) increases in costs, disruption of supply or shortage of materials, in particular for lithium-ion cells or semiconductors; (t)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(u) risks related to Polestar’s distribution model; (v) the effects of competition and the high barriers to entry in the automotive industry, and the pace and depth of electric vehicle adoption generally on Polestar’s future business; (w) changes in regulatory requirements, governmental incentives and fuel and energy prices;</w:t>
      </w:r>
    </w:p>
    <w:p>
      <w:pPr>
        <w:spacing w:after="0" w:line="3" w:lineRule="exact"/>
        <w:rPr>
          <w:rFonts w:ascii="Arial" w:cs="Arial" w:eastAsia="Arial" w:hAnsi="Arial"/>
          <w:sz w:val="16"/>
          <w:szCs w:val="16"/>
          <w:color w:val="auto"/>
        </w:rPr>
      </w:pPr>
    </w:p>
    <w:p>
      <w:pPr>
        <w:ind w:left="4" w:right="40" w:hanging="4"/>
        <w:spacing w:after="0" w:line="286" w:lineRule="auto"/>
        <w:tabs>
          <w:tab w:leader="none" w:pos="25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impact of the global COVID-19 pandemic on the Company, Polestar, Polestar’s post business combination’s projected results of operations, financial performance or other financial metrics, or on any of the foregoing risks; and (y) other risks and uncertainties set forth in the section entitled “Risk Factors” and “Cautionary Note Regarding Forward-Looking Statements” in the Company’s final prospectus relating to its initial public offering (File No. 333-253338) declared effective by the SEC on March 22, 2021, and other documents filed, or to be filed, with the SEC by the Company or ListCo, including the Registration/Proxy Statement and the Definitive Proxy Statement (each, as defined below). There may be additional risks that neither the Company, Polestar nor ListCo presently know or that the Company, Polestar or ListCo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the Company, Polestar nor ListCo undertakes any duty to update these forward-looking statements.</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In connection with the proposed Business Combination, (a) ListCo has filed with the SEC a registration statement on Form F-4 containing a preliminary proxy statement of the Company and a preliminary prospectus (the “</w:t>
      </w:r>
      <w:r>
        <w:rPr>
          <w:rFonts w:ascii="Arial" w:cs="Arial" w:eastAsia="Arial" w:hAnsi="Arial"/>
          <w:sz w:val="17"/>
          <w:szCs w:val="17"/>
          <w:u w:val="single" w:color="auto"/>
          <w:color w:val="auto"/>
        </w:rPr>
        <w:t>Registration/Proxy Statement</w:t>
      </w:r>
      <w:r>
        <w:rPr>
          <w:rFonts w:ascii="Arial" w:cs="Arial" w:eastAsia="Arial" w:hAnsi="Arial"/>
          <w:sz w:val="17"/>
          <w:szCs w:val="17"/>
          <w:color w:val="auto"/>
        </w:rPr>
        <w:t>”) and (b) the Company will file a definitive proxy statement relating to the proposed Business Combination (the “</w:t>
      </w:r>
      <w:r>
        <w:rPr>
          <w:rFonts w:ascii="Arial" w:cs="Arial" w:eastAsia="Arial" w:hAnsi="Arial"/>
          <w:sz w:val="17"/>
          <w:szCs w:val="17"/>
          <w:u w:val="single" w:color="auto"/>
          <w:color w:val="auto"/>
        </w:rPr>
        <w:t>Definitive Proxy Statement</w:t>
      </w:r>
      <w:r>
        <w:rPr>
          <w:rFonts w:ascii="Arial" w:cs="Arial" w:eastAsia="Arial" w:hAnsi="Arial"/>
          <w:sz w:val="17"/>
          <w:szCs w:val="17"/>
          <w:color w:val="auto"/>
        </w:rPr>
        <w:t>”) and will mail the Definitive Proxy Statement and other relevant materials to its stockholders after the Registration/Proxy Statement is declared effective. The Registration/Proxy Statement contains and the Definitive Proxy Statement will contain important information about the proposed Business Combination and the other matters to be voted upon at a meeting of the Company’s stockholders to be held to approve the proposed Business Combination. This Current Report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the Company and other interested persons are advised to read the Registration/Proxy Statement and the amendments thereto and the Definitive Proxy Statement and other</w:t>
      </w:r>
    </w:p>
    <w:p>
      <w:pPr>
        <w:sectPr>
          <w:pgSz w:w="11900" w:h="16838" w:orient="portrait"/>
          <w:cols w:equalWidth="0" w:num="1">
            <w:col w:w="11024"/>
          </w:cols>
          <w:pgMar w:left="436" w:top="274" w:right="439" w:bottom="1440" w:gutter="0" w:footer="0" w:header="0"/>
        </w:sectPr>
      </w:pPr>
    </w:p>
    <w:bookmarkStart w:id="3" w:name="page4"/>
    <w:bookmarkEnd w:id="3"/>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filed in connection with the proposed Business Combination, as these materials will contain important information about the Company, Polestar, ListCo and the Business Combination. When available, the Definitive Proxy Statement and other relevant materials for the proposed Business Combination will be mailed to stockholders of the Company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8"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Company and its directors and executive officers may be deemed participants in the solicitation of proxies from the Company’s stockholders with respect to the proposed Business Combination. A list of the names of those directors and executive officers and a description of their interests in the Company is set forth in the Company’s filings with the SEC (including the Company’s final prospectus related to its initial public offering</w:t>
      </w:r>
    </w:p>
    <w:p>
      <w:pPr>
        <w:spacing w:after="0" w:line="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(File 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is contained in the Registration/Proxy Statement and will be contained in the Definitive Proxy Statement.</w:t>
      </w:r>
    </w:p>
    <w:p>
      <w:pPr>
        <w:spacing w:after="0" w:line="15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Polestar and ListCo, and certain of their directors and executive officers may also be deemed to be participants in the solicitation of proxies from the stockholders of the Company in connection with the proposed Business Combination. A list of the names of such directors and executive officers and information regarding their interests in the proposed Business Combination is included in the Registration/Proxy Statement and will be included in the Definitive Proxy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This Current Report is not a proxy statement or solicitation of a proxy, consent or authorization with respect to any securities or in respect of the potential transaction and shall not constitute an offer to sell or a solicitation of an offer to buy the securities of the Company, Polestar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ectPr>
          <w:pgSz w:w="11900" w:h="16838" w:orient="portrait"/>
          <w:cols w:equalWidth="0" w:num="1">
            <w:col w:w="11000"/>
          </w:cols>
          <w:pgMar w:left="440" w:top="274"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Arial" w:cs="Arial" w:eastAsia="Arial" w:hAnsi="Arial"/>
                <w:sz w:val="18"/>
                <w:szCs w:val="18"/>
                <w:color w:val="auto"/>
              </w:rPr>
              <w:t>Gores Guggenheim,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16, 2022</w:t>
            </w:r>
          </w:p>
        </w:tc>
        <w:tc>
          <w:tcPr>
            <w:tcW w:w="268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McBride</w:t>
            </w:r>
          </w:p>
        </w:tc>
      </w:tr>
      <w:tr>
        <w:trPr>
          <w:trHeight w:val="209"/>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Andrew McBride</w:t>
            </w:r>
          </w:p>
        </w:tc>
      </w:tr>
      <w:tr>
        <w:trPr>
          <w:trHeight w:val="230"/>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 and Secretary</w:t>
            </w: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9"/>
    </w:lvl>
  </w:abstractNum>
  <w:abstractNum w:abstractNumId="4">
    <w:nsid w:val="2EB141F2"/>
    <w:multiLevelType w:val="hybridMultilevel"/>
    <w:lvl w:ilvl="0">
      <w:lvlJc w:val="left"/>
      <w:lvlText w:val="(%1)"/>
      <w:numFmt w:val="lowerLetter"/>
      <w:start w:val="12"/>
    </w:lvl>
  </w:abstractNum>
  <w:abstractNum w:abstractNumId="5">
    <w:nsid w:val="41B71EFB"/>
    <w:multiLevelType w:val="hybridMultilevel"/>
    <w:lvl w:ilvl="0">
      <w:lvlJc w:val="left"/>
      <w:lvlText w:val="(%1)"/>
      <w:numFmt w:val="lowerLetter"/>
      <w:start w:val="14"/>
    </w:lvl>
  </w:abstractNum>
  <w:abstractNum w:abstractNumId="6">
    <w:nsid w:val="79E2A9E3"/>
    <w:multiLevelType w:val="hybridMultilevel"/>
    <w:lvl w:ilvl="0">
      <w:lvlJc w:val="left"/>
      <w:lvlText w:val="(%1)"/>
      <w:numFmt w:val="lowerLetter"/>
      <w:start w:val="17"/>
    </w:lvl>
  </w:abstractNum>
  <w:abstractNum w:abstractNumId="7">
    <w:nsid w:val="7545E146"/>
    <w:multiLevelType w:val="hybridMultilevel"/>
    <w:lvl w:ilvl="0">
      <w:lvlJc w:val="left"/>
      <w:lvlText w:val="(%1)"/>
      <w:numFmt w:val="low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2022-05-16T16:18:17Z</dcterms:created>
  <dcterms:modified xsi:type="dcterms:W3CDTF">2022-05-16T16:18:17Z</dcterms:modified>
</cp:coreProperties>
</file>