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20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(to the Prospectus dated September 22, 2022)</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Polestar Automotive Holding UK PLC</w:t>
      </w:r>
    </w:p>
    <w:p>
      <w:pPr>
        <w:spacing w:after="0" w:line="241" w:lineRule="exact"/>
        <w:rPr>
          <w:sz w:val="24"/>
          <w:szCs w:val="24"/>
          <w:color w:val="auto"/>
        </w:rPr>
      </w:pPr>
    </w:p>
    <w:p>
      <w:pPr>
        <w:jc w:val="center"/>
        <w:ind w:left="440" w:right="2600"/>
        <w:spacing w:after="0" w:line="259" w:lineRule="auto"/>
        <w:rPr>
          <w:sz w:val="20"/>
          <w:szCs w:val="20"/>
          <w:color w:val="auto"/>
        </w:rPr>
      </w:pPr>
      <w:r>
        <w:rPr>
          <w:rFonts w:ascii="Arial" w:cs="Arial" w:eastAsia="Arial" w:hAnsi="Arial"/>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 w:right="40"/>
        <w:spacing w:after="0" w:line="287" w:lineRule="auto"/>
        <w:rPr>
          <w:sz w:val="20"/>
          <w:szCs w:val="20"/>
          <w:color w:val="auto"/>
        </w:rPr>
      </w:pPr>
      <w:r>
        <w:rPr>
          <w:rFonts w:ascii="Arial" w:cs="Arial" w:eastAsia="Arial" w:hAnsi="Arial"/>
          <w:sz w:val="16"/>
          <w:szCs w:val="16"/>
          <w:color w:val="auto"/>
        </w:rPr>
        <w:t>This prospectus supplement (this “Supplement No. 5”) is part of the prospectus of Polestar Automotive Holding UK PLC (the “Company”), dated September 22, 2022 (the “Prospectus”), which forms a part of the Company’s registration statement on Form F-1 (Registration No. 333-266101), related to the offer and sale from time to time by the selling securityholders named in the Prospectus of up to (a) 2,228,977,574 Class A ADSs and (b)</w:t>
      </w:r>
    </w:p>
    <w:p>
      <w:pPr>
        <w:spacing w:after="0" w:line="2" w:lineRule="exact"/>
        <w:rPr>
          <w:sz w:val="24"/>
          <w:szCs w:val="24"/>
          <w:color w:val="auto"/>
        </w:rPr>
      </w:pPr>
    </w:p>
    <w:p>
      <w:pPr>
        <w:ind w:left="4" w:right="20"/>
        <w:spacing w:after="0" w:line="253" w:lineRule="auto"/>
        <w:rPr>
          <w:sz w:val="20"/>
          <w:szCs w:val="20"/>
          <w:color w:val="auto"/>
        </w:rPr>
      </w:pPr>
      <w:r>
        <w:rPr>
          <w:rFonts w:ascii="Arial" w:cs="Arial" w:eastAsia="Arial" w:hAnsi="Arial"/>
          <w:sz w:val="18"/>
          <w:szCs w:val="18"/>
          <w:color w:val="auto"/>
        </w:rPr>
        <w:t>9,000,000 Class C-2 ADSs. This Supplement No. 5 supplements, modifies or supersedes certain information contained in the Prospectus. Any statement in the Prospectus that is modified or superseded is not deemed to constitute a part of the Prospectus, except as modified or superseded by this Supplement No. 5. Except to the extent that the information in this Supplement No. 5 modifies or supersedes the information contained in the Prospectus, this Supplement No. 5 should be read, and will be delivered, with the Prospectus. This Supplemental No. 5 is not complete without, and may not be utilized except in connection with, the Prospectus.</w:t>
      </w:r>
    </w:p>
    <w:p>
      <w:pPr>
        <w:spacing w:after="0" w:line="191" w:lineRule="exact"/>
        <w:rPr>
          <w:sz w:val="24"/>
          <w:szCs w:val="24"/>
          <w:color w:val="auto"/>
        </w:rPr>
      </w:pPr>
    </w:p>
    <w:p>
      <w:pPr>
        <w:ind w:left="4"/>
        <w:spacing w:after="0"/>
        <w:rPr>
          <w:sz w:val="20"/>
          <w:szCs w:val="20"/>
          <w:color w:val="auto"/>
        </w:rPr>
      </w:pPr>
      <w:r>
        <w:rPr>
          <w:rFonts w:ascii="Arial" w:cs="Arial" w:eastAsia="Arial" w:hAnsi="Arial"/>
          <w:sz w:val="18"/>
          <w:szCs w:val="18"/>
          <w:color w:val="auto"/>
        </w:rPr>
        <w:t>Capitalized terms used but not defined herein have the meanings ascribed to them in the Prospectus.</w:t>
      </w:r>
    </w:p>
    <w:p>
      <w:pPr>
        <w:spacing w:after="0" w:line="225"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The purpose of this Supplement No. 5 is to amend the information set forth in the table under the heading “Selling Securityholders” in the Prospectus as follows:</w:t>
      </w:r>
    </w:p>
    <w:p>
      <w:pPr>
        <w:spacing w:after="0" w:line="197"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Addition of the following line items and related footnotes:</w:t>
      </w:r>
    </w:p>
    <w:p>
      <w:pPr>
        <w:spacing w:after="0" w:line="183" w:lineRule="exact"/>
        <w:rPr>
          <w:sz w:val="24"/>
          <w:szCs w:val="24"/>
          <w:color w:val="auto"/>
        </w:rPr>
      </w:pPr>
    </w:p>
    <w:tbl>
      <w:tblPr>
        <w:tblLayout w:type="fixed"/>
        <w:tblInd w:w="4" w:type="dxa"/>
        <w:tblCellMar>
          <w:top w:w="0" w:type="dxa"/>
          <w:left w:w="0" w:type="dxa"/>
          <w:bottom w:w="0" w:type="dxa"/>
          <w:right w:w="0" w:type="dxa"/>
        </w:tblCellMar>
      </w:tblPr>
      <w:tr>
        <w:trPr>
          <w:trHeight w:val="29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Saxo Capital Markets Pte. Ltd</w:t>
            </w:r>
            <w:r>
              <w:rPr>
                <w:rFonts w:ascii="Arial" w:cs="Arial" w:eastAsia="Arial" w:hAnsi="Arial"/>
                <w:sz w:val="26"/>
                <w:szCs w:val="26"/>
                <w:color w:val="auto"/>
                <w:vertAlign w:val="superscript"/>
              </w:rPr>
              <w:t>(43)</w:t>
            </w:r>
          </w:p>
        </w:tc>
        <w:tc>
          <w:tcPr>
            <w:tcW w:w="2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372,359</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372,359</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353"/>
        </w:trPr>
        <w:tc>
          <w:tcPr>
            <w:tcW w:w="4720" w:type="dxa"/>
            <w:vAlign w:val="bottom"/>
          </w:tcPr>
          <w:p>
            <w:pPr>
              <w:spacing w:after="0"/>
              <w:rPr>
                <w:sz w:val="20"/>
                <w:szCs w:val="20"/>
                <w:color w:val="auto"/>
              </w:rPr>
            </w:pPr>
            <w:r>
              <w:rPr>
                <w:rFonts w:ascii="Arial" w:cs="Arial" w:eastAsia="Arial" w:hAnsi="Arial"/>
                <w:sz w:val="18"/>
                <w:szCs w:val="18"/>
                <w:color w:val="auto"/>
              </w:rPr>
              <w:t>Saxo Capital Markets HK Limited</w:t>
            </w:r>
            <w:r>
              <w:rPr>
                <w:rFonts w:ascii="Arial" w:cs="Arial" w:eastAsia="Arial" w:hAnsi="Arial"/>
                <w:sz w:val="26"/>
                <w:szCs w:val="26"/>
                <w:color w:val="auto"/>
                <w:vertAlign w:val="superscript"/>
              </w:rPr>
              <w:t>(44)</w:t>
            </w: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124,515</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124,515</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r>
    </w:tbl>
    <w:p>
      <w:pPr>
        <w:spacing w:after="0" w:line="92" w:lineRule="exact"/>
        <w:rPr>
          <w:sz w:val="24"/>
          <w:szCs w:val="24"/>
          <w:color w:val="auto"/>
        </w:rPr>
      </w:pPr>
    </w:p>
    <w:p>
      <w:pPr>
        <w:ind w:left="424" w:right="40" w:hanging="424"/>
        <w:spacing w:after="0" w:line="28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372,359 Class A ADSs received by Saxo Capital Markets Pte. Ltd (“Saxo SG”) in connection with an in-species distribution of securities by Northpole GLY 2 LP, 372,356 of which are held by Saxo SG on behalf of the following clients: (1) Soegiarto Handoko, (2) Shenhua WU, (3) Chung Wee Lee, (4) Chee Yong Lum, (5) Tak Loong Chang, (6) Richard Howard Douglas, (7) Thomas Qvistgaard Hansen, (8) Adam James Reynolds, (9) Rasmus Houmann Korfits, (10) Moh Chin Hong, (11) Richard Mark Hurst, (12) Druk Holding and Investments Limited. Saxo SG disclaims any beneficial ownership of the securities held by it on behalf of its clients other than to the extent of any pecuniary interest he may have therein, directly or indirectly. Saxo SG is the beneficial owner of 3 Class A ADSs directly held by it. Saxo SG is 100% owned by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SG. Shufu Li disclaims any beneficial ownership of the securities directly held by Saxo SG other than to the extent of any pecuniary interest he may have therein, directly or indirectly. The business address of this Selling Securityholder is 88 Market Street, #31-01 CapitaSpring Singapore 048948.</w:t>
      </w:r>
    </w:p>
    <w:p>
      <w:pPr>
        <w:spacing w:after="0" w:line="1" w:lineRule="exact"/>
        <w:rPr>
          <w:rFonts w:ascii="Arial" w:cs="Arial" w:eastAsia="Arial" w:hAnsi="Arial"/>
          <w:sz w:val="16"/>
          <w:szCs w:val="16"/>
          <w:color w:val="auto"/>
        </w:rPr>
      </w:pPr>
    </w:p>
    <w:p>
      <w:pPr>
        <w:ind w:left="424" w:right="260" w:hanging="424"/>
        <w:spacing w:after="0" w:line="28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124,515 Class A ADSs received by Saxo Capital Markets HK Limited (“Saxo HK”) in connection with an in-species distribution of securities by Northpole GLY 2 LP, 124,513 of which are held by Saco HK on behalf of the following clients: (1) Ching Tong Tommy Poon,</w:t>
      </w:r>
    </w:p>
    <w:p>
      <w:pPr>
        <w:spacing w:after="0" w:line="1" w:lineRule="exact"/>
        <w:rPr>
          <w:rFonts w:ascii="Arial" w:cs="Arial" w:eastAsia="Arial" w:hAnsi="Arial"/>
          <w:sz w:val="16"/>
          <w:szCs w:val="16"/>
          <w:color w:val="auto"/>
        </w:rPr>
      </w:pPr>
    </w:p>
    <w:p>
      <w:pPr>
        <w:ind w:left="424" w:right="60"/>
        <w:spacing w:after="0" w:line="281" w:lineRule="auto"/>
        <w:rPr>
          <w:rFonts w:ascii="Arial" w:cs="Arial" w:eastAsia="Arial" w:hAnsi="Arial"/>
          <w:sz w:val="16"/>
          <w:szCs w:val="16"/>
          <w:color w:val="auto"/>
        </w:rPr>
      </w:pPr>
      <w:r>
        <w:rPr>
          <w:rFonts w:ascii="Arial" w:cs="Arial" w:eastAsia="Arial" w:hAnsi="Arial"/>
          <w:sz w:val="16"/>
          <w:szCs w:val="16"/>
          <w:color w:val="auto"/>
        </w:rPr>
        <w:t>(2) Kin Nang Kong, (3) Atlas Multi-Strategies Fund Ltd. Saxo HK disclaims any beneficial ownership of the securities held by it on behalf of its clients other than to the extent of any pecuniary interest he may have therein, directly or indirectly. Saxo HK is the beneficial owner of 2 Class A ADSs directly held by it. Saxo HK is 100% owned by Saxo Bank A/S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w:t>
      </w:r>
    </w:p>
    <w:p>
      <w:pPr>
        <w:spacing w:after="0" w:line="2" w:lineRule="exact"/>
        <w:rPr>
          <w:rFonts w:ascii="Arial" w:cs="Arial" w:eastAsia="Arial" w:hAnsi="Arial"/>
          <w:sz w:val="16"/>
          <w:szCs w:val="16"/>
          <w:color w:val="auto"/>
        </w:rPr>
      </w:pPr>
    </w:p>
    <w:p>
      <w:pPr>
        <w:ind w:left="424" w:right="80"/>
        <w:spacing w:after="0" w:line="271" w:lineRule="auto"/>
        <w:rPr>
          <w:rFonts w:ascii="Arial" w:cs="Arial" w:eastAsia="Arial" w:hAnsi="Arial"/>
          <w:sz w:val="16"/>
          <w:szCs w:val="16"/>
          <w:color w:val="auto"/>
        </w:rPr>
      </w:pPr>
      <w:r>
        <w:rPr>
          <w:rFonts w:ascii="Arial" w:cs="Arial" w:eastAsia="Arial" w:hAnsi="Arial"/>
          <w:sz w:val="17"/>
          <w:szCs w:val="17"/>
          <w:color w:val="auto"/>
        </w:rPr>
        <w:t>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w:t>
      </w:r>
    </w:p>
    <w:p>
      <w:pPr>
        <w:spacing w:after="0" w:line="205"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revision of the following line item and related footnote:</w:t>
      </w:r>
    </w:p>
    <w:p>
      <w:pPr>
        <w:spacing w:after="0" w:line="252" w:lineRule="exact"/>
        <w:rPr>
          <w:sz w:val="24"/>
          <w:szCs w:val="24"/>
          <w:color w:val="auto"/>
        </w:rPr>
      </w:pPr>
    </w:p>
    <w:p>
      <w:pPr>
        <w:ind w:left="4"/>
        <w:spacing w:after="0"/>
        <w:tabs>
          <w:tab w:leader="none" w:pos="6704" w:val="left"/>
          <w:tab w:leader="none" w:pos="7524" w:val="left"/>
          <w:tab w:leader="none" w:pos="7924" w:val="left"/>
          <w:tab w:leader="none" w:pos="8324" w:val="left"/>
          <w:tab w:leader="none" w:pos="9144" w:val="left"/>
          <w:tab w:leader="none" w:pos="9544" w:val="left"/>
          <w:tab w:leader="none" w:pos="9944" w:val="left"/>
          <w:tab w:leader="none" w:pos="10364" w:val="left"/>
          <w:tab w:leader="none" w:pos="10764" w:val="left"/>
        </w:tabs>
        <w:rPr>
          <w:sz w:val="20"/>
          <w:szCs w:val="20"/>
          <w:color w:val="auto"/>
        </w:rPr>
      </w:pPr>
      <w:r>
        <w:rPr>
          <w:rFonts w:ascii="Arial" w:cs="Arial" w:eastAsia="Arial" w:hAnsi="Arial"/>
          <w:sz w:val="18"/>
          <w:szCs w:val="18"/>
          <w:color w:val="auto"/>
        </w:rPr>
        <w:t>Northpole GLY 2 LP</w:t>
      </w:r>
      <w:r>
        <w:rPr>
          <w:rFonts w:ascii="Arial" w:cs="Arial" w:eastAsia="Arial" w:hAnsi="Arial"/>
          <w:sz w:val="26"/>
          <w:szCs w:val="26"/>
          <w:color w:val="auto"/>
          <w:vertAlign w:val="superscript"/>
        </w:rPr>
        <w:t>(27)</w:t>
      </w:r>
      <w:r>
        <w:rPr>
          <w:sz w:val="20"/>
          <w:szCs w:val="20"/>
          <w:color w:val="auto"/>
        </w:rPr>
        <w:tab/>
      </w:r>
      <w:r>
        <w:rPr>
          <w:rFonts w:ascii="Arial" w:cs="Arial" w:eastAsia="Arial" w:hAnsi="Arial"/>
          <w:sz w:val="18"/>
          <w:szCs w:val="18"/>
          <w:color w:val="auto"/>
        </w:rPr>
        <w:t>668,167</w:t>
        <w:tab/>
        <w:t>—</w:t>
        <w:tab/>
        <w:t>—</w:t>
        <w:tab/>
        <w:t>668,167</w:t>
        <w:tab/>
        <w:t>—</w:t>
        <w:tab/>
        <w:t>—</w:t>
        <w:tab/>
        <w:t>—</w:t>
        <w:tab/>
        <w:t>—</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bookmarkStart w:id="1" w:name="page2"/>
    <w:bookmarkEnd w:id="1"/>
    <w:p>
      <w:pPr>
        <w:ind w:left="424" w:right="60" w:hanging="424"/>
        <w:spacing w:after="0" w:line="285"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668,167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w:t>
      </w:r>
    </w:p>
    <w:p>
      <w:pPr>
        <w:spacing w:after="0" w:line="1" w:lineRule="exact"/>
        <w:rPr>
          <w:rFonts w:ascii="Arial" w:cs="Arial" w:eastAsia="Arial" w:hAnsi="Arial"/>
          <w:sz w:val="16"/>
          <w:szCs w:val="16"/>
          <w:color w:val="auto"/>
        </w:rPr>
      </w:pPr>
    </w:p>
    <w:p>
      <w:pPr>
        <w:ind w:left="744" w:hanging="312"/>
        <w:spacing w:after="0"/>
        <w:tabs>
          <w:tab w:leader="none" w:pos="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Beijing Geely Wanyuan is 100% owned by Beijing Geely Kaisheng International Investment Co., Ltd. (“Beijing Geely Kaisheng”),</w:t>
      </w:r>
    </w:p>
    <w:p>
      <w:pPr>
        <w:spacing w:after="0" w:line="9" w:lineRule="exact"/>
        <w:rPr>
          <w:rFonts w:ascii="Arial" w:cs="Arial" w:eastAsia="Arial" w:hAnsi="Arial"/>
          <w:sz w:val="18"/>
          <w:szCs w:val="18"/>
          <w:color w:val="auto"/>
        </w:rPr>
      </w:pPr>
    </w:p>
    <w:p>
      <w:pPr>
        <w:ind w:left="424" w:right="300" w:firstLine="8"/>
        <w:spacing w:after="0" w:line="295" w:lineRule="auto"/>
        <w:tabs>
          <w:tab w:leader="none" w:pos="679" w:val="left"/>
        </w:tabs>
        <w:numPr>
          <w:ilvl w:val="1"/>
          <w:numId w:val="4"/>
        </w:numPr>
        <w:rPr>
          <w:rFonts w:ascii="Arial" w:cs="Arial" w:eastAsia="Arial" w:hAnsi="Arial"/>
          <w:sz w:val="16"/>
          <w:szCs w:val="16"/>
          <w:color w:val="auto"/>
        </w:rPr>
      </w:pPr>
      <w:r>
        <w:rPr>
          <w:rFonts w:ascii="Arial" w:cs="Arial" w:eastAsia="Arial" w:hAnsi="Arial"/>
          <w:sz w:val="16"/>
          <w:szCs w:val="16"/>
          <w:color w:val="auto"/>
        </w:rPr>
        <w:t>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16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This Supplement No. 5 is not complete without, and may not be utilized except in connection with, the Prospectus, including any supplements and amendments thereto.</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may further amend or supplement the Prospectus and this Supplement No. 5 from time to time by filing amendments or supplements as required.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You should read the entire Prospectus, this Supplement No. 5 and any amendments or supplements carefully before you make your investment decision.</w:t>
      </w:r>
    </w:p>
    <w:p>
      <w:pPr>
        <w:spacing w:after="0" w:line="234"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Our Class A ADSs and Class C-1 ADSs are listed on the Nasdaq Stock Market LLC (“Nasdaq”), under the trading symbols “PSNY” and “PSNYW,” respectively. On November 14, 2022, the closing price for our Class A ADSs on Nasdaq was $5.63. On November 14, 2022, the closing price for our Class C-1 ADSs on Nasdaq was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219710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 w:right="100"/>
        <w:spacing w:after="0" w:line="243" w:lineRule="auto"/>
        <w:rPr>
          <w:sz w:val="20"/>
          <w:szCs w:val="20"/>
          <w:color w:val="auto"/>
        </w:rPr>
      </w:pPr>
      <w:r>
        <w:rPr>
          <w:rFonts w:ascii="Arial" w:cs="Arial" w:eastAsia="Arial" w:hAnsi="Arial"/>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86" w:lineRule="exact"/>
        <w:rPr>
          <w:sz w:val="20"/>
          <w:szCs w:val="20"/>
          <w:color w:val="auto"/>
        </w:rPr>
      </w:pPr>
    </w:p>
    <w:p>
      <w:pPr>
        <w:ind w:left="4" w:right="840"/>
        <w:spacing w:after="0" w:line="347" w:lineRule="auto"/>
        <w:rPr>
          <w:sz w:val="20"/>
          <w:szCs w:val="20"/>
          <w:color w:val="auto"/>
        </w:rPr>
      </w:pPr>
      <w:r>
        <w:rPr>
          <w:rFonts w:ascii="Arial" w:cs="Arial" w:eastAsia="Arial" w:hAnsi="Arial"/>
          <w:sz w:val="16"/>
          <w:szCs w:val="16"/>
          <w:b w:val="1"/>
          <w:bCs w:val="1"/>
          <w:color w:val="auto"/>
        </w:rPr>
        <w:t>Neither the SEC nor any state or foreign securities commission has approved or disapproved of these securities or determined if this Supplement No. 5 or the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This prospectus supplement is dated November 14, 2022</w:t>
      </w:r>
    </w:p>
    <w:sectPr>
      <w:pgSz w:w="11900" w:h="16838" w:orient="portrait"/>
      <w:cols w:equalWidth="0" w:num="1">
        <w:col w:w="10964"/>
      </w:cols>
      <w:pgMar w:left="436"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4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7"/>
    </w:lvl>
    <w:lvl w:ilvl="1">
      <w:lvlJc w:val="left"/>
      <w:lvlText w:val="(%2)"/>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2022-11-14T19:15:01Z</dcterms:created>
  <dcterms:modified xsi:type="dcterms:W3CDTF">2022-11-14T19:15:01Z</dcterms:modified>
</cp:coreProperties>
</file>