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150495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161925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REPORT OF FOREIGN PRIVATE ISSUER</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RULE 13a-16 OR 15d-16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UNDER THE SECURITIES EXCHANGE ACT OF 1934</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month of March 2023</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167640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169545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Assar Gabrielssons Väg 9</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405 31 Göteborg, Sweden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152400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of Form 20-F or Form 40-F.</w:t>
      </w:r>
    </w:p>
    <w:p>
      <w:pPr>
        <w:spacing w:after="0" w:line="130" w:lineRule="exact"/>
        <w:rPr>
          <w:sz w:val="24"/>
          <w:szCs w:val="24"/>
          <w:color w:val="auto"/>
        </w:rPr>
      </w:pPr>
    </w:p>
    <w:p>
      <w:pPr>
        <w:jc w:val="center"/>
        <w:ind w:right="19"/>
        <w:spacing w:after="0" w:line="138" w:lineRule="exact"/>
        <w:tabs>
          <w:tab w:leader="none" w:pos="340" w:val="left"/>
        </w:tabs>
        <w:rPr>
          <w:sz w:val="20"/>
          <w:szCs w:val="20"/>
          <w:color w:val="auto"/>
        </w:rPr>
      </w:pPr>
      <w:r>
        <w:rPr>
          <w:rFonts w:ascii="Times New Roman" w:cs="Times New Roman" w:eastAsia="Times New Roman" w:hAnsi="Times New Roman"/>
          <w:sz w:val="12"/>
          <w:szCs w:val="12"/>
          <w:color w:val="auto"/>
        </w:rPr>
        <w:t xml:space="preserve">Form 20-F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 xml:space="preserve">Form 40-F </w:t>
      </w:r>
      <w:r>
        <w:rPr>
          <w:rFonts w:ascii="MS PGothic" w:cs="MS PGothic" w:eastAsia="MS PGothic" w:hAnsi="MS PGothic"/>
          <w:sz w:val="12"/>
          <w:szCs w:val="12"/>
          <w:color w:val="auto"/>
        </w:rPr>
        <w:t>☐</w:t>
      </w:r>
    </w:p>
    <w:p>
      <w:pPr>
        <w:spacing w:after="0" w:line="150" w:lineRule="exact"/>
        <w:rPr>
          <w:sz w:val="24"/>
          <w:szCs w:val="24"/>
          <w:color w:val="auto"/>
        </w:rPr>
      </w:pPr>
    </w:p>
    <w:p>
      <w:pPr>
        <w:ind w:left="840"/>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submitting the Form 6-K in paper as permitted by Regulation S-T Rule 101(b)(1): </w:t>
      </w:r>
      <w:r>
        <w:rPr>
          <w:rFonts w:ascii="MS PGothic" w:cs="MS PGothic" w:eastAsia="MS PGothic" w:hAnsi="MS PGothic"/>
          <w:sz w:val="12"/>
          <w:szCs w:val="12"/>
          <w:color w:val="auto"/>
        </w:rPr>
        <w:t>☐</w:t>
      </w:r>
    </w:p>
    <w:p>
      <w:pPr>
        <w:spacing w:after="0" w:line="150" w:lineRule="exact"/>
        <w:rPr>
          <w:sz w:val="24"/>
          <w:szCs w:val="24"/>
          <w:color w:val="auto"/>
        </w:rPr>
      </w:pPr>
    </w:p>
    <w:p>
      <w:pPr>
        <w:ind w:left="840"/>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submitting the Form 6-K in paper as permitted by Regulation S-T Rule 101(b)(7):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126365</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154940</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INFORMATION CONTAINED IN THIS REPORT ON FORM 6-K</w:t>
      </w:r>
    </w:p>
    <w:p>
      <w:pPr>
        <w:spacing w:after="0" w:line="154" w:lineRule="exact"/>
        <w:rPr>
          <w:sz w:val="20"/>
          <w:szCs w:val="20"/>
          <w:color w:val="auto"/>
        </w:rPr>
      </w:pPr>
    </w:p>
    <w:p>
      <w:pPr>
        <w:ind w:left="840" w:right="879" w:firstLine="294"/>
        <w:spacing w:after="0" w:line="253" w:lineRule="auto"/>
        <w:rPr>
          <w:sz w:val="20"/>
          <w:szCs w:val="20"/>
          <w:color w:val="auto"/>
        </w:rPr>
      </w:pPr>
      <w:r>
        <w:rPr>
          <w:rFonts w:ascii="Times New Roman" w:cs="Times New Roman" w:eastAsia="Times New Roman" w:hAnsi="Times New Roman"/>
          <w:sz w:val="12"/>
          <w:szCs w:val="12"/>
          <w:color w:val="auto"/>
        </w:rPr>
        <w:t>On March 2, 2023, Polestar Automotive Holding UK PLC (“Polestar”) announced its preliminary estimated unaudited operational and financial results for the year and quarter ended December 31, 2022. These unaudited preliminary estimates are based on Polestar management’s current best estimates and are subject to risks, uncertainties and potential adjustments that may be identified in connection with Polestar’s year-end audit. Polestar’s independent registered public accounting firm, Deloitte AB (“Deloitte”), has not completed its audit, review or other procedures with respect to any of the preliminary estimated unaudited information published by Polestar in connection with this announcement. Accordingly, Deloitte does not express an opinion or any other form of assurance with respect thereto. Polestar’s audited financial statements for the year ended December 31, 2022 will be included in the Annual Report on Form 20-F to be filed with SEC by the end of April 2023 (the “20-F”) and the preliminary estimated unaudited information should not be considered a substitute to the 20-F that Polestar will be filing. You are hereby advised not to place undue reliance on the unaudited preliminary estimates announced on March 2, 2023 by Polestar. A copy of the press release is attached hereto as Exhibit 99.1, and a copy of the investor update presentation that was posted on the investor relations website of Polestar in connection with the announcement is attached hereto as Exhibit 99.2, and the foregoing is qualified in its entirety by reference thereto.</w:t>
      </w:r>
    </w:p>
    <w:p>
      <w:pPr>
        <w:spacing w:after="0" w:line="128" w:lineRule="exact"/>
        <w:rPr>
          <w:sz w:val="20"/>
          <w:szCs w:val="20"/>
          <w:color w:val="auto"/>
        </w:rPr>
      </w:pPr>
    </w:p>
    <w:p>
      <w:pPr>
        <w:ind w:left="840" w:right="919" w:firstLine="294"/>
        <w:spacing w:after="0" w:line="265" w:lineRule="auto"/>
        <w:rPr>
          <w:sz w:val="20"/>
          <w:szCs w:val="20"/>
          <w:color w:val="auto"/>
        </w:rPr>
      </w:pPr>
      <w:r>
        <w:rPr>
          <w:rFonts w:ascii="Times New Roman" w:cs="Times New Roman" w:eastAsia="Times New Roman" w:hAnsi="Times New Roman"/>
          <w:sz w:val="12"/>
          <w:szCs w:val="12"/>
          <w:color w:val="auto"/>
        </w:rPr>
        <w:t>Exhibits 99.1 and 99.2 to this Report on Form 6-K shall not be deemed “filed” for purposes of Section 18 of the Securities Exchange Act of 1934 (the “Exchange Act”) or otherwise subject to the liabilities of that section, nor shall they be deemed incorporated by reference in any filing under the Securities Act of 1933 or the Exchange Act.</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9019"/>
          </w:cols>
          <w:pgMar w:left="1440" w:top="224" w:right="1440" w:bottom="1440" w:gutter="0" w:footer="0" w:header="0"/>
        </w:sectPr>
      </w:pPr>
    </w:p>
    <w:bookmarkStart w:id="2" w:name="page3"/>
    <w:bookmarkEnd w:id="2"/>
    <w:tbl>
      <w:tblPr>
        <w:tblLayout w:type="fixed"/>
        <w:tblInd w:w="840" w:type="dxa"/>
        <w:tblCellMar>
          <w:top w:w="0" w:type="dxa"/>
          <w:left w:w="0" w:type="dxa"/>
          <w:bottom w:w="0" w:type="dxa"/>
          <w:right w:w="0" w:type="dxa"/>
        </w:tblCellMar>
      </w:tblPr>
      <w:tr>
        <w:trPr>
          <w:trHeight w:val="159"/>
        </w:trPr>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380" w:type="dxa"/>
            <w:vAlign w:val="bottom"/>
          </w:tcPr>
          <w:p>
            <w:pPr>
              <w:ind w:left="2240"/>
              <w:spacing w:after="0"/>
              <w:rPr>
                <w:sz w:val="20"/>
                <w:szCs w:val="20"/>
                <w:color w:val="auto"/>
              </w:rPr>
            </w:pPr>
            <w:r>
              <w:rPr>
                <w:rFonts w:ascii="Times New Roman" w:cs="Times New Roman" w:eastAsia="Times New Roman" w:hAnsi="Times New Roman"/>
                <w:sz w:val="12"/>
                <w:szCs w:val="12"/>
                <w:b w:val="1"/>
                <w:bCs w:val="1"/>
                <w:color w:val="auto"/>
              </w:rPr>
              <w:t>EXHIBIT INDEX</w:t>
            </w:r>
          </w:p>
        </w:tc>
      </w:tr>
      <w:tr>
        <w:trPr>
          <w:trHeight w:val="270"/>
        </w:trPr>
        <w:tc>
          <w:tcPr>
            <w:tcW w:w="96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w w:val="93"/>
              </w:rPr>
              <w:t>Exhibit No.</w:t>
            </w:r>
          </w:p>
        </w:tc>
        <w:tc>
          <w:tcPr>
            <w:tcW w:w="63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Description of Exhibit</w:t>
            </w:r>
          </w:p>
        </w:tc>
      </w:tr>
      <w:tr>
        <w:trPr>
          <w:trHeight w:val="185"/>
        </w:trPr>
        <w:tc>
          <w:tcPr>
            <w:tcW w:w="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99.1</w:t>
            </w:r>
          </w:p>
        </w:tc>
        <w:tc>
          <w:tcPr>
            <w:tcW w:w="500" w:type="dxa"/>
            <w:vAlign w:val="bottom"/>
          </w:tcPr>
          <w:p>
            <w:pPr>
              <w:spacing w:after="0"/>
              <w:rPr>
                <w:sz w:val="16"/>
                <w:szCs w:val="16"/>
                <w:color w:val="auto"/>
              </w:rPr>
            </w:pPr>
          </w:p>
        </w:tc>
        <w:tc>
          <w:tcPr>
            <w:tcW w:w="6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Press Release of Polestar Automotive Holding UK PLC, dated March 2, 2023, titled “Polestar releases fourth quarter and full year</w:t>
            </w:r>
          </w:p>
        </w:tc>
      </w:tr>
      <w:tr>
        <w:trPr>
          <w:trHeight w:val="155"/>
        </w:trPr>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2"/>
                <w:szCs w:val="12"/>
                <w:color w:val="auto"/>
              </w:rPr>
              <w:t>2022 financial results.”</w:t>
            </w:r>
          </w:p>
        </w:tc>
      </w:tr>
      <w:tr>
        <w:trPr>
          <w:trHeight w:val="216"/>
        </w:trPr>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99.2</w:t>
            </w:r>
          </w:p>
        </w:tc>
        <w:tc>
          <w:tcPr>
            <w:tcW w:w="5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2"/>
                <w:szCs w:val="12"/>
                <w:color w:val="auto"/>
              </w:rPr>
              <w:t>Investor Update, dated March 2, 2023.</w:t>
            </w:r>
          </w:p>
        </w:tc>
      </w:tr>
      <w:tr>
        <w:trPr>
          <w:trHeight w:val="243"/>
        </w:trPr>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380" w:type="dxa"/>
            <w:vAlign w:val="bottom"/>
          </w:tcPr>
          <w:p>
            <w:pPr>
              <w:ind w:left="2680"/>
              <w:spacing w:after="0"/>
              <w:rPr>
                <w:sz w:val="20"/>
                <w:szCs w:val="20"/>
                <w:color w:val="auto"/>
              </w:rPr>
            </w:pPr>
            <w:r>
              <w:rPr>
                <w:rFonts w:ascii="Times New Roman" w:cs="Times New Roman" w:eastAsia="Times New Roman" w:hAnsi="Times New Roman"/>
                <w:sz w:val="12"/>
                <w:szCs w:val="12"/>
                <w:color w:val="auto"/>
              </w:rPr>
              <w:t>3</w:t>
            </w:r>
          </w:p>
        </w:tc>
      </w:tr>
    </w:tbl>
    <w:p>
      <w:pPr>
        <w:ind w:left="2680"/>
        <w:spacing w:after="0"/>
        <w:rPr>
          <w:sz w:val="20"/>
          <w:szCs w:val="20"/>
          <w:color w:val="auto"/>
        </w:rPr>
        <w:sectPr>
          <w:pgSz w:w="11900" w:h="16838" w:orient="portrait"/>
          <w:cols w:equalWidth="0" w:num="1">
            <w:col w:w="9019"/>
          </w:cols>
          <w:pgMar w:left="1440" w:top="224" w:right="1440" w:bottom="1440" w:gutter="0" w:footer="0" w:header="0"/>
        </w:sect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25" w:lineRule="exact"/>
        <w:rPr>
          <w:sz w:val="20"/>
          <w:szCs w:val="20"/>
          <w:color w:val="auto"/>
        </w:rPr>
      </w:pPr>
    </w:p>
    <w:tbl>
      <w:tblPr>
        <w:tblLayout w:type="fixed"/>
        <w:tblInd w:w="840" w:type="dxa"/>
        <w:tblCellMar>
          <w:top w:w="0" w:type="dxa"/>
          <w:left w:w="0" w:type="dxa"/>
          <w:bottom w:w="0" w:type="dxa"/>
          <w:right w:w="0" w:type="dxa"/>
        </w:tblCellMar>
      </w:tblPr>
      <w:tr>
        <w:trPr>
          <w:trHeight w:val="159"/>
        </w:trPr>
        <w:tc>
          <w:tcPr>
            <w:tcW w:w="2300" w:type="dxa"/>
            <w:vAlign w:val="bottom"/>
          </w:tcPr>
          <w:p>
            <w:pPr>
              <w:spacing w:after="0"/>
              <w:rPr>
                <w:sz w:val="20"/>
                <w:szCs w:val="20"/>
                <w:color w:val="auto"/>
              </w:rPr>
            </w:pPr>
            <w:r>
              <w:rPr>
                <w:rFonts w:ascii="Times New Roman" w:cs="Times New Roman" w:eastAsia="Times New Roman" w:hAnsi="Times New Roman"/>
                <w:sz w:val="12"/>
                <w:szCs w:val="12"/>
                <w:color w:val="auto"/>
              </w:rPr>
              <w:t>Date: March 2, 2023</w:t>
            </w:r>
          </w:p>
        </w:tc>
        <w:tc>
          <w:tcPr>
            <w:tcW w:w="5040" w:type="dxa"/>
            <w:vAlign w:val="bottom"/>
            <w:gridSpan w:val="2"/>
          </w:tcPr>
          <w:p>
            <w:pPr>
              <w:ind w:left="1380"/>
              <w:spacing w:after="0"/>
              <w:rPr>
                <w:sz w:val="20"/>
                <w:szCs w:val="20"/>
                <w:color w:val="auto"/>
              </w:rPr>
            </w:pPr>
            <w:r>
              <w:rPr>
                <w:rFonts w:ascii="Times New Roman" w:cs="Times New Roman" w:eastAsia="Times New Roman" w:hAnsi="Times New Roman"/>
                <w:sz w:val="12"/>
                <w:szCs w:val="12"/>
                <w:b w:val="1"/>
                <w:bCs w:val="1"/>
                <w:color w:val="auto"/>
              </w:rPr>
              <w:t>POLESTAR AUTOMOTIVE HOLDING UK PLC</w:t>
            </w:r>
          </w:p>
        </w:tc>
      </w:tr>
      <w:tr>
        <w:trPr>
          <w:trHeight w:val="288"/>
        </w:trPr>
        <w:tc>
          <w:tcPr>
            <w:tcW w:w="2300" w:type="dxa"/>
            <w:vAlign w:val="bottom"/>
          </w:tcPr>
          <w:p>
            <w:pPr>
              <w:spacing w:after="0"/>
              <w:rPr>
                <w:sz w:val="24"/>
                <w:szCs w:val="24"/>
                <w:color w:val="auto"/>
              </w:rPr>
            </w:pPr>
          </w:p>
        </w:tc>
        <w:tc>
          <w:tcPr>
            <w:tcW w:w="1740" w:type="dxa"/>
            <w:vAlign w:val="bottom"/>
          </w:tcPr>
          <w:p>
            <w:pPr>
              <w:ind w:left="1380"/>
              <w:spacing w:after="0"/>
              <w:rPr>
                <w:sz w:val="20"/>
                <w:szCs w:val="20"/>
                <w:color w:val="auto"/>
              </w:rPr>
            </w:pPr>
            <w:r>
              <w:rPr>
                <w:rFonts w:ascii="Times New Roman" w:cs="Times New Roman" w:eastAsia="Times New Roman" w:hAnsi="Times New Roman"/>
                <w:sz w:val="12"/>
                <w:szCs w:val="12"/>
                <w:color w:val="auto"/>
              </w:rPr>
              <w:t>By:</w:t>
            </w:r>
          </w:p>
        </w:tc>
        <w:tc>
          <w:tcPr>
            <w:tcW w:w="3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/s/ Thomas Ingenlath</w:t>
            </w:r>
          </w:p>
        </w:tc>
      </w:tr>
      <w:tr>
        <w:trPr>
          <w:trHeight w:val="122"/>
        </w:trPr>
        <w:tc>
          <w:tcPr>
            <w:tcW w:w="2300" w:type="dxa"/>
            <w:vAlign w:val="bottom"/>
          </w:tcPr>
          <w:p>
            <w:pPr>
              <w:spacing w:after="0"/>
              <w:rPr>
                <w:sz w:val="10"/>
                <w:szCs w:val="10"/>
                <w:color w:val="auto"/>
              </w:rPr>
            </w:pPr>
          </w:p>
        </w:tc>
        <w:tc>
          <w:tcPr>
            <w:tcW w:w="1740" w:type="dxa"/>
            <w:vAlign w:val="bottom"/>
          </w:tcPr>
          <w:p>
            <w:pPr>
              <w:ind w:left="138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330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auto"/>
              </w:rPr>
              <w:t>Thomas Ingenlath</w:t>
            </w:r>
          </w:p>
        </w:tc>
      </w:tr>
      <w:tr>
        <w:trPr>
          <w:trHeight w:val="155"/>
        </w:trPr>
        <w:tc>
          <w:tcPr>
            <w:tcW w:w="2300" w:type="dxa"/>
            <w:vAlign w:val="bottom"/>
          </w:tcPr>
          <w:p>
            <w:pPr>
              <w:spacing w:after="0"/>
              <w:rPr>
                <w:sz w:val="13"/>
                <w:szCs w:val="13"/>
                <w:color w:val="auto"/>
              </w:rPr>
            </w:pPr>
          </w:p>
        </w:tc>
        <w:tc>
          <w:tcPr>
            <w:tcW w:w="1740" w:type="dxa"/>
            <w:vAlign w:val="bottom"/>
          </w:tcPr>
          <w:p>
            <w:pPr>
              <w:ind w:left="1380"/>
              <w:spacing w:after="0"/>
              <w:rPr>
                <w:sz w:val="20"/>
                <w:szCs w:val="20"/>
                <w:color w:val="auto"/>
              </w:rPr>
            </w:pPr>
            <w:r>
              <w:rPr>
                <w:rFonts w:ascii="Times New Roman" w:cs="Times New Roman" w:eastAsia="Times New Roman" w:hAnsi="Times New Roman"/>
                <w:sz w:val="12"/>
                <w:szCs w:val="12"/>
                <w:color w:val="auto"/>
              </w:rPr>
              <w:t>Title:</w:t>
            </w:r>
          </w:p>
        </w:tc>
        <w:tc>
          <w:tcPr>
            <w:tcW w:w="33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288"/>
        </w:trPr>
        <w:tc>
          <w:tcPr>
            <w:tcW w:w="2300" w:type="dxa"/>
            <w:vAlign w:val="bottom"/>
          </w:tcPr>
          <w:p>
            <w:pPr>
              <w:spacing w:after="0"/>
              <w:rPr>
                <w:sz w:val="24"/>
                <w:szCs w:val="24"/>
                <w:color w:val="auto"/>
              </w:rPr>
            </w:pPr>
          </w:p>
        </w:tc>
        <w:tc>
          <w:tcPr>
            <w:tcW w:w="1740" w:type="dxa"/>
            <w:vAlign w:val="bottom"/>
          </w:tcPr>
          <w:p>
            <w:pPr>
              <w:ind w:left="1380"/>
              <w:spacing w:after="0"/>
              <w:rPr>
                <w:sz w:val="20"/>
                <w:szCs w:val="20"/>
                <w:color w:val="auto"/>
              </w:rPr>
            </w:pPr>
            <w:r>
              <w:rPr>
                <w:rFonts w:ascii="Times New Roman" w:cs="Times New Roman" w:eastAsia="Times New Roman" w:hAnsi="Times New Roman"/>
                <w:sz w:val="12"/>
                <w:szCs w:val="12"/>
                <w:color w:val="auto"/>
              </w:rPr>
              <w:t>By:</w:t>
            </w:r>
          </w:p>
        </w:tc>
        <w:tc>
          <w:tcPr>
            <w:tcW w:w="3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/s/ Johan Malmqvist</w:t>
            </w:r>
          </w:p>
        </w:tc>
      </w:tr>
      <w:tr>
        <w:trPr>
          <w:trHeight w:val="122"/>
        </w:trPr>
        <w:tc>
          <w:tcPr>
            <w:tcW w:w="2300" w:type="dxa"/>
            <w:vAlign w:val="bottom"/>
          </w:tcPr>
          <w:p>
            <w:pPr>
              <w:spacing w:after="0"/>
              <w:rPr>
                <w:sz w:val="10"/>
                <w:szCs w:val="10"/>
                <w:color w:val="auto"/>
              </w:rPr>
            </w:pPr>
          </w:p>
        </w:tc>
        <w:tc>
          <w:tcPr>
            <w:tcW w:w="1740" w:type="dxa"/>
            <w:vAlign w:val="bottom"/>
          </w:tcPr>
          <w:p>
            <w:pPr>
              <w:ind w:left="138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330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auto"/>
              </w:rPr>
              <w:t>Johan Malmqvist</w:t>
            </w:r>
          </w:p>
        </w:tc>
      </w:tr>
      <w:tr>
        <w:trPr>
          <w:trHeight w:val="155"/>
        </w:trPr>
        <w:tc>
          <w:tcPr>
            <w:tcW w:w="2300" w:type="dxa"/>
            <w:vAlign w:val="bottom"/>
          </w:tcPr>
          <w:p>
            <w:pPr>
              <w:spacing w:after="0"/>
              <w:rPr>
                <w:sz w:val="13"/>
                <w:szCs w:val="13"/>
                <w:color w:val="auto"/>
              </w:rPr>
            </w:pPr>
          </w:p>
        </w:tc>
        <w:tc>
          <w:tcPr>
            <w:tcW w:w="1740" w:type="dxa"/>
            <w:vAlign w:val="bottom"/>
          </w:tcPr>
          <w:p>
            <w:pPr>
              <w:ind w:left="1380"/>
              <w:spacing w:after="0"/>
              <w:rPr>
                <w:sz w:val="20"/>
                <w:szCs w:val="20"/>
                <w:color w:val="auto"/>
              </w:rPr>
            </w:pPr>
            <w:r>
              <w:rPr>
                <w:rFonts w:ascii="Times New Roman" w:cs="Times New Roman" w:eastAsia="Times New Roman" w:hAnsi="Times New Roman"/>
                <w:sz w:val="12"/>
                <w:szCs w:val="12"/>
                <w:color w:val="auto"/>
              </w:rPr>
              <w:t>Title:</w:t>
            </w:r>
          </w:p>
        </w:tc>
        <w:tc>
          <w:tcPr>
            <w:tcW w:w="33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243"/>
        </w:trPr>
        <w:tc>
          <w:tcPr>
            <w:tcW w:w="2300" w:type="dxa"/>
            <w:vAlign w:val="bottom"/>
          </w:tcPr>
          <w:p>
            <w:pPr>
              <w:spacing w:after="0"/>
              <w:rPr>
                <w:sz w:val="21"/>
                <w:szCs w:val="21"/>
                <w:color w:val="auto"/>
              </w:rPr>
            </w:pPr>
          </w:p>
        </w:tc>
        <w:tc>
          <w:tcPr>
            <w:tcW w:w="174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4</w:t>
            </w:r>
          </w:p>
        </w:tc>
        <w:tc>
          <w:tcPr>
            <w:tcW w:w="3300" w:type="dxa"/>
            <w:vAlign w:val="bottom"/>
          </w:tcPr>
          <w:p>
            <w:pPr>
              <w:spacing w:after="0"/>
              <w:rPr>
                <w:sz w:val="21"/>
                <w:szCs w:val="21"/>
                <w:color w:val="auto"/>
              </w:rPr>
            </w:pPr>
          </w:p>
        </w:tc>
      </w:tr>
    </w:tbl>
    <w:p>
      <w:pPr>
        <w:sectPr>
          <w:pgSz w:w="11900" w:h="16838" w:orient="portrait"/>
          <w:cols w:equalWidth="0" w:num="1">
            <w:col w:w="9019"/>
          </w:cols>
          <w:pgMar w:left="1440" w:top="224" w:right="1440" w:bottom="1440" w:gutter="0" w:footer="0" w:header="0"/>
        </w:sectPr>
      </w:pPr>
    </w:p>
    <w:bookmarkStart w:id="4" w:name="page5"/>
    <w:bookmarkEnd w:id="4"/>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116205</wp:posOffset>
            </wp:positionV>
            <wp:extent cx="411480"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1480" cy="10287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Polestar releases fourth quarter and full year 2022 financial results</w:t>
      </w:r>
    </w:p>
    <w:p>
      <w:pPr>
        <w:spacing w:after="0" w:line="91" w:lineRule="exact"/>
        <w:rPr>
          <w:sz w:val="20"/>
          <w:szCs w:val="20"/>
          <w:color w:val="auto"/>
        </w:rPr>
      </w:pPr>
    </w:p>
    <w:p>
      <w:pPr>
        <w:ind w:left="1480" w:hanging="288"/>
        <w:spacing w:after="0"/>
        <w:tabs>
          <w:tab w:leader="none" w:pos="148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revenue of USD 2.5 billion in 2022, an increase of 84% year on year</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51,491 cars delivered in 2022, compared to 28,677 in 2021, an increase of 80%</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and cash equivalents of USD 974 million as of December 31, 2022</w:t>
      </w:r>
    </w:p>
    <w:p>
      <w:pPr>
        <w:spacing w:after="0" w:line="146" w:lineRule="exact"/>
        <w:rPr>
          <w:sz w:val="20"/>
          <w:szCs w:val="20"/>
          <w:color w:val="auto"/>
        </w:rPr>
      </w:pPr>
    </w:p>
    <w:p>
      <w:pPr>
        <w:ind w:left="840" w:right="1039"/>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GOTHENBURG, SWEDEN – 2 March 2023. </w:t>
      </w:r>
      <w:r>
        <w:rPr>
          <w:rFonts w:ascii="Times New Roman" w:cs="Times New Roman" w:eastAsia="Times New Roman" w:hAnsi="Times New Roman"/>
          <w:sz w:val="12"/>
          <w:szCs w:val="12"/>
          <w:color w:val="auto"/>
        </w:rPr>
        <w:t>Polestar Automotive Holding UK PLC (“Polestar” or the “Company,” Nasdaq: PSNY), the Swedish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electric performance car brand, reports its preliminary unaudited financial and operational results for the year ended December 31, 2022.</w:t>
      </w:r>
    </w:p>
    <w:p>
      <w:pPr>
        <w:spacing w:after="0" w:line="107" w:lineRule="exact"/>
        <w:rPr>
          <w:sz w:val="20"/>
          <w:szCs w:val="20"/>
          <w:color w:val="auto"/>
        </w:rPr>
      </w:pPr>
    </w:p>
    <w:p>
      <w:pPr>
        <w:ind w:left="840" w:right="879"/>
        <w:spacing w:after="0" w:line="260" w:lineRule="auto"/>
        <w:rPr>
          <w:sz w:val="20"/>
          <w:szCs w:val="20"/>
          <w:color w:val="auto"/>
        </w:rPr>
      </w:pPr>
      <w:r>
        <w:rPr>
          <w:rFonts w:ascii="Times New Roman" w:cs="Times New Roman" w:eastAsia="Times New Roman" w:hAnsi="Times New Roman"/>
          <w:sz w:val="12"/>
          <w:szCs w:val="12"/>
          <w:color w:val="auto"/>
        </w:rPr>
        <w:t>Thomas Ingenlath, Polestar CEO, comments: “We left 2022 having exceeded our 50,000 delivery target, grown revenue over 80 percent and with strengthened liquidity. We are focused on business execution and have had a busy start to this year with a major update to Polestar 2, excellent reception for Polestar 3, and welcomed additional sustainability partners for our ambitious Polestar 0 project. Our business will continue to gain momentum through the year as we start producing Polestar 3—and with Polestar 4 in the starting blocks.”</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Key financial highlights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The below table summarises key financial results for the year ended December 31, 2022.</w:t>
      </w:r>
    </w:p>
    <w:p>
      <w:pPr>
        <w:spacing w:after="0" w:line="154" w:lineRule="exact"/>
        <w:rPr>
          <w:sz w:val="20"/>
          <w:szCs w:val="20"/>
          <w:color w:val="auto"/>
        </w:rPr>
      </w:pPr>
    </w:p>
    <w:tbl>
      <w:tblPr>
        <w:tblLayout w:type="fixed"/>
        <w:tblInd w:w="1420" w:type="dxa"/>
        <w:tblCellMar>
          <w:top w:w="0" w:type="dxa"/>
          <w:left w:w="0" w:type="dxa"/>
          <w:bottom w:w="0" w:type="dxa"/>
          <w:right w:w="0" w:type="dxa"/>
        </w:tblCellMar>
      </w:tblPr>
      <w:tr>
        <w:trPr>
          <w:trHeight w:val="115"/>
        </w:trPr>
        <w:tc>
          <w:tcPr>
            <w:tcW w:w="452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(in millions of U.S. dollars)</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Dec 31,</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Dec 31,</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0"/>
                <w:szCs w:val="10"/>
                <w:color w:val="auto"/>
              </w:rPr>
            </w:pPr>
          </w:p>
        </w:tc>
      </w:tr>
      <w:tr>
        <w:trPr>
          <w:trHeight w:val="117"/>
        </w:trPr>
        <w:tc>
          <w:tcPr>
            <w:tcW w:w="452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(unaudited)</w:t>
            </w:r>
          </w:p>
        </w:tc>
        <w:tc>
          <w:tcPr>
            <w:tcW w:w="440" w:type="dxa"/>
            <w:vAlign w:val="bottom"/>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rPr>
              <w:t>2022</w:t>
            </w:r>
          </w:p>
        </w:tc>
        <w:tc>
          <w:tcPr>
            <w:tcW w:w="200" w:type="dxa"/>
            <w:vAlign w:val="bottom"/>
          </w:tcPr>
          <w:p>
            <w:pPr>
              <w:spacing w:after="0"/>
              <w:rPr>
                <w:sz w:val="10"/>
                <w:szCs w:val="10"/>
                <w:color w:val="auto"/>
              </w:rPr>
            </w:pPr>
          </w:p>
        </w:tc>
        <w:tc>
          <w:tcPr>
            <w:tcW w:w="440" w:type="dxa"/>
            <w:vAlign w:val="bottom"/>
          </w:tcPr>
          <w:p>
            <w:pPr>
              <w:jc w:val="right"/>
              <w:ind w:right="82"/>
              <w:spacing w:after="0"/>
              <w:rPr>
                <w:sz w:val="20"/>
                <w:szCs w:val="20"/>
                <w:color w:val="auto"/>
              </w:rPr>
            </w:pPr>
            <w:r>
              <w:rPr>
                <w:rFonts w:ascii="Times New Roman" w:cs="Times New Roman" w:eastAsia="Times New Roman" w:hAnsi="Times New Roman"/>
                <w:sz w:val="10"/>
                <w:szCs w:val="10"/>
                <w:b w:val="1"/>
                <w:bCs w:val="1"/>
                <w:color w:val="auto"/>
              </w:rPr>
              <w:t>2021</w:t>
            </w:r>
          </w:p>
        </w:tc>
        <w:tc>
          <w:tcPr>
            <w:tcW w:w="100" w:type="dxa"/>
            <w:vAlign w:val="bottom"/>
          </w:tcPr>
          <w:p>
            <w:pPr>
              <w:spacing w:after="0"/>
              <w:rPr>
                <w:sz w:val="10"/>
                <w:szCs w:val="10"/>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Change</w:t>
            </w:r>
          </w:p>
        </w:tc>
      </w:tr>
      <w:tr>
        <w:trPr>
          <w:trHeight w:val="133"/>
        </w:trPr>
        <w:tc>
          <w:tcPr>
            <w:tcW w:w="45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2,461.9</w:t>
            </w:r>
          </w:p>
        </w:tc>
        <w:tc>
          <w:tcPr>
            <w:tcW w:w="2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1,337.2</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84</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Cost of sales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(2,342.5)</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(1,336.3)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80" w:type="dxa"/>
            <w:vAlign w:val="bottom"/>
          </w:tcPr>
          <w:p>
            <w:pPr>
              <w:spacing w:after="0"/>
              <w:rPr>
                <w:sz w:val="12"/>
                <w:szCs w:val="12"/>
                <w:color w:val="auto"/>
              </w:rPr>
            </w:pPr>
          </w:p>
        </w:tc>
      </w:tr>
      <w:tr>
        <w:trPr>
          <w:trHeight w:val="144"/>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119.4</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n/m</w:t>
            </w:r>
          </w:p>
        </w:tc>
      </w:tr>
      <w:tr>
        <w:trPr>
          <w:trHeight w:val="144"/>
        </w:trPr>
        <w:tc>
          <w:tcPr>
            <w:tcW w:w="4520" w:type="dxa"/>
            <w:vAlign w:val="bottom"/>
          </w:tcPr>
          <w:p>
            <w:pPr>
              <w:ind w:left="240"/>
              <w:spacing w:after="0"/>
              <w:rPr>
                <w:sz w:val="20"/>
                <w:szCs w:val="20"/>
                <w:color w:val="auto"/>
              </w:rPr>
            </w:pPr>
            <w:r>
              <w:rPr>
                <w:rFonts w:ascii="Times New Roman" w:cs="Times New Roman" w:eastAsia="Times New Roman" w:hAnsi="Times New Roman"/>
                <w:sz w:val="12"/>
                <w:szCs w:val="12"/>
                <w:i w:val="1"/>
                <w:iCs w:val="1"/>
                <w:color w:val="auto"/>
              </w:rPr>
              <w:t>Gross margin (%)</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4.9</w:t>
            </w: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0.1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i w:val="1"/>
                <w:iCs w:val="1"/>
                <w:color w:val="auto"/>
              </w:rPr>
              <w:t>n/m</w:t>
            </w:r>
          </w:p>
        </w:tc>
      </w:tr>
      <w:tr>
        <w:trPr>
          <w:trHeight w:val="144"/>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(864.6)</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(714.7)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80" w:type="dxa"/>
            <w:vAlign w:val="bottom"/>
            <w:shd w:val="clear" w:color="auto" w:fill="CCEEFF"/>
          </w:tcPr>
          <w:p>
            <w:pPr>
              <w:spacing w:after="0"/>
              <w:rPr>
                <w:sz w:val="12"/>
                <w:szCs w:val="12"/>
                <w:color w:val="auto"/>
              </w:rPr>
            </w:pP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Research and development expenses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(171.0)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(232.9)</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(27)</w:t>
            </w:r>
          </w:p>
        </w:tc>
      </w:tr>
      <w:tr>
        <w:trPr>
          <w:trHeight w:val="144"/>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operating expenses and income, net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(48.1)</w:t>
            </w:r>
          </w:p>
        </w:tc>
        <w:tc>
          <w:tcPr>
            <w:tcW w:w="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(105)</w:t>
            </w:r>
          </w:p>
        </w:tc>
      </w:tr>
      <w:tr>
        <w:trPr>
          <w:trHeight w:val="144"/>
        </w:trPr>
        <w:tc>
          <w:tcPr>
            <w:tcW w:w="452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Listing expense</w:t>
            </w:r>
            <w:r>
              <w:rPr>
                <w:rFonts w:ascii="Times New Roman" w:cs="Times New Roman" w:eastAsia="Times New Roman" w:hAnsi="Times New Roman"/>
                <w:sz w:val="16"/>
                <w:szCs w:val="16"/>
                <w:color w:val="auto"/>
                <w:vertAlign w:val="superscript"/>
              </w:rPr>
              <w:t>(1)</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(372.3)</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tcPr>
          <w:p>
            <w:pPr>
              <w:spacing w:after="0"/>
              <w:rPr>
                <w:sz w:val="12"/>
                <w:szCs w:val="12"/>
                <w:color w:val="auto"/>
              </w:rPr>
            </w:pPr>
          </w:p>
        </w:tc>
      </w:tr>
      <w:tr>
        <w:trPr>
          <w:trHeight w:val="144"/>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loss</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(1,286.3)</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(994.8)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80" w:type="dxa"/>
            <w:vAlign w:val="bottom"/>
            <w:shd w:val="clear" w:color="auto" w:fill="CCEEFF"/>
          </w:tcPr>
          <w:p>
            <w:pPr>
              <w:spacing w:after="0"/>
              <w:rPr>
                <w:sz w:val="12"/>
                <w:szCs w:val="12"/>
                <w:color w:val="auto"/>
              </w:rPr>
            </w:pPr>
          </w:p>
        </w:tc>
      </w:tr>
      <w:tr>
        <w:trPr>
          <w:trHeight w:val="236"/>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Adjusted operating loss</w:t>
            </w:r>
            <w:r>
              <w:rPr>
                <w:rFonts w:ascii="Times New Roman" w:cs="Times New Roman" w:eastAsia="Times New Roman" w:hAnsi="Times New Roman"/>
                <w:sz w:val="17"/>
                <w:szCs w:val="17"/>
                <w:color w:val="auto"/>
                <w:vertAlign w:val="superscript"/>
              </w:rPr>
              <w:t>(2)</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(914.0)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(994.8)</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(8)</w:t>
            </w:r>
          </w:p>
        </w:tc>
      </w:tr>
    </w:tbl>
    <w:p>
      <w:pPr>
        <w:spacing w:after="0" w:line="59" w:lineRule="exact"/>
        <w:rPr>
          <w:sz w:val="20"/>
          <w:szCs w:val="20"/>
          <w:color w:val="auto"/>
        </w:rPr>
      </w:pPr>
    </w:p>
    <w:p>
      <w:pPr>
        <w:ind w:left="1120" w:right="1019" w:hanging="288"/>
        <w:spacing w:after="0" w:line="259" w:lineRule="auto"/>
        <w:tabs>
          <w:tab w:leader="none" w:pos="11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listing expense represents a non-recurring, non-cash, share-based listing charge, incurred in connection with the business combination with Gores Guggenheim, Inc (GGI). on June 23, 2022.</w:t>
      </w:r>
    </w:p>
    <w:p>
      <w:pPr>
        <w:spacing w:after="0" w:line="1"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Non-GAAP measure. See Appendix B for details and a reconciliation of adjusted metrics to the nearest GAAP measure.</w:t>
      </w:r>
    </w:p>
    <w:p>
      <w:pPr>
        <w:sectPr>
          <w:pgSz w:w="11900" w:h="16838" w:orient="portrait"/>
          <w:cols w:equalWidth="0" w:num="1">
            <w:col w:w="9019"/>
          </w:cols>
          <w:pgMar w:left="1440" w:top="125" w:right="1440" w:bottom="1440" w:gutter="0" w:footer="0" w:header="0"/>
        </w:sectPr>
      </w:pPr>
    </w:p>
    <w:bookmarkStart w:id="5" w:name="page6"/>
    <w:bookmarkEnd w:id="5"/>
    <w:p>
      <w:pPr>
        <w:ind w:left="1480" w:right="979" w:hanging="288"/>
        <w:spacing w:after="0" w:line="279" w:lineRule="auto"/>
        <w:tabs>
          <w:tab w:leader="none" w:pos="1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Revenue increased USD 1,124.7 million, or 84%, mainly driven by higher Polestar 2 vehicle sales with continued commercial expansion across markets.</w:t>
      </w:r>
    </w:p>
    <w:p>
      <w:pPr>
        <w:spacing w:after="0" w:line="48" w:lineRule="exact"/>
        <w:rPr>
          <w:rFonts w:ascii="Times New Roman" w:cs="Times New Roman" w:eastAsia="Times New Roman" w:hAnsi="Times New Roman"/>
          <w:sz w:val="12"/>
          <w:szCs w:val="12"/>
          <w:color w:val="auto"/>
        </w:rPr>
      </w:pPr>
    </w:p>
    <w:p>
      <w:pPr>
        <w:ind w:left="1480" w:right="1019" w:hanging="288"/>
        <w:spacing w:after="0" w:line="279" w:lineRule="auto"/>
        <w:tabs>
          <w:tab w:leader="none" w:pos="1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Gross profit increased USD 118.5 million, as the result of higher Polestar 2 sales and lower fixed manufacturing costs. This growth was partially offset by foreign exchange rates which led to higher cost of sales, and product and market mix.</w:t>
      </w:r>
    </w:p>
    <w:p>
      <w:pPr>
        <w:spacing w:after="0" w:line="48" w:lineRule="exact"/>
        <w:rPr>
          <w:rFonts w:ascii="Times New Roman" w:cs="Times New Roman" w:eastAsia="Times New Roman" w:hAnsi="Times New Roman"/>
          <w:sz w:val="12"/>
          <w:szCs w:val="12"/>
          <w:color w:val="auto"/>
        </w:rPr>
      </w:pPr>
    </w:p>
    <w:p>
      <w:pPr>
        <w:ind w:left="1480" w:right="879" w:hanging="288"/>
        <w:spacing w:after="0" w:line="279" w:lineRule="auto"/>
        <w:tabs>
          <w:tab w:leader="none" w:pos="1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Selling, general and administrative expenses increased USD 149.9 million, or 21%. This increase primarily reflects Polestar’s international business expansion partially offset by active cost management.</w:t>
      </w:r>
    </w:p>
    <w:p>
      <w:pPr>
        <w:spacing w:after="0" w:line="48" w:lineRule="exact"/>
        <w:rPr>
          <w:rFonts w:ascii="Times New Roman" w:cs="Times New Roman" w:eastAsia="Times New Roman" w:hAnsi="Times New Roman"/>
          <w:sz w:val="12"/>
          <w:szCs w:val="12"/>
          <w:color w:val="auto"/>
        </w:rPr>
      </w:pPr>
    </w:p>
    <w:p>
      <w:pPr>
        <w:ind w:left="1480" w:right="879" w:hanging="288"/>
        <w:spacing w:after="0" w:line="279" w:lineRule="auto"/>
        <w:tabs>
          <w:tab w:leader="none" w:pos="1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Research and development expenses decreased USD 62.0 million, or 27% due to the absence of Polestar 1 amortisation. This decrease was partially offset by continued investments in future vehicles and technologies.</w:t>
      </w:r>
    </w:p>
    <w:p>
      <w:pPr>
        <w:spacing w:after="0" w:line="48"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loss increased USD 291.5 million, or 29%, impacted by a Q2 2022 one-time share-based listing charge of USD 372.3 million.</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operating loss decreased USD 80.8 million, or 8%, benefiting from higher gross profit and active cost management.</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The below table summarises key financial results for the quarter ended December 31, 2022.</w:t>
      </w:r>
    </w:p>
    <w:p>
      <w:pPr>
        <w:spacing w:after="0" w:line="154" w:lineRule="exact"/>
        <w:rPr>
          <w:sz w:val="20"/>
          <w:szCs w:val="20"/>
          <w:color w:val="auto"/>
        </w:rPr>
      </w:pPr>
    </w:p>
    <w:tbl>
      <w:tblPr>
        <w:tblLayout w:type="fixed"/>
        <w:tblInd w:w="1420" w:type="dxa"/>
        <w:tblCellMar>
          <w:top w:w="0" w:type="dxa"/>
          <w:left w:w="0" w:type="dxa"/>
          <w:bottom w:w="0" w:type="dxa"/>
          <w:right w:w="0" w:type="dxa"/>
        </w:tblCellMar>
      </w:tblPr>
      <w:tr>
        <w:trPr>
          <w:trHeight w:val="115"/>
        </w:trPr>
        <w:tc>
          <w:tcPr>
            <w:tcW w:w="470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(in millions of U.S. dollars)</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w w:val="96"/>
              </w:rPr>
              <w:t>Dec 31,</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w w:val="96"/>
              </w:rPr>
              <w:t>Dec 31,</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0"/>
                <w:szCs w:val="10"/>
                <w:color w:val="auto"/>
              </w:rPr>
            </w:pPr>
          </w:p>
        </w:tc>
      </w:tr>
      <w:tr>
        <w:trPr>
          <w:trHeight w:val="117"/>
        </w:trPr>
        <w:tc>
          <w:tcPr>
            <w:tcW w:w="470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(unaudited)</w:t>
            </w:r>
          </w:p>
        </w:tc>
        <w:tc>
          <w:tcPr>
            <w:tcW w:w="360" w:type="dxa"/>
            <w:vAlign w:val="bottom"/>
          </w:tcPr>
          <w:p>
            <w:pPr>
              <w:jc w:val="right"/>
              <w:ind w:right="22"/>
              <w:spacing w:after="0"/>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Pr>
          <w:p>
            <w:pPr>
              <w:spacing w:after="0"/>
              <w:rPr>
                <w:sz w:val="10"/>
                <w:szCs w:val="10"/>
                <w:color w:val="auto"/>
              </w:rPr>
            </w:pPr>
          </w:p>
        </w:tc>
        <w:tc>
          <w:tcPr>
            <w:tcW w:w="360" w:type="dxa"/>
            <w:vAlign w:val="bottom"/>
          </w:tcPr>
          <w:p>
            <w:pPr>
              <w:jc w:val="right"/>
              <w:ind w:right="22"/>
              <w:spacing w:after="0"/>
              <w:rPr>
                <w:sz w:val="20"/>
                <w:szCs w:val="20"/>
                <w:color w:val="auto"/>
              </w:rPr>
            </w:pPr>
            <w:r>
              <w:rPr>
                <w:rFonts w:ascii="Times New Roman" w:cs="Times New Roman" w:eastAsia="Times New Roman" w:hAnsi="Times New Roman"/>
                <w:sz w:val="10"/>
                <w:szCs w:val="10"/>
                <w:b w:val="1"/>
                <w:bCs w:val="1"/>
                <w:color w:val="auto"/>
              </w:rPr>
              <w:t>2021</w:t>
            </w:r>
          </w:p>
        </w:tc>
        <w:tc>
          <w:tcPr>
            <w:tcW w:w="100" w:type="dxa"/>
            <w:vAlign w:val="bottom"/>
          </w:tcPr>
          <w:p>
            <w:pPr>
              <w:spacing w:after="0"/>
              <w:rPr>
                <w:sz w:val="10"/>
                <w:szCs w:val="10"/>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Change</w:t>
            </w:r>
          </w:p>
        </w:tc>
      </w:tr>
      <w:tr>
        <w:trPr>
          <w:trHeight w:val="133"/>
        </w:trPr>
        <w:tc>
          <w:tcPr>
            <w:tcW w:w="47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985.2</w:t>
            </w:r>
          </w:p>
        </w:tc>
        <w:tc>
          <w:tcPr>
            <w:tcW w:w="1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589.5</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i w:val="1"/>
                <w:iCs w:val="1"/>
                <w:color w:val="auto"/>
              </w:rPr>
              <w:t>67</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4700" w:type="dxa"/>
            <w:vAlign w:val="bottom"/>
          </w:tcPr>
          <w:p>
            <w:pPr>
              <w:spacing w:after="0"/>
              <w:rPr>
                <w:sz w:val="20"/>
                <w:szCs w:val="20"/>
                <w:color w:val="auto"/>
              </w:rPr>
            </w:pPr>
            <w:r>
              <w:rPr>
                <w:rFonts w:ascii="Times New Roman" w:cs="Times New Roman" w:eastAsia="Times New Roman" w:hAnsi="Times New Roman"/>
                <w:sz w:val="12"/>
                <w:szCs w:val="12"/>
                <w:color w:val="auto"/>
              </w:rPr>
              <w:t>Cost of sales</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(923.2)</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(589.7)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i w:val="1"/>
                <w:iCs w:val="1"/>
                <w:color w:val="auto"/>
              </w:rPr>
              <w:t>57</w:t>
            </w:r>
          </w:p>
        </w:tc>
        <w:tc>
          <w:tcPr>
            <w:tcW w:w="80" w:type="dxa"/>
            <w:vAlign w:val="bottom"/>
          </w:tcPr>
          <w:p>
            <w:pPr>
              <w:spacing w:after="0"/>
              <w:rPr>
                <w:sz w:val="12"/>
                <w:szCs w:val="12"/>
                <w:color w:val="auto"/>
              </w:rPr>
            </w:pPr>
          </w:p>
        </w:tc>
      </w:tr>
      <w:tr>
        <w:trPr>
          <w:trHeight w:val="144"/>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61.9</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(0.2)</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i w:val="1"/>
                <w:iCs w:val="1"/>
                <w:color w:val="auto"/>
              </w:rPr>
              <w:t>n/m</w:t>
            </w:r>
          </w:p>
        </w:tc>
      </w:tr>
      <w:tr>
        <w:trPr>
          <w:trHeight w:val="144"/>
        </w:trPr>
        <w:tc>
          <w:tcPr>
            <w:tcW w:w="4700" w:type="dxa"/>
            <w:vAlign w:val="bottom"/>
          </w:tcPr>
          <w:p>
            <w:pPr>
              <w:ind w:left="240"/>
              <w:spacing w:after="0"/>
              <w:rPr>
                <w:sz w:val="20"/>
                <w:szCs w:val="20"/>
                <w:color w:val="auto"/>
              </w:rPr>
            </w:pPr>
            <w:r>
              <w:rPr>
                <w:rFonts w:ascii="Times New Roman" w:cs="Times New Roman" w:eastAsia="Times New Roman" w:hAnsi="Times New Roman"/>
                <w:sz w:val="12"/>
                <w:szCs w:val="12"/>
                <w:i w:val="1"/>
                <w:iCs w:val="1"/>
                <w:color w:val="auto"/>
              </w:rPr>
              <w:t>Gross margin (%)</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6.3</w:t>
            </w:r>
          </w:p>
        </w:tc>
        <w:tc>
          <w:tcPr>
            <w:tcW w:w="1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i w:val="1"/>
                <w:iCs w:val="1"/>
                <w:color w:val="auto"/>
              </w:rPr>
              <w:t>n/m</w:t>
            </w:r>
          </w:p>
        </w:tc>
      </w:tr>
      <w:tr>
        <w:trPr>
          <w:trHeight w:val="144"/>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(239.2)</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(236.6)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1</w:t>
            </w:r>
          </w:p>
        </w:tc>
        <w:tc>
          <w:tcPr>
            <w:tcW w:w="80" w:type="dxa"/>
            <w:vAlign w:val="bottom"/>
            <w:shd w:val="clear" w:color="auto" w:fill="CCEEFF"/>
          </w:tcPr>
          <w:p>
            <w:pPr>
              <w:spacing w:after="0"/>
              <w:rPr>
                <w:sz w:val="12"/>
                <w:szCs w:val="12"/>
                <w:color w:val="auto"/>
              </w:rPr>
            </w:pPr>
          </w:p>
        </w:tc>
      </w:tr>
      <w:tr>
        <w:trPr>
          <w:trHeight w:val="144"/>
        </w:trPr>
        <w:tc>
          <w:tcPr>
            <w:tcW w:w="4700" w:type="dxa"/>
            <w:vAlign w:val="bottom"/>
          </w:tcPr>
          <w:p>
            <w:pPr>
              <w:spacing w:after="0"/>
              <w:rPr>
                <w:sz w:val="20"/>
                <w:szCs w:val="20"/>
                <w:color w:val="auto"/>
              </w:rPr>
            </w:pPr>
            <w:r>
              <w:rPr>
                <w:rFonts w:ascii="Times New Roman" w:cs="Times New Roman" w:eastAsia="Times New Roman" w:hAnsi="Times New Roman"/>
                <w:sz w:val="12"/>
                <w:szCs w:val="12"/>
                <w:color w:val="auto"/>
              </w:rPr>
              <w:t>Research and development expenses</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(47.6)</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(75.5)</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i w:val="1"/>
                <w:iCs w:val="1"/>
                <w:color w:val="auto"/>
              </w:rPr>
              <w:t>(37)</w:t>
            </w:r>
          </w:p>
        </w:tc>
      </w:tr>
      <w:tr>
        <w:trPr>
          <w:trHeight w:val="144"/>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operating expenses and income, net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(25.0)</w:t>
            </w:r>
          </w:p>
        </w:tc>
        <w:tc>
          <w:tcPr>
            <w:tcW w:w="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i w:val="1"/>
                <w:iCs w:val="1"/>
                <w:color w:val="auto"/>
              </w:rPr>
              <w:t>(181)</w:t>
            </w:r>
          </w:p>
        </w:tc>
      </w:tr>
      <w:tr>
        <w:trPr>
          <w:trHeight w:val="157"/>
        </w:trPr>
        <w:tc>
          <w:tcPr>
            <w:tcW w:w="4700" w:type="dxa"/>
            <w:vAlign w:val="bottom"/>
          </w:tcPr>
          <w:p>
            <w:pPr>
              <w:spacing w:after="0"/>
              <w:rPr>
                <w:sz w:val="20"/>
                <w:szCs w:val="20"/>
                <w:color w:val="auto"/>
              </w:rPr>
            </w:pPr>
            <w:r>
              <w:rPr>
                <w:rFonts w:ascii="Times New Roman" w:cs="Times New Roman" w:eastAsia="Times New Roman" w:hAnsi="Times New Roman"/>
                <w:sz w:val="12"/>
                <w:szCs w:val="12"/>
                <w:color w:val="auto"/>
              </w:rPr>
              <w:t>Operating loss</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(204.7)</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(337.3)</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i w:val="1"/>
                <w:iCs w:val="1"/>
                <w:color w:val="auto"/>
              </w:rPr>
              <w:t>(39)</w:t>
            </w:r>
          </w:p>
        </w:tc>
      </w:tr>
    </w:tbl>
    <w:p>
      <w:pPr>
        <w:spacing w:after="0" w:line="1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Variances for Q4 2022 versus Q4 2021 largely followed the trends outlined for 2022 versus 2021, with the following notable exceptions:</w:t>
      </w:r>
    </w:p>
    <w:p>
      <w:pPr>
        <w:spacing w:after="0" w:line="87" w:lineRule="exact"/>
        <w:rPr>
          <w:sz w:val="20"/>
          <w:szCs w:val="20"/>
          <w:color w:val="auto"/>
        </w:rPr>
      </w:pPr>
    </w:p>
    <w:p>
      <w:pPr>
        <w:ind w:left="1480" w:hanging="288"/>
        <w:spacing w:after="0"/>
        <w:tabs>
          <w:tab w:leader="none" w:pos="14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Selling, general and administrative expenses were kept flat due to active cost management.</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loss decreased USD 132.6 million, or 39%, benefiting from higher gross profit and active cost management.</w:t>
      </w:r>
    </w:p>
    <w:p>
      <w:pPr>
        <w:sectPr>
          <w:pgSz w:w="11900" w:h="16838" w:orient="portrait"/>
          <w:cols w:equalWidth="0" w:num="1">
            <w:col w:w="9019"/>
          </w:cols>
          <w:pgMar w:left="1440" w:top="228" w:right="1440" w:bottom="1440" w:gutter="0" w:footer="0" w:header="0"/>
        </w:sectPr>
      </w:pPr>
    </w:p>
    <w:bookmarkStart w:id="6" w:name="page7"/>
    <w:bookmarkEnd w:id="6"/>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Cash flow highlights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The below table summarises cash flow for the year ended December 31, 2022.</w:t>
      </w:r>
    </w:p>
    <w:p>
      <w:pPr>
        <w:spacing w:after="0" w:line="15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0"/>
          <w:szCs w:val="10"/>
          <w:i w:val="1"/>
          <w:iCs w:val="1"/>
          <w:color w:val="auto"/>
        </w:rPr>
        <w:t>(in millions of U.S. dollars)</w:t>
      </w:r>
    </w:p>
    <w:p>
      <w:pPr>
        <w:ind w:left="2020"/>
        <w:spacing w:after="0" w:line="234" w:lineRule="auto"/>
        <w:rPr>
          <w:sz w:val="20"/>
          <w:szCs w:val="20"/>
          <w:color w:val="auto"/>
        </w:rPr>
      </w:pPr>
      <w:r>
        <w:rPr>
          <w:rFonts w:ascii="Times New Roman" w:cs="Times New Roman" w:eastAsia="Times New Roman" w:hAnsi="Times New Roman"/>
          <w:sz w:val="10"/>
          <w:szCs w:val="10"/>
          <w:i w:val="1"/>
          <w:iCs w:val="1"/>
          <w:color w:val="auto"/>
        </w:rPr>
        <w:t>(unaudited)</w:t>
      </w:r>
    </w:p>
    <w:p>
      <w:pPr>
        <w:spacing w:after="0" w:line="6" w:lineRule="exact"/>
        <w:rPr>
          <w:sz w:val="20"/>
          <w:szCs w:val="20"/>
          <w:color w:val="auto"/>
        </w:rPr>
      </w:pPr>
    </w:p>
    <w:tbl>
      <w:tblPr>
        <w:tblLayout w:type="fixed"/>
        <w:tblInd w:w="2020" w:type="dxa"/>
        <w:tblCellMar>
          <w:top w:w="0" w:type="dxa"/>
          <w:left w:w="0" w:type="dxa"/>
          <w:bottom w:w="0" w:type="dxa"/>
          <w:right w:w="0" w:type="dxa"/>
        </w:tblCellMar>
      </w:tblPr>
      <w:tr>
        <w:trPr>
          <w:trHeight w:val="138"/>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Dec 31, 2021</w:t>
            </w:r>
          </w:p>
        </w:tc>
        <w:tc>
          <w:tcPr>
            <w:tcW w:w="14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756.7</w:t>
            </w:r>
          </w:p>
        </w:tc>
      </w:tr>
      <w:tr>
        <w:trPr>
          <w:trHeight w:val="144"/>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Operating</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(1,088.3)</w:t>
            </w:r>
          </w:p>
        </w:tc>
      </w:tr>
      <w:tr>
        <w:trPr>
          <w:trHeight w:val="14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Investing</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(716.0)</w:t>
            </w:r>
          </w:p>
        </w:tc>
      </w:tr>
      <w:tr>
        <w:trPr>
          <w:trHeight w:val="144"/>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Financing</w:t>
            </w:r>
          </w:p>
        </w:tc>
        <w:tc>
          <w:tcPr>
            <w:tcW w:w="14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2,087.7</w:t>
            </w:r>
          </w:p>
        </w:tc>
      </w:tr>
      <w:tr>
        <w:trPr>
          <w:trHeight w:val="14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exchange effect on cash and cash equivalents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w:t>
            </w:r>
          </w:p>
        </w:tc>
      </w:tr>
      <w:tr>
        <w:trPr>
          <w:trHeight w:val="159"/>
        </w:trPr>
        <w:tc>
          <w:tcPr>
            <w:tcW w:w="3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Dec 31, 2022</w:t>
            </w:r>
          </w:p>
        </w:tc>
        <w:tc>
          <w:tcPr>
            <w:tcW w:w="1440" w:type="dxa"/>
            <w:vAlign w:val="bottom"/>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973.9</w:t>
            </w:r>
          </w:p>
        </w:tc>
      </w:tr>
    </w:tbl>
    <w:p>
      <w:pPr>
        <w:spacing w:after="0" w:line="136" w:lineRule="exact"/>
        <w:rPr>
          <w:sz w:val="20"/>
          <w:szCs w:val="20"/>
          <w:color w:val="auto"/>
        </w:rPr>
      </w:pPr>
    </w:p>
    <w:p>
      <w:pPr>
        <w:ind w:left="1480" w:right="1279" w:hanging="288"/>
        <w:spacing w:after="0" w:line="279" w:lineRule="auto"/>
        <w:tabs>
          <w:tab w:leader="none" w:pos="14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cash outflow of USD 1,088.3 million, mainly driven by operating loss, working capital increase in inventories and trade receivables as a result of higher production and sales, and interest expenses due to increased financial debt during 2022.</w:t>
      </w:r>
    </w:p>
    <w:p>
      <w:pPr>
        <w:spacing w:after="0" w:line="48" w:lineRule="exact"/>
        <w:rPr>
          <w:rFonts w:ascii="Times New Roman" w:cs="Times New Roman" w:eastAsia="Times New Roman" w:hAnsi="Times New Roman"/>
          <w:sz w:val="12"/>
          <w:szCs w:val="12"/>
          <w:color w:val="auto"/>
        </w:rPr>
      </w:pPr>
    </w:p>
    <w:p>
      <w:pPr>
        <w:ind w:left="1480" w:right="1099" w:hanging="288"/>
        <w:spacing w:after="0" w:line="279" w:lineRule="auto"/>
        <w:tabs>
          <w:tab w:leader="none" w:pos="14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Investing cash outflow of USD 716.0 million, predominantly driven by intellectual property investments for Polestar 2, Polestar 3 and Polestar 4.</w:t>
      </w:r>
    </w:p>
    <w:p>
      <w:pPr>
        <w:spacing w:after="0" w:line="48" w:lineRule="exact"/>
        <w:rPr>
          <w:rFonts w:ascii="Times New Roman" w:cs="Times New Roman" w:eastAsia="Times New Roman" w:hAnsi="Times New Roman"/>
          <w:sz w:val="12"/>
          <w:szCs w:val="12"/>
          <w:color w:val="auto"/>
        </w:rPr>
      </w:pPr>
    </w:p>
    <w:p>
      <w:pPr>
        <w:ind w:left="1480" w:right="1099" w:hanging="288"/>
        <w:spacing w:after="0" w:line="279" w:lineRule="auto"/>
        <w:tabs>
          <w:tab w:leader="none" w:pos="14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Financing cash inflow mainly comprised of equity proceeds of USD 1,418.0 million from the merger with GGI in June 2022 and a net increase in short-term borrowings of USD 723.5 million to support the continued growth of the company.</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Key operational highlights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The below table summarises key preliminary operational results as of and for the year ended December 31, 2022.</w:t>
      </w:r>
    </w:p>
    <w:p>
      <w:pPr>
        <w:spacing w:after="0" w:line="146" w:lineRule="exact"/>
        <w:rPr>
          <w:sz w:val="20"/>
          <w:szCs w:val="20"/>
          <w:color w:val="auto"/>
        </w:rPr>
      </w:pPr>
    </w:p>
    <w:tbl>
      <w:tblPr>
        <w:tblLayout w:type="fixed"/>
        <w:tblInd w:w="1420" w:type="dxa"/>
        <w:tblCellMar>
          <w:top w:w="0" w:type="dxa"/>
          <w:left w:w="0" w:type="dxa"/>
          <w:bottom w:w="0" w:type="dxa"/>
          <w:right w:w="0" w:type="dxa"/>
        </w:tblCellMar>
      </w:tblPr>
      <w:tr>
        <w:trPr>
          <w:trHeight w:val="115"/>
        </w:trPr>
        <w:tc>
          <w:tcPr>
            <w:tcW w:w="478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(unaudited)</w:t>
            </w: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Dec 31,</w:t>
            </w:r>
          </w:p>
        </w:tc>
        <w:tc>
          <w:tcPr>
            <w:tcW w:w="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Dec 31,</w:t>
            </w:r>
          </w:p>
        </w:tc>
        <w:tc>
          <w:tcPr>
            <w:tcW w:w="480" w:type="dxa"/>
            <w:vAlign w:val="bottom"/>
            <w:gridSpan w:val="2"/>
          </w:tcPr>
          <w:p>
            <w:pPr>
              <w:jc w:val="center"/>
              <w:ind w:left="87"/>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780" w:type="dxa"/>
            <w:vAlign w:val="bottom"/>
            <w:vMerge w:val="continue"/>
          </w:tcPr>
          <w:p>
            <w:pPr>
              <w:spacing w:after="0"/>
              <w:rPr>
                <w:sz w:val="10"/>
                <w:szCs w:val="10"/>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16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520" w:type="dxa"/>
            <w:vAlign w:val="bottom"/>
            <w:gridSpan w:val="3"/>
          </w:tcPr>
          <w:p>
            <w:pPr>
              <w:jc w:val="center"/>
              <w:ind w:left="67"/>
              <w:spacing w:after="0"/>
              <w:rPr>
                <w:sz w:val="20"/>
                <w:szCs w:val="20"/>
                <w:color w:val="auto"/>
              </w:rPr>
            </w:pPr>
            <w:r>
              <w:rPr>
                <w:rFonts w:ascii="Times New Roman" w:cs="Times New Roman" w:eastAsia="Times New Roman" w:hAnsi="Times New Roman"/>
                <w:sz w:val="10"/>
                <w:szCs w:val="10"/>
                <w:b w:val="1"/>
                <w:bCs w:val="1"/>
                <w:color w:val="auto"/>
                <w:w w:val="97"/>
              </w:rPr>
              <w:t>Change</w:t>
            </w:r>
          </w:p>
        </w:tc>
        <w:tc>
          <w:tcPr>
            <w:tcW w:w="0" w:type="dxa"/>
            <w:vAlign w:val="bottom"/>
          </w:tcPr>
          <w:p>
            <w:pPr>
              <w:spacing w:after="0"/>
              <w:rPr>
                <w:sz w:val="1"/>
                <w:szCs w:val="1"/>
                <w:color w:val="auto"/>
              </w:rPr>
            </w:pPr>
          </w:p>
        </w:tc>
      </w:tr>
      <w:tr>
        <w:trPr>
          <w:trHeight w:val="133"/>
        </w:trPr>
        <w:tc>
          <w:tcPr>
            <w:tcW w:w="47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1"/>
                <w:szCs w:val="11"/>
                <w:color w:val="auto"/>
              </w:rPr>
              <w:t xml:space="preserve">Global volumes </w:t>
            </w:r>
            <w:r>
              <w:rPr>
                <w:rFonts w:ascii="Times New Roman" w:cs="Times New Roman" w:eastAsia="Times New Roman" w:hAnsi="Times New Roman"/>
                <w:sz w:val="15"/>
                <w:szCs w:val="15"/>
                <w:color w:val="auto"/>
                <w:vertAlign w:val="superscript"/>
              </w:rPr>
              <w:t>(1)</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51,491</w:t>
            </w:r>
          </w:p>
        </w:tc>
        <w:tc>
          <w:tcPr>
            <w:tcW w:w="1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28,677</w:t>
            </w:r>
          </w:p>
        </w:tc>
        <w:tc>
          <w:tcPr>
            <w:tcW w:w="1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 including external vehicles with repurchase obligations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1,296</w:t>
            </w:r>
          </w:p>
        </w:tc>
        <w:tc>
          <w:tcPr>
            <w:tcW w:w="1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2,836</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 including internal vehicles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1,664</w:t>
            </w: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2,081</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4780" w:type="dxa"/>
            <w:vAlign w:val="bottom"/>
          </w:tcPr>
          <w:p>
            <w:pPr>
              <w:spacing w:after="0"/>
              <w:rPr>
                <w:sz w:val="19"/>
                <w:szCs w:val="19"/>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Dec 31,</w:t>
            </w:r>
          </w:p>
        </w:tc>
        <w:tc>
          <w:tcPr>
            <w:tcW w:w="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Dec 31,</w:t>
            </w:r>
          </w:p>
        </w:tc>
        <w:tc>
          <w:tcPr>
            <w:tcW w:w="520" w:type="dxa"/>
            <w:vAlign w:val="bottom"/>
            <w:gridSpan w:val="3"/>
            <w:vMerge w:val="restart"/>
          </w:tcPr>
          <w:p>
            <w:pPr>
              <w:jc w:val="center"/>
              <w:ind w:left="67"/>
              <w:spacing w:after="0"/>
              <w:rPr>
                <w:sz w:val="20"/>
                <w:szCs w:val="20"/>
                <w:color w:val="auto"/>
              </w:rPr>
            </w:pPr>
            <w:r>
              <w:rPr>
                <w:rFonts w:ascii="Times New Roman" w:cs="Times New Roman" w:eastAsia="Times New Roman" w:hAnsi="Times New Roman"/>
                <w:sz w:val="10"/>
                <w:szCs w:val="10"/>
                <w:b w:val="1"/>
                <w:bCs w:val="1"/>
                <w:color w:val="auto"/>
                <w:w w:val="97"/>
              </w:rPr>
              <w:t>Change</w:t>
            </w:r>
          </w:p>
        </w:tc>
        <w:tc>
          <w:tcPr>
            <w:tcW w:w="0" w:type="dxa"/>
            <w:vAlign w:val="bottom"/>
          </w:tcPr>
          <w:p>
            <w:pPr>
              <w:spacing w:after="0"/>
              <w:rPr>
                <w:sz w:val="1"/>
                <w:szCs w:val="1"/>
                <w:color w:val="auto"/>
              </w:rPr>
            </w:pPr>
          </w:p>
        </w:tc>
      </w:tr>
      <w:tr>
        <w:trPr>
          <w:trHeight w:val="115"/>
        </w:trPr>
        <w:tc>
          <w:tcPr>
            <w:tcW w:w="478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16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5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7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1"/>
                <w:szCs w:val="11"/>
                <w:color w:val="auto"/>
              </w:rPr>
              <w:t xml:space="preserve">Markets </w:t>
            </w:r>
            <w:r>
              <w:rPr>
                <w:rFonts w:ascii="Times New Roman" w:cs="Times New Roman" w:eastAsia="Times New Roman" w:hAnsi="Times New Roman"/>
                <w:sz w:val="15"/>
                <w:szCs w:val="15"/>
                <w:color w:val="auto"/>
                <w:vertAlign w:val="superscript"/>
              </w:rPr>
              <w:t>(2)</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w:t>
            </w:r>
          </w:p>
        </w:tc>
        <w:tc>
          <w:tcPr>
            <w:tcW w:w="1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w:t>
            </w:r>
          </w:p>
        </w:tc>
        <w:tc>
          <w:tcPr>
            <w:tcW w:w="1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78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 xml:space="preserve">Locations </w:t>
            </w:r>
            <w:r>
              <w:rPr>
                <w:rFonts w:ascii="Times New Roman" w:cs="Times New Roman" w:eastAsia="Times New Roman" w:hAnsi="Times New Roman"/>
                <w:sz w:val="16"/>
                <w:szCs w:val="16"/>
                <w:color w:val="auto"/>
                <w:vertAlign w:val="superscript"/>
              </w:rPr>
              <w:t>(3)</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w:t>
            </w:r>
          </w:p>
        </w:tc>
        <w:tc>
          <w:tcPr>
            <w:tcW w:w="1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 xml:space="preserve">Service points </w:t>
            </w:r>
            <w:r>
              <w:rPr>
                <w:rFonts w:ascii="Times New Roman" w:cs="Times New Roman" w:eastAsia="Times New Roman" w:hAnsi="Times New Roman"/>
                <w:sz w:val="16"/>
                <w:szCs w:val="16"/>
                <w:color w:val="auto"/>
                <w:vertAlign w:val="superscript"/>
              </w:rPr>
              <w:t>(4)</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1,116</w:t>
            </w: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811</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24" w:right="1440" w:bottom="1440" w:gutter="0" w:footer="0" w:header="0"/>
        </w:sectPr>
      </w:pPr>
    </w:p>
    <w:bookmarkStart w:id="7" w:name="page8"/>
    <w:bookmarkEnd w:id="7"/>
    <w:p>
      <w:pPr>
        <w:ind w:left="1120" w:right="859" w:hanging="288"/>
        <w:spacing w:after="0" w:line="255" w:lineRule="auto"/>
        <w:tabs>
          <w:tab w:leader="none" w:pos="11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Represents total volumes of new vehicles delivered, including external sales with recognition of revenue at time of delivery, external sales with repurchase commitments and internal sales of vehicles transferred for demonstration and commercial purposes as well as vehicles transferred to Polestar employees at time of registration. Transferred vehicles for demonstration and commercial purposes are owned by Polestar and included in Inventory.</w:t>
      </w:r>
    </w:p>
    <w:p>
      <w:pPr>
        <w:ind w:left="1120" w:hanging="288"/>
        <w:spacing w:after="0"/>
        <w:tabs>
          <w:tab w:leader="none" w:pos="11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markets in which Polestar operates.</w:t>
      </w:r>
    </w:p>
    <w:p>
      <w:pPr>
        <w:spacing w:after="0" w:line="6"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Polestar retail and handover locations, including Polestar Spaces, Polestar Destinations and Polestar Test Drive Centers.</w:t>
      </w:r>
    </w:p>
    <w:p>
      <w:pPr>
        <w:spacing w:after="0" w:line="6" w:lineRule="exact"/>
        <w:rPr>
          <w:rFonts w:ascii="Times New Roman" w:cs="Times New Roman" w:eastAsia="Times New Roman" w:hAnsi="Times New Roman"/>
          <w:sz w:val="12"/>
          <w:szCs w:val="12"/>
          <w:color w:val="auto"/>
        </w:rPr>
      </w:pPr>
    </w:p>
    <w:p>
      <w:pPr>
        <w:ind w:left="1120" w:right="1359" w:hanging="288"/>
        <w:spacing w:after="0" w:line="260" w:lineRule="auto"/>
        <w:tabs>
          <w:tab w:leader="none" w:pos="11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Volvo Cars service centres which provide customers access to service points worldwide in support of Polestar’s international expansion.</w:t>
      </w:r>
    </w:p>
    <w:p>
      <w:pPr>
        <w:spacing w:after="0" w:line="59"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Global volumes increased 22,814 to 51,491 cars in 2022, an increase of 80% year on year.</w:t>
      </w:r>
    </w:p>
    <w:p>
      <w:pPr>
        <w:spacing w:after="0" w:line="87" w:lineRule="exact"/>
        <w:rPr>
          <w:rFonts w:ascii="Times New Roman" w:cs="Times New Roman" w:eastAsia="Times New Roman" w:hAnsi="Times New Roman"/>
          <w:sz w:val="12"/>
          <w:szCs w:val="12"/>
          <w:color w:val="auto"/>
        </w:rPr>
      </w:pPr>
    </w:p>
    <w:p>
      <w:pPr>
        <w:ind w:left="1480" w:right="959" w:hanging="288"/>
        <w:spacing w:after="0" w:line="279" w:lineRule="auto"/>
        <w:tabs>
          <w:tab w:leader="none" w:pos="1480"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Polestar has added eight new markets since the start of 2022: United Arab Emirates, Kuwait, Hong Kong, Ireland, Israel, Italy, Spain and Portugal.</w:t>
      </w:r>
    </w:p>
    <w:p>
      <w:pPr>
        <w:spacing w:after="0" w:line="48"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Polestar has 158 retail locations and 1,116 service points across its markets, up 55 and 305 respectively, since the end of 2021.</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2023 outlook</w:t>
      </w:r>
    </w:p>
    <w:p>
      <w:pPr>
        <w:spacing w:after="0" w:line="91" w:lineRule="exact"/>
        <w:rPr>
          <w:sz w:val="20"/>
          <w:szCs w:val="20"/>
          <w:color w:val="auto"/>
        </w:rPr>
      </w:pPr>
    </w:p>
    <w:p>
      <w:pPr>
        <w:ind w:left="1480" w:right="1099" w:hanging="288"/>
        <w:spacing w:after="0" w:line="279" w:lineRule="auto"/>
        <w:tabs>
          <w:tab w:leader="none" w:pos="14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previously announced, Polestar anticipates global volumes to increase by nearly 60% to approximately 80,000 cars, predominantly driven by Polestar 2 sales.</w:t>
      </w:r>
    </w:p>
    <w:p>
      <w:pPr>
        <w:spacing w:after="0" w:line="48" w:lineRule="exact"/>
        <w:rPr>
          <w:rFonts w:ascii="Times New Roman" w:cs="Times New Roman" w:eastAsia="Times New Roman" w:hAnsi="Times New Roman"/>
          <w:sz w:val="12"/>
          <w:szCs w:val="12"/>
          <w:color w:val="auto"/>
        </w:rPr>
      </w:pPr>
    </w:p>
    <w:p>
      <w:pPr>
        <w:ind w:left="1480" w:right="1139" w:hanging="288"/>
        <w:spacing w:after="0" w:line="279" w:lineRule="auto"/>
        <w:tabs>
          <w:tab w:leader="none" w:pos="14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year as a whole, the Company expects gross margin to be broadly in line with 2022, with volume and product mix supporting margin progression later in the year.</w:t>
      </w:r>
    </w:p>
    <w:p>
      <w:pPr>
        <w:spacing w:after="0" w:line="48" w:lineRule="exact"/>
        <w:rPr>
          <w:rFonts w:ascii="Times New Roman" w:cs="Times New Roman" w:eastAsia="Times New Roman" w:hAnsi="Times New Roman"/>
          <w:sz w:val="12"/>
          <w:szCs w:val="12"/>
          <w:color w:val="auto"/>
        </w:rPr>
      </w:pPr>
    </w:p>
    <w:p>
      <w:pPr>
        <w:ind w:left="1480" w:right="1259" w:hanging="288"/>
        <w:spacing w:after="0" w:line="279" w:lineRule="auto"/>
        <w:tabs>
          <w:tab w:leader="none" w:pos="14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While liquidity has strengthened, including a cash balance of approximately USD 1 billion as of December 31, 2022, the Company continues to explore potential equity or debt offerings to raise additional capital to fund operations and business growth.</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Recent developments – design, innovation, sustainability</w:t>
      </w:r>
    </w:p>
    <w:p>
      <w:pPr>
        <w:spacing w:after="0" w:line="91" w:lineRule="exact"/>
        <w:rPr>
          <w:sz w:val="20"/>
          <w:szCs w:val="20"/>
          <w:color w:val="auto"/>
        </w:rPr>
      </w:pPr>
    </w:p>
    <w:p>
      <w:pPr>
        <w:ind w:left="1480" w:right="919" w:hanging="288"/>
        <w:spacing w:after="0" w:line="260" w:lineRule="auto"/>
        <w:tabs>
          <w:tab w:leader="none" w:pos="14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early January, Polestar announced that its vehicles will benefit from the latest enhancements and developments by Google. Developments include Google’s new HD map that will debut in Polestar 3, and the roll-out of remote actions for Polestar 2. The company also showcased Polestar 3 for the first time in the US at CES 2023 in Las Vegas, together with Smart Eye, supplier of premium driver monitoring technology which is included as standard.</w:t>
      </w:r>
    </w:p>
    <w:p>
      <w:pPr>
        <w:sectPr>
          <w:pgSz w:w="11900" w:h="16838" w:orient="portrait"/>
          <w:cols w:equalWidth="0" w:num="1">
            <w:col w:w="9019"/>
          </w:cols>
          <w:pgMar w:left="1440" w:top="228" w:right="1440" w:bottom="1440" w:gutter="0" w:footer="0" w:header="0"/>
        </w:sectPr>
      </w:pPr>
    </w:p>
    <w:bookmarkStart w:id="8" w:name="page9"/>
    <w:bookmarkEnd w:id="8"/>
    <w:p>
      <w:pPr>
        <w:ind w:left="1480" w:right="859" w:hanging="288"/>
        <w:spacing w:after="0" w:line="265" w:lineRule="auto"/>
        <w:tabs>
          <w:tab w:leader="none" w:pos="14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late January, Polestar announced a major update to Polestar 2. The 2024 model year will feature a new high-tech front end that reflects the design language premiered by Polestar 3, substantial performance increases with all-new electric motors, even more powerful batteries, longer range, sustainability improvements and, for the first time in a Polestar, rear-wheel drive.</w:t>
      </w:r>
    </w:p>
    <w:p>
      <w:pPr>
        <w:spacing w:after="0" w:line="55" w:lineRule="exact"/>
        <w:rPr>
          <w:rFonts w:ascii="Times New Roman" w:cs="Times New Roman" w:eastAsia="Times New Roman" w:hAnsi="Times New Roman"/>
          <w:sz w:val="12"/>
          <w:szCs w:val="12"/>
          <w:color w:val="auto"/>
        </w:rPr>
      </w:pPr>
    </w:p>
    <w:p>
      <w:pPr>
        <w:ind w:left="1480" w:right="879" w:hanging="288"/>
        <w:spacing w:after="0" w:line="260" w:lineRule="auto"/>
        <w:tabs>
          <w:tab w:leader="none" w:pos="14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February, Polestar signed up eight additional sustainability partners to the ambitious Polestar 0 project – to create a truly climate-neutral car by 2030 – bringing the total to 24, as well as initiated a collaboration with Rivian on the Pathway Report in response to the climate crisis. The Company also announced Polestar 3 with Luminar LiDAR is available to order, and an expanded partnership with Luminar to work on the integration of LiDAR in Polestar 5.</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Upcoming reporting and other events</w:t>
      </w:r>
    </w:p>
    <w:p>
      <w:pPr>
        <w:spacing w:after="0" w:line="91" w:lineRule="exact"/>
        <w:rPr>
          <w:sz w:val="20"/>
          <w:szCs w:val="20"/>
          <w:color w:val="auto"/>
        </w:rPr>
      </w:pPr>
    </w:p>
    <w:p>
      <w:pPr>
        <w:ind w:left="1480" w:right="1279" w:hanging="288"/>
        <w:spacing w:after="0" w:line="279" w:lineRule="auto"/>
        <w:tabs>
          <w:tab w:leader="none" w:pos="14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Polestar’s Annual Report on Form 20-F is expected to be filed with the U.S. Securities and Exchange Commission (the “SEC”) on March 30, 2023.</w:t>
      </w:r>
    </w:p>
    <w:p>
      <w:pPr>
        <w:spacing w:after="0" w:line="48"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Polestar’s 2022 Sustainability Report is expected to be published in April 2023.</w:t>
      </w:r>
    </w:p>
    <w:p>
      <w:pPr>
        <w:spacing w:after="0" w:line="87" w:lineRule="exact"/>
        <w:rPr>
          <w:rFonts w:ascii="Times New Roman" w:cs="Times New Roman" w:eastAsia="Times New Roman" w:hAnsi="Times New Roman"/>
          <w:sz w:val="12"/>
          <w:szCs w:val="12"/>
          <w:color w:val="auto"/>
        </w:rPr>
      </w:pPr>
    </w:p>
    <w:p>
      <w:pPr>
        <w:ind w:left="1480" w:right="1059" w:hanging="288"/>
        <w:spacing w:after="0" w:line="279" w:lineRule="auto"/>
        <w:tabs>
          <w:tab w:leader="none" w:pos="14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Polestar expects to post its unaudited financial results for the quarter ended March 31, 2023 on Thursday, May 11, 2023, before market opening in the USA.</w:t>
      </w:r>
    </w:p>
    <w:p>
      <w:pPr>
        <w:spacing w:after="0" w:line="111" w:lineRule="exact"/>
        <w:rPr>
          <w:sz w:val="20"/>
          <w:szCs w:val="20"/>
          <w:color w:val="auto"/>
        </w:rPr>
      </w:pPr>
    </w:p>
    <w:p>
      <w:pPr>
        <w:ind w:left="840" w:right="959"/>
        <w:spacing w:after="0" w:line="279" w:lineRule="auto"/>
        <w:rPr>
          <w:sz w:val="20"/>
          <w:szCs w:val="20"/>
          <w:color w:val="auto"/>
        </w:rPr>
      </w:pPr>
      <w:r>
        <w:rPr>
          <w:rFonts w:ascii="Times New Roman" w:cs="Times New Roman" w:eastAsia="Times New Roman" w:hAnsi="Times New Roman"/>
          <w:sz w:val="12"/>
          <w:szCs w:val="12"/>
          <w:color w:val="auto"/>
        </w:rPr>
        <w:t xml:space="preserve">Polestar management will hold a live audio webcast today, March 2, 2023 at 08:00 ET (14:00 CET) to discuss the Company’s results and outlook. The live webcast will be available at </w:t>
      </w:r>
      <w:r>
        <w:rPr>
          <w:rFonts w:ascii="Times New Roman" w:cs="Times New Roman" w:eastAsia="Times New Roman" w:hAnsi="Times New Roman"/>
          <w:sz w:val="12"/>
          <w:szCs w:val="12"/>
          <w:u w:val="single" w:color="auto"/>
          <w:color w:val="auto"/>
        </w:rPr>
        <w:t>https://edge.media-server.com/mmc/p/gp4rk9mk</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Following the completion of the call, a replay will be available shortly at </w:t>
      </w:r>
      <w:r>
        <w:rPr>
          <w:rFonts w:ascii="Times New Roman" w:cs="Times New Roman" w:eastAsia="Times New Roman" w:hAnsi="Times New Roman"/>
          <w:sz w:val="12"/>
          <w:szCs w:val="12"/>
          <w:u w:val="single" w:color="auto"/>
          <w:color w:val="auto"/>
        </w:rPr>
        <w:t>https://investors.polestar.com/</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Ends.</w:t>
      </w:r>
    </w:p>
    <w:p>
      <w:pPr>
        <w:spacing w:after="0" w:line="14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Contacts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Bojana Flint</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Investor Relations</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u w:val="single" w:color="auto"/>
          <w:color w:val="auto"/>
        </w:rPr>
        <w:t>bojana.flint@polestar.com</w:t>
      </w:r>
    </w:p>
    <w:p>
      <w:pPr>
        <w:sectPr>
          <w:pgSz w:w="11900" w:h="16838" w:orient="portrait"/>
          <w:cols w:equalWidth="0" w:num="1">
            <w:col w:w="9019"/>
          </w:cols>
          <w:pgMar w:left="1440" w:top="228" w:right="1440" w:bottom="1440" w:gutter="0" w:footer="0" w:header="0"/>
        </w:sectPr>
      </w:pPr>
    </w:p>
    <w:bookmarkStart w:id="9" w:name="page10"/>
    <w:bookmarkEnd w:id="9"/>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Tanya Ridd</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Global Head of Communications &amp; PR</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u w:val="single" w:color="auto"/>
          <w:color w:val="auto"/>
        </w:rPr>
        <w:t>tanya.ridd@polestar.com</w:t>
      </w:r>
    </w:p>
    <w:p>
      <w:pPr>
        <w:spacing w:after="0" w:line="2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Statement Regarding Preliminary Unaudited Financial and Operational Results</w:t>
      </w:r>
    </w:p>
    <w:p>
      <w:pPr>
        <w:spacing w:after="0" w:line="80" w:lineRule="exact"/>
        <w:rPr>
          <w:sz w:val="20"/>
          <w:szCs w:val="20"/>
          <w:color w:val="auto"/>
        </w:rPr>
      </w:pPr>
    </w:p>
    <w:p>
      <w:pPr>
        <w:ind w:left="840" w:right="939"/>
        <w:spacing w:after="0" w:line="258" w:lineRule="auto"/>
        <w:rPr>
          <w:sz w:val="20"/>
          <w:szCs w:val="20"/>
          <w:color w:val="auto"/>
        </w:rPr>
      </w:pPr>
      <w:r>
        <w:rPr>
          <w:rFonts w:ascii="Times New Roman" w:cs="Times New Roman" w:eastAsia="Times New Roman" w:hAnsi="Times New Roman"/>
          <w:sz w:val="12"/>
          <w:szCs w:val="12"/>
          <w:i w:val="1"/>
          <w:iCs w:val="1"/>
          <w:color w:val="auto"/>
        </w:rPr>
        <w:t>The unaudited financial and operational information published in this press release is preliminary and subject to potential adjustments. Potential adjustments to operational and consolidated financial information may be identified from work performed during Polestar’s year-end audit. This could result in differences from the unaudited operational and financial information published herein. For the avoidance of doubt, the preliminary unaudited operational and financial information published in this press release should not be considered a substitute for the financial information to be filed with the SEC in Polestar’s Annual Report on Form 20-F for the year ended December 31, 2022.</w:t>
      </w:r>
    </w:p>
    <w:p>
      <w:pPr>
        <w:spacing w:after="0" w:line="19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About Polestar</w:t>
      </w:r>
    </w:p>
    <w:p>
      <w:pPr>
        <w:spacing w:after="0" w:line="80" w:lineRule="exact"/>
        <w:rPr>
          <w:sz w:val="20"/>
          <w:szCs w:val="20"/>
          <w:color w:val="auto"/>
        </w:rPr>
      </w:pPr>
    </w:p>
    <w:p>
      <w:pPr>
        <w:ind w:left="840" w:right="859"/>
        <w:spacing w:after="0" w:line="266" w:lineRule="auto"/>
        <w:rPr>
          <w:sz w:val="20"/>
          <w:szCs w:val="20"/>
          <w:color w:val="auto"/>
        </w:rPr>
      </w:pPr>
      <w:r>
        <w:rPr>
          <w:rFonts w:ascii="Times New Roman" w:cs="Times New Roman" w:eastAsia="Times New Roman" w:hAnsi="Times New Roman"/>
          <w:sz w:val="12"/>
          <w:szCs w:val="12"/>
          <w:i w:val="1"/>
          <w:iCs w:val="1"/>
          <w:color w:val="auto"/>
        </w:rPr>
        <w:t>Polestar (Nasdaq: PSNY) is the Swedish electric performance car brand determined to improve society by using design and technology to accelerate the shift to sustainable mobility. Headquartered in Gothenburg, Sweden, its cars are available online in 27 markets globally across North America, Europe and Asia Pacific. The company plans to create a truly climate-neutral production car, without offsetting, by 2030.</w:t>
      </w:r>
    </w:p>
    <w:p>
      <w:pPr>
        <w:spacing w:after="0" w:line="117" w:lineRule="exact"/>
        <w:rPr>
          <w:sz w:val="20"/>
          <w:szCs w:val="20"/>
          <w:color w:val="auto"/>
        </w:rPr>
      </w:pPr>
    </w:p>
    <w:p>
      <w:pPr>
        <w:ind w:left="840" w:right="959"/>
        <w:spacing w:after="0" w:line="266" w:lineRule="auto"/>
        <w:rPr>
          <w:sz w:val="20"/>
          <w:szCs w:val="20"/>
          <w:color w:val="auto"/>
        </w:rPr>
      </w:pPr>
      <w:r>
        <w:rPr>
          <w:rFonts w:ascii="Times New Roman" w:cs="Times New Roman" w:eastAsia="Times New Roman" w:hAnsi="Times New Roman"/>
          <w:sz w:val="12"/>
          <w:szCs w:val="12"/>
          <w:i w:val="1"/>
          <w:iCs w:val="1"/>
          <w:color w:val="auto"/>
        </w:rPr>
        <w:t>Polestar 2 launched in 2019 as the electric performance fastback with avant-garde Scandinavian design and up to 350 kW. Polestar 3 launched in late 2022 as the SUV for the electric age – a large high-performance SUV that delivers sports car dynamics with a low stance and spacious interior. Polestar plans to release three more electric performance vehicles through to 2026.</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Forward-Looking Statements</w:t>
      </w:r>
    </w:p>
    <w:p>
      <w:pPr>
        <w:spacing w:after="0" w:line="80" w:lineRule="exact"/>
        <w:rPr>
          <w:sz w:val="20"/>
          <w:szCs w:val="20"/>
          <w:color w:val="auto"/>
        </w:rPr>
      </w:pPr>
    </w:p>
    <w:p>
      <w:pPr>
        <w:ind w:left="840" w:right="859"/>
        <w:spacing w:after="0" w:line="255" w:lineRule="auto"/>
        <w:rPr>
          <w:sz w:val="20"/>
          <w:szCs w:val="20"/>
          <w:color w:val="auto"/>
        </w:rPr>
      </w:pPr>
      <w:r>
        <w:rPr>
          <w:rFonts w:ascii="Times New Roman" w:cs="Times New Roman" w:eastAsia="Times New Roman" w:hAnsi="Times New Roman"/>
          <w:sz w:val="12"/>
          <w:szCs w:val="12"/>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Guidance on revenue, volumes, gross margin and other financial or operating metrics, such as the ones included in the 2023 outlook described in this press release, are forward-looking statements. In some cases, you can identify forward-looking statements by terminology such as “may”, “should”, “expect”, “intend”, “will”, “estimate”, “anticipate”, “believe”, “predict”, “potential”, “forecast”, “outlook,” “guidance”,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23" w:lineRule="exact"/>
        <w:rPr>
          <w:sz w:val="20"/>
          <w:szCs w:val="20"/>
          <w:color w:val="auto"/>
        </w:rPr>
      </w:pPr>
    </w:p>
    <w:p>
      <w:pPr>
        <w:ind w:left="840" w:right="919"/>
        <w:spacing w:after="0" w:line="255" w:lineRule="auto"/>
        <w:rPr>
          <w:sz w:val="20"/>
          <w:szCs w:val="20"/>
          <w:color w:val="auto"/>
        </w:rPr>
      </w:pPr>
      <w:r>
        <w:rPr>
          <w:rFonts w:ascii="Times New Roman" w:cs="Times New Roman" w:eastAsia="Times New Roman" w:hAnsi="Times New Roman"/>
          <w:sz w:val="12"/>
          <w:szCs w:val="12"/>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Volvo Cars and Geely, and to develop new agreements or partnerships; (2) Polestar’s ability to maintain relationships with its existing suppliers, and source new suppliers for its critical components, and to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to manufacture vehicles at a high volume,</w:t>
      </w:r>
    </w:p>
    <w:p>
      <w:pPr>
        <w:sectPr>
          <w:pgSz w:w="11900" w:h="16838" w:orient="portrait"/>
          <w:cols w:equalWidth="0" w:num="1">
            <w:col w:w="9019"/>
          </w:cols>
          <w:pgMar w:left="1440" w:top="228" w:right="1440" w:bottom="1440" w:gutter="0" w:footer="0" w:header="0"/>
        </w:sectPr>
      </w:pPr>
    </w:p>
    <w:bookmarkStart w:id="10" w:name="page11"/>
    <w:bookmarkEnd w:id="10"/>
    <w:p>
      <w:pPr>
        <w:ind w:left="840" w:right="839"/>
        <w:spacing w:after="0" w:line="252" w:lineRule="auto"/>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some of which have limited experience in producing electric vehicles, and on the allocation of sufficient production capacity to Polestar by its partners in order for Polestar to be able to increase its vehicle production capacities; (5) competition, the ability of Polestar to grow and manage growth profitably, maintain relationships with customers and suppliers and retain its management and key employees; (6) Polestar’s estimates of expenses and profitability;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(12) the ability to meet stock exchange listing standards; (13) risks associated with changes in applicable laws or regulations and with Polestar’s international operations; (14) Polestar’s ability to establish its brand and capture additional market share, and the risks associated with negative press or reputational harm, including from lithium-ion battery cells catching fire or venting smoke; (15) delays in the design, manufacture, launch and financing of Polestar’s vehicles and Polestar’s reliance on a limited number of vehicle models to generate revenues; (16) Polestar’s ability to continuously and rapidly innovate, develop and market new products; (17) risks related to future market adoption of Polestar’s offerings; (18) risks related to Polestar’s distribution model; (19) the impact of the global COVID-19 pandemic, inflation, interest rate changes, the ongoing conflict between Ukraine and Russia, supply chain disruptions and logistical constraints on Polestar, Polestar’s projected results of operations, financial performance or other financial and operational metrics, or on any of the foregoing risks; and (20)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28" w:lineRule="exact"/>
        <w:rPr>
          <w:sz w:val="20"/>
          <w:szCs w:val="20"/>
          <w:color w:val="auto"/>
        </w:rPr>
      </w:pPr>
    </w:p>
    <w:p>
      <w:pPr>
        <w:ind w:left="840" w:right="859"/>
        <w:spacing w:after="0" w:line="261" w:lineRule="auto"/>
        <w:rPr>
          <w:sz w:val="20"/>
          <w:szCs w:val="20"/>
          <w:color w:val="auto"/>
        </w:rPr>
      </w:pPr>
      <w:r>
        <w:rPr>
          <w:rFonts w:ascii="Times New Roman" w:cs="Times New Roman" w:eastAsia="Times New Roman" w:hAnsi="Times New Roman"/>
          <w:sz w:val="12"/>
          <w:szCs w:val="12"/>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w:t>
      </w:r>
    </w:p>
    <w:p>
      <w:pPr>
        <w:sectPr>
          <w:pgSz w:w="11900" w:h="16838" w:orient="portrait"/>
          <w:cols w:equalWidth="0" w:num="1">
            <w:col w:w="9019"/>
          </w:cols>
          <w:pgMar w:left="1440" w:top="226" w:right="1440" w:bottom="1440" w:gutter="0" w:footer="0" w:header="0"/>
        </w:sectPr>
      </w:pPr>
    </w:p>
    <w:bookmarkStart w:id="11" w:name="page12"/>
    <w:bookmarkEnd w:id="11"/>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Appendix A</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Polestar Automotive Holding UK PLC</w:t>
      </w:r>
    </w:p>
    <w:p>
      <w:pPr>
        <w:spacing w:after="0" w:line="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Preliminary Unaudited Condensed Consolidated Statement of Loss</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(in thousands of U.S. dollars unless otherwise stated)</w:t>
      </w:r>
    </w:p>
    <w:p>
      <w:pPr>
        <w:spacing w:after="0" w:line="13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4680" w:type="dxa"/>
            <w:vAlign w:val="bottom"/>
          </w:tcPr>
          <w:p>
            <w:pPr>
              <w:spacing w:after="0"/>
              <w:rPr>
                <w:sz w:val="10"/>
                <w:szCs w:val="10"/>
                <w:color w:val="auto"/>
              </w:rPr>
            </w:pP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6"/>
              </w:rPr>
              <w:t>For the three months ended</w:t>
            </w:r>
          </w:p>
        </w:tc>
        <w:tc>
          <w:tcPr>
            <w:tcW w:w="1340" w:type="dxa"/>
            <w:vAlign w:val="bottom"/>
            <w:gridSpan w:val="4"/>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For the year ended</w:t>
            </w:r>
          </w:p>
        </w:tc>
      </w:tr>
      <w:tr>
        <w:trPr>
          <w:trHeight w:val="115"/>
        </w:trPr>
        <w:tc>
          <w:tcPr>
            <w:tcW w:w="4680" w:type="dxa"/>
            <w:vAlign w:val="bottom"/>
          </w:tcPr>
          <w:p>
            <w:pPr>
              <w:spacing w:after="0"/>
              <w:rPr>
                <w:sz w:val="10"/>
                <w:szCs w:val="10"/>
                <w:color w:val="auto"/>
              </w:rPr>
            </w:pPr>
          </w:p>
        </w:tc>
        <w:tc>
          <w:tcPr>
            <w:tcW w:w="1320" w:type="dxa"/>
            <w:vAlign w:val="bottom"/>
            <w:gridSpan w:val="4"/>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340" w:type="dxa"/>
            <w:vAlign w:val="bottom"/>
            <w:gridSpan w:val="4"/>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88"/>
        </w:trPr>
        <w:tc>
          <w:tcPr>
            <w:tcW w:w="4680" w:type="dxa"/>
            <w:vAlign w:val="bottom"/>
            <w:tcBorders>
              <w:bottom w:val="single" w:sz="8" w:color="CCEEFF"/>
            </w:tcBorders>
          </w:tcPr>
          <w:p>
            <w:pPr>
              <w:spacing w:after="0"/>
              <w:rPr>
                <w:sz w:val="7"/>
                <w:szCs w:val="7"/>
                <w:color w:val="auto"/>
              </w:rPr>
            </w:pPr>
          </w:p>
        </w:tc>
        <w:tc>
          <w:tcPr>
            <w:tcW w:w="520" w:type="dxa"/>
            <w:vAlign w:val="bottom"/>
            <w:tcBorders>
              <w:top w:val="single" w:sz="8" w:color="auto"/>
              <w:bottom w:val="single" w:sz="8" w:color="auto"/>
            </w:tcBorders>
          </w:tcPr>
          <w:p>
            <w:pPr>
              <w:jc w:val="right"/>
              <w:ind w:right="102"/>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top w:val="single" w:sz="8" w:color="auto"/>
              <w:bottom w:val="single" w:sz="8" w:color="CCEEFF"/>
            </w:tcBorders>
          </w:tcPr>
          <w:p>
            <w:pPr>
              <w:spacing w:after="0"/>
              <w:rPr>
                <w:sz w:val="7"/>
                <w:szCs w:val="7"/>
                <w:color w:val="auto"/>
              </w:rPr>
            </w:pPr>
          </w:p>
        </w:tc>
        <w:tc>
          <w:tcPr>
            <w:tcW w:w="520" w:type="dxa"/>
            <w:vAlign w:val="bottom"/>
            <w:tcBorders>
              <w:top w:val="single" w:sz="8" w:color="auto"/>
              <w:bottom w:val="single" w:sz="8" w:color="auto"/>
            </w:tcBorders>
          </w:tcPr>
          <w:p>
            <w:pPr>
              <w:jc w:val="right"/>
              <w:ind w:right="101"/>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140" w:type="dxa"/>
            <w:vAlign w:val="bottom"/>
            <w:tcBorders>
              <w:bottom w:val="single" w:sz="8" w:color="CCEEFF"/>
            </w:tcBorders>
          </w:tcPr>
          <w:p>
            <w:pPr>
              <w:spacing w:after="0"/>
              <w:rPr>
                <w:sz w:val="7"/>
                <w:szCs w:val="7"/>
                <w:color w:val="auto"/>
              </w:rPr>
            </w:pPr>
          </w:p>
        </w:tc>
        <w:tc>
          <w:tcPr>
            <w:tcW w:w="560" w:type="dxa"/>
            <w:vAlign w:val="bottom"/>
            <w:tcBorders>
              <w:top w:val="single" w:sz="8" w:color="auto"/>
              <w:bottom w:val="single" w:sz="8" w:color="auto"/>
            </w:tcBorders>
          </w:tcPr>
          <w:p>
            <w:pPr>
              <w:jc w:val="right"/>
              <w:ind w:right="122"/>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top w:val="single" w:sz="8" w:color="auto"/>
              <w:bottom w:val="single" w:sz="8" w:color="CCEEFF"/>
            </w:tcBorders>
          </w:tcPr>
          <w:p>
            <w:pPr>
              <w:spacing w:after="0"/>
              <w:rPr>
                <w:sz w:val="7"/>
                <w:szCs w:val="7"/>
                <w:color w:val="auto"/>
              </w:rPr>
            </w:pPr>
          </w:p>
        </w:tc>
        <w:tc>
          <w:tcPr>
            <w:tcW w:w="560" w:type="dxa"/>
            <w:vAlign w:val="bottom"/>
            <w:tcBorders>
              <w:top w:val="single" w:sz="8" w:color="auto"/>
              <w:bottom w:val="single" w:sz="8" w:color="auto"/>
            </w:tcBorders>
          </w:tcPr>
          <w:p>
            <w:pPr>
              <w:jc w:val="right"/>
              <w:ind w:right="121"/>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Borders>
              <w:bottom w:val="single" w:sz="8" w:color="CCEEFF"/>
            </w:tcBorders>
          </w:tcPr>
          <w:p>
            <w:pPr>
              <w:spacing w:after="0"/>
              <w:rPr>
                <w:sz w:val="7"/>
                <w:szCs w:val="7"/>
                <w:color w:val="auto"/>
              </w:rPr>
            </w:pPr>
          </w:p>
        </w:tc>
      </w:tr>
      <w:tr>
        <w:trPr>
          <w:trHeight w:val="133"/>
        </w:trPr>
        <w:tc>
          <w:tcPr>
            <w:tcW w:w="4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5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985,151</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589,507</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2,461,897</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1,337,181</w:t>
            </w:r>
          </w:p>
        </w:tc>
        <w:tc>
          <w:tcPr>
            <w:tcW w:w="80" w:type="dxa"/>
            <w:vAlign w:val="bottom"/>
            <w:shd w:val="clear" w:color="auto" w:fill="CCEEFF"/>
          </w:tcPr>
          <w:p>
            <w:pPr>
              <w:spacing w:after="0"/>
              <w:rPr>
                <w:sz w:val="11"/>
                <w:szCs w:val="11"/>
                <w:color w:val="auto"/>
              </w:rPr>
            </w:pPr>
          </w:p>
        </w:tc>
      </w:tr>
      <w:tr>
        <w:trPr>
          <w:trHeight w:val="144"/>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Cost of sales</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(923,183)</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(589,707)</w:t>
            </w:r>
          </w:p>
        </w:tc>
        <w:tc>
          <w:tcPr>
            <w:tcW w:w="70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(2,342,454)</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(1,336,321)</w:t>
            </w:r>
          </w:p>
        </w:tc>
      </w:tr>
      <w:tr>
        <w:trPr>
          <w:trHeight w:val="20"/>
        </w:trPr>
        <w:tc>
          <w:tcPr>
            <w:tcW w:w="4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Gross profit (loss)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61,968</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(200)</w:t>
            </w:r>
          </w:p>
        </w:tc>
        <w:tc>
          <w:tcPr>
            <w:tcW w:w="7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119,443</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860</w:t>
            </w:r>
          </w:p>
        </w:tc>
      </w:tr>
      <w:tr>
        <w:trPr>
          <w:trHeight w:val="142"/>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(239,174)</w:t>
            </w:r>
          </w:p>
        </w:tc>
        <w:tc>
          <w:tcPr>
            <w:tcW w:w="140" w:type="dxa"/>
            <w:vAlign w:val="bottom"/>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(236,580)</w:t>
            </w:r>
          </w:p>
        </w:tc>
        <w:tc>
          <w:tcPr>
            <w:tcW w:w="140" w:type="dxa"/>
            <w:vAlign w:val="bottom"/>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(864,598)</w:t>
            </w:r>
          </w:p>
        </w:tc>
        <w:tc>
          <w:tcPr>
            <w:tcW w:w="140" w:type="dxa"/>
            <w:vAlign w:val="bottom"/>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(714,724)</w:t>
            </w:r>
          </w:p>
        </w:tc>
        <w:tc>
          <w:tcPr>
            <w:tcW w:w="80" w:type="dxa"/>
            <w:vAlign w:val="bottom"/>
          </w:tcPr>
          <w:p>
            <w:pPr>
              <w:spacing w:after="0"/>
              <w:rPr>
                <w:sz w:val="12"/>
                <w:szCs w:val="12"/>
                <w:color w:val="auto"/>
              </w:rPr>
            </w:pPr>
          </w:p>
        </w:tc>
      </w:tr>
      <w:tr>
        <w:trPr>
          <w:trHeight w:val="144"/>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 expense</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(47,634)</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(75,522)</w:t>
            </w:r>
          </w:p>
        </w:tc>
        <w:tc>
          <w:tcPr>
            <w:tcW w:w="7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(170,987)</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(232,922)</w:t>
            </w:r>
          </w:p>
        </w:tc>
      </w:tr>
      <w:tr>
        <w:trPr>
          <w:trHeight w:val="144"/>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Other operating income (expense), net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20,143</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(24,993)</w:t>
            </w:r>
          </w:p>
        </w:tc>
        <w:tc>
          <w:tcPr>
            <w:tcW w:w="70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color w:val="auto"/>
              </w:rPr>
              <w:t>2,182</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(48,053)</w:t>
            </w:r>
          </w:p>
        </w:tc>
      </w:tr>
      <w:tr>
        <w:trPr>
          <w:trHeight w:val="144"/>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Listing expense</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(372,318)</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4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loss</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(204,697)</w:t>
            </w:r>
          </w:p>
        </w:tc>
        <w:tc>
          <w:tcPr>
            <w:tcW w:w="14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(337,295)</w:t>
            </w:r>
          </w:p>
        </w:tc>
        <w:tc>
          <w:tcPr>
            <w:tcW w:w="1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(1,286,278</w:t>
            </w:r>
          </w:p>
        </w:tc>
        <w:tc>
          <w:tcPr>
            <w:tcW w:w="140" w:type="dxa"/>
            <w:vAlign w:val="bottom"/>
          </w:tcPr>
          <w:p>
            <w:pPr>
              <w:jc w:val="right"/>
              <w:ind w:right="5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(994,839)</w:t>
            </w:r>
          </w:p>
        </w:tc>
        <w:tc>
          <w:tcPr>
            <w:tcW w:w="80" w:type="dxa"/>
            <w:vAlign w:val="bottom"/>
          </w:tcPr>
          <w:p>
            <w:pPr>
              <w:spacing w:after="0"/>
              <w:rPr>
                <w:sz w:val="12"/>
                <w:szCs w:val="12"/>
                <w:color w:val="auto"/>
              </w:rPr>
            </w:pPr>
          </w:p>
        </w:tc>
      </w:tr>
      <w:tr>
        <w:trPr>
          <w:trHeight w:val="142"/>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income</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7,066</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8,169</w:t>
            </w:r>
          </w:p>
        </w:tc>
        <w:tc>
          <w:tcPr>
            <w:tcW w:w="7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8,551</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32,970</w:t>
            </w:r>
          </w:p>
        </w:tc>
      </w:tr>
      <w:tr>
        <w:trPr>
          <w:trHeight w:val="144"/>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Finance expense</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3,531</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(16,738)</w:t>
            </w:r>
          </w:p>
        </w:tc>
        <w:tc>
          <w:tcPr>
            <w:tcW w:w="70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(108,435)</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(45,249)</w:t>
            </w:r>
          </w:p>
        </w:tc>
      </w:tr>
      <w:tr>
        <w:trPr>
          <w:trHeight w:val="144"/>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change – Earn-out rights</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(63,600)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902,068</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Fair value change - Class C Shares</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(500)</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color w:val="auto"/>
              </w:rPr>
              <w:t>35,090</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4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Loss before income taxes</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(258,200)</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(345,864)</w:t>
            </w:r>
          </w:p>
        </w:tc>
        <w:tc>
          <w:tcPr>
            <w:tcW w:w="7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(449,005)</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(1,007,118)</w:t>
            </w:r>
          </w:p>
        </w:tc>
      </w:tr>
      <w:tr>
        <w:trPr>
          <w:trHeight w:val="142"/>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(4,240)</w:t>
            </w:r>
          </w:p>
        </w:tc>
        <w:tc>
          <w:tcPr>
            <w:tcW w:w="14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9,078</w:t>
            </w:r>
          </w:p>
        </w:tc>
        <w:tc>
          <w:tcPr>
            <w:tcW w:w="1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(16,783)</w:t>
            </w:r>
          </w:p>
        </w:tc>
        <w:tc>
          <w:tcPr>
            <w:tcW w:w="1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(336)</w:t>
            </w:r>
          </w:p>
        </w:tc>
        <w:tc>
          <w:tcPr>
            <w:tcW w:w="80" w:type="dxa"/>
            <w:vAlign w:val="bottom"/>
          </w:tcPr>
          <w:p>
            <w:pPr>
              <w:spacing w:after="0"/>
              <w:rPr>
                <w:sz w:val="12"/>
                <w:szCs w:val="12"/>
                <w:color w:val="auto"/>
              </w:rPr>
            </w:pPr>
          </w:p>
        </w:tc>
      </w:tr>
      <w:tr>
        <w:trPr>
          <w:trHeight w:val="142"/>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(262,440)</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(336,786)</w:t>
            </w:r>
          </w:p>
        </w:tc>
        <w:tc>
          <w:tcPr>
            <w:tcW w:w="7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(465,789)</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(1,007,454)</w:t>
            </w:r>
          </w:p>
        </w:tc>
      </w:tr>
      <w:tr>
        <w:trPr>
          <w:trHeight w:val="20"/>
        </w:trPr>
        <w:tc>
          <w:tcPr>
            <w:tcW w:w="4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9019"/>
          </w:cols>
          <w:pgMar w:left="1440" w:top="224" w:right="1440" w:bottom="1440" w:gutter="0" w:footer="0" w:header="0"/>
        </w:sectPr>
      </w:pPr>
    </w:p>
    <w:bookmarkStart w:id="12" w:name="page13"/>
    <w:bookmarkEnd w:id="12"/>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Polestar Automotive Holding UK PLC</w:t>
      </w:r>
    </w:p>
    <w:p>
      <w:pPr>
        <w:spacing w:after="0" w:line="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Preliminary Unaudited Condensed Consolidated Statement of Financial Position</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(in thousands of U.S. dollars unless otherwise stated)</w:t>
      </w:r>
    </w:p>
    <w:p>
      <w:pPr>
        <w:spacing w:after="0" w:line="13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700" w:type="dxa"/>
            <w:vAlign w:val="bottom"/>
            <w:gridSpan w:val="2"/>
          </w:tcPr>
          <w:p>
            <w:pPr>
              <w:jc w:val="right"/>
              <w:ind w:right="98"/>
              <w:spacing w:after="0"/>
              <w:rPr>
                <w:sz w:val="20"/>
                <w:szCs w:val="20"/>
                <w:color w:val="auto"/>
              </w:rPr>
            </w:pPr>
            <w:r>
              <w:rPr>
                <w:rFonts w:ascii="Times New Roman" w:cs="Times New Roman" w:eastAsia="Times New Roman" w:hAnsi="Times New Roman"/>
                <w:sz w:val="10"/>
                <w:szCs w:val="10"/>
                <w:b w:val="1"/>
                <w:bCs w:val="1"/>
                <w:color w:val="auto"/>
                <w:w w:val="92"/>
              </w:rPr>
              <w:t>December 31,</w:t>
            </w:r>
          </w:p>
        </w:tc>
        <w:tc>
          <w:tcPr>
            <w:tcW w:w="640" w:type="dxa"/>
            <w:vAlign w:val="bottom"/>
            <w:gridSpan w:val="2"/>
          </w:tcPr>
          <w:p>
            <w:pPr>
              <w:jc w:val="right"/>
              <w:ind w:right="38"/>
              <w:spacing w:after="0"/>
              <w:rPr>
                <w:sz w:val="20"/>
                <w:szCs w:val="20"/>
                <w:color w:val="auto"/>
              </w:rPr>
            </w:pPr>
            <w:r>
              <w:rPr>
                <w:rFonts w:ascii="Times New Roman" w:cs="Times New Roman" w:eastAsia="Times New Roman" w:hAnsi="Times New Roman"/>
                <w:sz w:val="10"/>
                <w:szCs w:val="10"/>
                <w:b w:val="1"/>
                <w:bCs w:val="1"/>
                <w:color w:val="auto"/>
                <w:w w:val="92"/>
              </w:rPr>
              <w:t>December 31,</w:t>
            </w:r>
          </w:p>
        </w:tc>
      </w:tr>
      <w:tr>
        <w:trPr>
          <w:trHeight w:val="115"/>
        </w:trPr>
        <w:tc>
          <w:tcPr>
            <w:tcW w:w="600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Borders>
              <w:bottom w:val="single" w:sz="8" w:color="CCEEFF"/>
            </w:tcBorders>
          </w:tcPr>
          <w:p>
            <w:pPr>
              <w:spacing w:after="0"/>
              <w:rPr>
                <w:sz w:val="10"/>
                <w:szCs w:val="10"/>
                <w:color w:val="auto"/>
              </w:rPr>
            </w:pPr>
          </w:p>
        </w:tc>
      </w:tr>
      <w:tr>
        <w:trPr>
          <w:trHeight w:val="124"/>
        </w:trPr>
        <w:tc>
          <w:tcPr>
            <w:tcW w:w="60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Assets</w:t>
            </w:r>
          </w:p>
        </w:tc>
        <w:tc>
          <w:tcPr>
            <w:tcW w:w="56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Non-current assets</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Intangible assets and goodwill</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1,391,828</w:t>
            </w:r>
          </w:p>
        </w:tc>
        <w:tc>
          <w:tcPr>
            <w:tcW w:w="140" w:type="dxa"/>
            <w:vAlign w:val="bottom"/>
            <w:tcBorders>
              <w:lef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1,368,356</w:t>
            </w:r>
          </w:p>
        </w:tc>
      </w:tr>
      <w:tr>
        <w:trPr>
          <w:trHeight w:val="144"/>
        </w:trPr>
        <w:tc>
          <w:tcPr>
            <w:tcW w:w="60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Property, plant and equipment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262,593</w:t>
            </w:r>
          </w:p>
        </w:tc>
        <w:tc>
          <w:tcPr>
            <w:tcW w:w="140" w:type="dxa"/>
            <w:vAlign w:val="bottom"/>
          </w:tcPr>
          <w:p>
            <w:pPr>
              <w:spacing w:after="0"/>
              <w:rPr>
                <w:sz w:val="12"/>
                <w:szCs w:val="12"/>
                <w:color w:val="auto"/>
              </w:rPr>
            </w:pPr>
          </w:p>
        </w:tc>
        <w:tc>
          <w:tcPr>
            <w:tcW w:w="64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208,193</w:t>
            </w:r>
          </w:p>
        </w:tc>
      </w:tr>
      <w:tr>
        <w:trPr>
          <w:trHeight w:val="144"/>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Vehicles held under operating lease</w:t>
            </w:r>
          </w:p>
        </w:tc>
        <w:tc>
          <w:tcPr>
            <w:tcW w:w="7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92,198</w:t>
            </w:r>
          </w:p>
        </w:tc>
        <w:tc>
          <w:tcPr>
            <w:tcW w:w="6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120,626</w:t>
            </w:r>
          </w:p>
        </w:tc>
      </w:tr>
      <w:tr>
        <w:trPr>
          <w:trHeight w:val="144"/>
        </w:trPr>
        <w:tc>
          <w:tcPr>
            <w:tcW w:w="60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non-current assets</w:t>
            </w:r>
          </w:p>
        </w:tc>
        <w:tc>
          <w:tcPr>
            <w:tcW w:w="70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color w:val="auto"/>
              </w:rPr>
              <w:t>15,395</w:t>
            </w:r>
          </w:p>
        </w:tc>
        <w:tc>
          <w:tcPr>
            <w:tcW w:w="64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5,532</w:t>
            </w:r>
          </w:p>
        </w:tc>
      </w:tr>
      <w:tr>
        <w:trPr>
          <w:trHeight w:val="20"/>
        </w:trPr>
        <w:tc>
          <w:tcPr>
            <w:tcW w:w="60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non-current assets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1,762,014</w:t>
            </w:r>
          </w:p>
        </w:tc>
        <w:tc>
          <w:tcPr>
            <w:tcW w:w="140" w:type="dxa"/>
            <w:vAlign w:val="bottom"/>
            <w:tcBorders>
              <w:lef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1,702,707</w:t>
            </w:r>
          </w:p>
        </w:tc>
      </w:tr>
      <w:tr>
        <w:trPr>
          <w:trHeight w:val="142"/>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973,877</w:t>
            </w:r>
          </w:p>
        </w:tc>
        <w:tc>
          <w:tcPr>
            <w:tcW w:w="140" w:type="dxa"/>
            <w:vAlign w:val="bottom"/>
            <w:tcBorders>
              <w:lef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756,677</w:t>
            </w:r>
          </w:p>
        </w:tc>
      </w:tr>
      <w:tr>
        <w:trPr>
          <w:trHeight w:val="144"/>
        </w:trPr>
        <w:tc>
          <w:tcPr>
            <w:tcW w:w="60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Marketable securities</w:t>
            </w:r>
          </w:p>
        </w:tc>
        <w:tc>
          <w:tcPr>
            <w:tcW w:w="70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1,258</w:t>
            </w:r>
          </w:p>
        </w:tc>
      </w:tr>
      <w:tr>
        <w:trPr>
          <w:trHeight w:val="144"/>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Trade receivables external and trade receivables and accrued income – related parties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370,164</w:t>
            </w:r>
          </w:p>
        </w:tc>
        <w:tc>
          <w:tcPr>
            <w:tcW w:w="140" w:type="dxa"/>
            <w:vAlign w:val="bottom"/>
            <w:tcBorders>
              <w:lef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177,544</w:t>
            </w:r>
          </w:p>
        </w:tc>
      </w:tr>
      <w:tr>
        <w:trPr>
          <w:trHeight w:val="144"/>
        </w:trPr>
        <w:tc>
          <w:tcPr>
            <w:tcW w:w="60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Inventories</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657,882</w:t>
            </w:r>
          </w:p>
        </w:tc>
        <w:tc>
          <w:tcPr>
            <w:tcW w:w="140" w:type="dxa"/>
            <w:vAlign w:val="bottom"/>
          </w:tcPr>
          <w:p>
            <w:pPr>
              <w:spacing w:after="0"/>
              <w:rPr>
                <w:sz w:val="12"/>
                <w:szCs w:val="12"/>
                <w:color w:val="auto"/>
              </w:rPr>
            </w:pPr>
          </w:p>
        </w:tc>
        <w:tc>
          <w:tcPr>
            <w:tcW w:w="64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545,743</w:t>
            </w:r>
          </w:p>
        </w:tc>
      </w:tr>
      <w:tr>
        <w:trPr>
          <w:trHeight w:val="144"/>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current assets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178,516</w:t>
            </w:r>
          </w:p>
        </w:tc>
        <w:tc>
          <w:tcPr>
            <w:tcW w:w="140" w:type="dxa"/>
            <w:vAlign w:val="bottom"/>
            <w:tcBorders>
              <w:lef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125,764</w:t>
            </w:r>
          </w:p>
        </w:tc>
      </w:tr>
      <w:tr>
        <w:trPr>
          <w:trHeight w:val="142"/>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2,180,439</w:t>
            </w:r>
          </w:p>
        </w:tc>
        <w:tc>
          <w:tcPr>
            <w:tcW w:w="1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1,606,986</w:t>
            </w:r>
          </w:p>
        </w:tc>
        <w:tc>
          <w:tcPr>
            <w:tcW w:w="80" w:type="dxa"/>
            <w:vAlign w:val="bottom"/>
          </w:tcPr>
          <w:p>
            <w:pPr>
              <w:spacing w:after="0"/>
              <w:rPr>
                <w:sz w:val="12"/>
                <w:szCs w:val="12"/>
                <w:color w:val="auto"/>
              </w:rPr>
            </w:pPr>
          </w:p>
        </w:tc>
      </w:tr>
      <w:tr>
        <w:trPr>
          <w:trHeight w:val="14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3,942,453</w:t>
            </w:r>
          </w:p>
        </w:tc>
        <w:tc>
          <w:tcPr>
            <w:tcW w:w="140" w:type="dxa"/>
            <w:vAlign w:val="bottom"/>
            <w:tcBorders>
              <w:lef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3,309,693</w:t>
            </w:r>
          </w:p>
        </w:tc>
      </w:tr>
      <w:tr>
        <w:trPr>
          <w:trHeight w:val="142"/>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capital</w:t>
            </w:r>
          </w:p>
        </w:tc>
        <w:tc>
          <w:tcPr>
            <w:tcW w:w="7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(21,156)</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(1,865,909)</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Other contributed capital</w:t>
            </w:r>
          </w:p>
        </w:tc>
        <w:tc>
          <w:tcPr>
            <w:tcW w:w="70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(3,582,589)</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(35,231)</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deficit &amp; Foreign currency translation reserve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3,737,089</w:t>
            </w:r>
          </w:p>
        </w:tc>
        <w:tc>
          <w:tcPr>
            <w:tcW w:w="140" w:type="dxa"/>
            <w:vAlign w:val="bottom"/>
            <w:tcBorders>
              <w:lef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1,778,644</w:t>
            </w:r>
          </w:p>
        </w:tc>
      </w:tr>
      <w:tr>
        <w:trPr>
          <w:trHeight w:val="142"/>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133,344</w:t>
            </w:r>
          </w:p>
        </w:tc>
        <w:tc>
          <w:tcPr>
            <w:tcW w:w="1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(122,496)</w:t>
            </w:r>
          </w:p>
        </w:tc>
        <w:tc>
          <w:tcPr>
            <w:tcW w:w="80" w:type="dxa"/>
            <w:vAlign w:val="bottom"/>
          </w:tcPr>
          <w:p>
            <w:pPr>
              <w:spacing w:after="0"/>
              <w:rPr>
                <w:sz w:val="12"/>
                <w:szCs w:val="12"/>
                <w:color w:val="auto"/>
              </w:rPr>
            </w:pPr>
          </w:p>
        </w:tc>
      </w:tr>
      <w:tr>
        <w:trPr>
          <w:trHeight w:val="14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5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Non-current liabilities</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non-current provisions and liabilities</w:t>
            </w:r>
          </w:p>
        </w:tc>
        <w:tc>
          <w:tcPr>
            <w:tcW w:w="7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(139,428)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(79,906)</w:t>
            </w:r>
          </w:p>
        </w:tc>
      </w:tr>
      <w:tr>
        <w:trPr>
          <w:trHeight w:val="144"/>
        </w:trPr>
        <w:tc>
          <w:tcPr>
            <w:tcW w:w="60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Earn-out liability</w:t>
            </w:r>
          </w:p>
        </w:tc>
        <w:tc>
          <w:tcPr>
            <w:tcW w:w="70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(598,570)</w:t>
            </w:r>
          </w:p>
        </w:tc>
        <w:tc>
          <w:tcPr>
            <w:tcW w:w="64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non-current interest-bearing liabilities</w:t>
            </w:r>
          </w:p>
        </w:tc>
        <w:tc>
          <w:tcPr>
            <w:tcW w:w="7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(85,556)</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(66,575)</w:t>
            </w:r>
          </w:p>
        </w:tc>
      </w:tr>
      <w:tr>
        <w:trPr>
          <w:trHeight w:val="142"/>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non-current liabilities</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(823,554)</w:t>
            </w:r>
          </w:p>
        </w:tc>
        <w:tc>
          <w:tcPr>
            <w:tcW w:w="1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(146,481)</w:t>
            </w:r>
          </w:p>
        </w:tc>
        <w:tc>
          <w:tcPr>
            <w:tcW w:w="80" w:type="dxa"/>
            <w:vAlign w:val="bottom"/>
          </w:tcPr>
          <w:p>
            <w:pPr>
              <w:spacing w:after="0"/>
              <w:rPr>
                <w:sz w:val="12"/>
                <w:szCs w:val="12"/>
                <w:color w:val="auto"/>
              </w:rPr>
            </w:pPr>
          </w:p>
        </w:tc>
      </w:tr>
      <w:tr>
        <w:trPr>
          <w:trHeight w:val="14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5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60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Trade payables external and trade payables and accrued expenses - related parties</w:t>
            </w:r>
          </w:p>
        </w:tc>
        <w:tc>
          <w:tcPr>
            <w:tcW w:w="70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(1,184,142)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(1,857,730)</w:t>
            </w:r>
          </w:p>
        </w:tc>
      </w:tr>
      <w:tr>
        <w:trPr>
          <w:trHeight w:val="144"/>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Advance payments from customers</w:t>
            </w:r>
          </w:p>
        </w:tc>
        <w:tc>
          <w:tcPr>
            <w:tcW w:w="7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(40,868)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(36,415)</w:t>
            </w:r>
          </w:p>
        </w:tc>
      </w:tr>
      <w:tr>
        <w:trPr>
          <w:trHeight w:val="144"/>
        </w:trPr>
        <w:tc>
          <w:tcPr>
            <w:tcW w:w="60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Liabilities to credit institutions</w:t>
            </w:r>
          </w:p>
        </w:tc>
        <w:tc>
          <w:tcPr>
            <w:tcW w:w="70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(1,328,752)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(642,338)</w:t>
            </w:r>
          </w:p>
        </w:tc>
      </w:tr>
      <w:tr>
        <w:trPr>
          <w:trHeight w:val="144"/>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Interest-bearing current liabilities</w:t>
            </w:r>
          </w:p>
        </w:tc>
        <w:tc>
          <w:tcPr>
            <w:tcW w:w="7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(38,235)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(24,072)</w:t>
            </w:r>
          </w:p>
        </w:tc>
      </w:tr>
      <w:tr>
        <w:trPr>
          <w:trHeight w:val="144"/>
        </w:trPr>
        <w:tc>
          <w:tcPr>
            <w:tcW w:w="60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Class C Shares liability</w:t>
            </w:r>
          </w:p>
        </w:tc>
        <w:tc>
          <w:tcPr>
            <w:tcW w:w="70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(28,000)</w:t>
            </w:r>
          </w:p>
        </w:tc>
        <w:tc>
          <w:tcPr>
            <w:tcW w:w="64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current provisions and liabilities</w:t>
            </w:r>
          </w:p>
        </w:tc>
        <w:tc>
          <w:tcPr>
            <w:tcW w:w="7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(632,246)</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(480,161)</w:t>
            </w:r>
          </w:p>
        </w:tc>
      </w:tr>
      <w:tr>
        <w:trPr>
          <w:trHeight w:val="144"/>
        </w:trPr>
        <w:tc>
          <w:tcPr>
            <w:tcW w:w="6000" w:type="dxa"/>
            <w:vAlign w:val="bottom"/>
          </w:tcPr>
          <w:p>
            <w:pPr>
              <w:ind w:left="240"/>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70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(3,252,243)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(3,040,716)</w:t>
            </w:r>
          </w:p>
        </w:tc>
      </w:tr>
      <w:tr>
        <w:trPr>
          <w:trHeight w:val="20"/>
        </w:trPr>
        <w:tc>
          <w:tcPr>
            <w:tcW w:w="60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7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(4,075,797)</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(3,187,197)</w:t>
            </w:r>
          </w:p>
        </w:tc>
      </w:tr>
      <w:tr>
        <w:trPr>
          <w:trHeight w:val="142"/>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equity and liabilities</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(3,942,453</w:t>
            </w:r>
          </w:p>
        </w:tc>
        <w:tc>
          <w:tcPr>
            <w:tcW w:w="140" w:type="dxa"/>
            <w:vAlign w:val="bottom"/>
          </w:tcPr>
          <w:p>
            <w:pPr>
              <w:jc w:val="right"/>
              <w:ind w:right="5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(3,309,693</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60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9019"/>
          </w:cols>
          <w:pgMar w:left="1440" w:top="224" w:right="1440" w:bottom="1440" w:gutter="0" w:footer="0" w:header="0"/>
        </w:sectPr>
      </w:pPr>
    </w:p>
    <w:bookmarkStart w:id="13" w:name="page14"/>
    <w:bookmarkEnd w:id="13"/>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Polestar Automotive Holding UK PLC</w:t>
      </w:r>
    </w:p>
    <w:p>
      <w:pPr>
        <w:spacing w:after="0" w:line="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Preliminary Unaudited Condensed Consolidated Statement of Cash Flows</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(in thousands of U.S. dollars unless otherwise stated)</w:t>
      </w:r>
    </w:p>
    <w:p>
      <w:pPr>
        <w:spacing w:after="0" w:line="13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860" w:type="dxa"/>
            <w:vAlign w:val="bottom"/>
          </w:tcPr>
          <w:p>
            <w:pPr>
              <w:spacing w:after="0"/>
              <w:rPr>
                <w:sz w:val="10"/>
                <w:szCs w:val="10"/>
                <w:color w:val="auto"/>
              </w:rPr>
            </w:pPr>
          </w:p>
        </w:tc>
        <w:tc>
          <w:tcPr>
            <w:tcW w:w="1480" w:type="dxa"/>
            <w:vAlign w:val="bottom"/>
            <w:gridSpan w:val="5"/>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5"/>
              </w:rPr>
              <w:t>For the year ended December 31,</w:t>
            </w:r>
          </w:p>
        </w:tc>
      </w:tr>
      <w:tr>
        <w:trPr>
          <w:trHeight w:val="115"/>
        </w:trPr>
        <w:tc>
          <w:tcPr>
            <w:tcW w:w="586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Borders>
              <w:bottom w:val="single" w:sz="8" w:color="CCEEFF"/>
            </w:tcBorders>
          </w:tcPr>
          <w:p>
            <w:pPr>
              <w:spacing w:after="0"/>
              <w:rPr>
                <w:sz w:val="10"/>
                <w:szCs w:val="10"/>
                <w:color w:val="auto"/>
              </w:rPr>
            </w:pPr>
          </w:p>
        </w:tc>
      </w:tr>
      <w:tr>
        <w:trPr>
          <w:trHeight w:val="124"/>
        </w:trPr>
        <w:tc>
          <w:tcPr>
            <w:tcW w:w="58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4"/>
        </w:trPr>
        <w:tc>
          <w:tcPr>
            <w:tcW w:w="586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(465,789)</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(1,007,454)</w:t>
            </w: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Adjustments to reconcile Net loss to net cash flows</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185,057</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239,164</w:t>
            </w:r>
          </w:p>
        </w:tc>
      </w:tr>
      <w:tr>
        <w:trPr>
          <w:trHeight w:val="144"/>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Finance income and expense</w:t>
            </w: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99,884</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12,280</w:t>
            </w:r>
          </w:p>
        </w:tc>
      </w:tr>
      <w:tr>
        <w:trPr>
          <w:trHeight w:val="144"/>
        </w:trPr>
        <w:tc>
          <w:tcPr>
            <w:tcW w:w="5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Listing expense</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372,318</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Income tax expense</w:t>
            </w: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16,783</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336</w:t>
            </w:r>
          </w:p>
        </w:tc>
      </w:tr>
      <w:tr>
        <w:trPr>
          <w:trHeight w:val="144"/>
        </w:trPr>
        <w:tc>
          <w:tcPr>
            <w:tcW w:w="5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non-cash expense and income</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(839,595)</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106,658</w:t>
            </w: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operating assets and liabilities</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(378,526)</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357,505</w:t>
            </w:r>
          </w:p>
        </w:tc>
      </w:tr>
      <w:tr>
        <w:trPr>
          <w:trHeight w:val="144"/>
        </w:trPr>
        <w:tc>
          <w:tcPr>
            <w:tcW w:w="5860" w:type="dxa"/>
            <w:vAlign w:val="bottom"/>
          </w:tcPr>
          <w:p>
            <w:pPr>
              <w:spacing w:after="0"/>
              <w:rPr>
                <w:sz w:val="20"/>
                <w:szCs w:val="20"/>
                <w:color w:val="auto"/>
              </w:rPr>
            </w:pPr>
            <w:r>
              <w:rPr>
                <w:rFonts w:ascii="Times New Roman" w:cs="Times New Roman" w:eastAsia="Times New Roman" w:hAnsi="Times New Roman"/>
                <w:sz w:val="12"/>
                <w:szCs w:val="12"/>
                <w:color w:val="auto"/>
              </w:rPr>
              <w:t>Interest net paid &amp; tax paid</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(78,481)</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(20,645)</w:t>
            </w:r>
          </w:p>
        </w:tc>
      </w:tr>
      <w:tr>
        <w:trPr>
          <w:trHeight w:val="20"/>
        </w:trPr>
        <w:tc>
          <w:tcPr>
            <w:tcW w:w="58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used for operating activities</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(1,088,349)</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(312,156)</w:t>
            </w:r>
          </w:p>
        </w:tc>
      </w:tr>
      <w:tr>
        <w:trPr>
          <w:trHeight w:val="142"/>
        </w:trPr>
        <w:tc>
          <w:tcPr>
            <w:tcW w:w="5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Additions to property, plant and equipment</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(32,269)</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(24,701)</w:t>
            </w:r>
          </w:p>
        </w:tc>
      </w:tr>
      <w:tr>
        <w:trPr>
          <w:trHeight w:val="144"/>
        </w:trPr>
        <w:tc>
          <w:tcPr>
            <w:tcW w:w="5860" w:type="dxa"/>
            <w:vAlign w:val="bottom"/>
          </w:tcPr>
          <w:p>
            <w:pPr>
              <w:spacing w:after="0"/>
              <w:rPr>
                <w:sz w:val="20"/>
                <w:szCs w:val="20"/>
                <w:color w:val="auto"/>
              </w:rPr>
            </w:pPr>
            <w:r>
              <w:rPr>
                <w:rFonts w:ascii="Times New Roman" w:cs="Times New Roman" w:eastAsia="Times New Roman" w:hAnsi="Times New Roman"/>
                <w:sz w:val="12"/>
                <w:szCs w:val="12"/>
                <w:color w:val="auto"/>
              </w:rPr>
              <w:t>Additions to intangible assets</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(681,204)</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(104,971)</w:t>
            </w: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(2,500)</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5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used for investing activities</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(715,973)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(129,672)</w:t>
            </w:r>
          </w:p>
        </w:tc>
        <w:tc>
          <w:tcPr>
            <w:tcW w:w="80" w:type="dxa"/>
            <w:vAlign w:val="bottom"/>
          </w:tcPr>
          <w:p>
            <w:pPr>
              <w:spacing w:after="0"/>
              <w:rPr>
                <w:sz w:val="12"/>
                <w:szCs w:val="12"/>
                <w:color w:val="auto"/>
              </w:rPr>
            </w:pPr>
          </w:p>
        </w:tc>
      </w:tr>
      <w:tr>
        <w:trPr>
          <w:trHeight w:val="142"/>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860" w:type="dxa"/>
            <w:vAlign w:val="bottom"/>
          </w:tcPr>
          <w:p>
            <w:pPr>
              <w:spacing w:after="0"/>
              <w:rPr>
                <w:sz w:val="20"/>
                <w:szCs w:val="20"/>
                <w:color w:val="auto"/>
              </w:rPr>
            </w:pPr>
            <w:r>
              <w:rPr>
                <w:rFonts w:ascii="Times New Roman" w:cs="Times New Roman" w:eastAsia="Times New Roman" w:hAnsi="Times New Roman"/>
                <w:sz w:val="12"/>
                <w:szCs w:val="12"/>
                <w:color w:val="auto"/>
              </w:rPr>
              <w:t>Change in restricted cash</w:t>
            </w: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48,830</w:t>
            </w: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short-term borrowings</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2,146,396</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698,882</w:t>
            </w:r>
          </w:p>
        </w:tc>
      </w:tr>
      <w:tr>
        <w:trPr>
          <w:trHeight w:val="144"/>
        </w:trPr>
        <w:tc>
          <w:tcPr>
            <w:tcW w:w="5860" w:type="dxa"/>
            <w:vAlign w:val="bottom"/>
          </w:tcPr>
          <w:p>
            <w:pPr>
              <w:spacing w:after="0"/>
              <w:rPr>
                <w:sz w:val="20"/>
                <w:szCs w:val="20"/>
                <w:color w:val="auto"/>
              </w:rPr>
            </w:pPr>
            <w:r>
              <w:rPr>
                <w:rFonts w:ascii="Times New Roman" w:cs="Times New Roman" w:eastAsia="Times New Roman" w:hAnsi="Times New Roman"/>
                <w:sz w:val="12"/>
                <w:szCs w:val="12"/>
                <w:color w:val="auto"/>
              </w:rPr>
              <w:t>Principal repayments of short-term borrowings</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(1,422,862)</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(411,950)</w:t>
            </w: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Principal repayments of lease liabilities</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(14,905)</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(8,578)</w:t>
            </w:r>
          </w:p>
        </w:tc>
      </w:tr>
      <w:tr>
        <w:trPr>
          <w:trHeight w:val="144"/>
        </w:trPr>
        <w:tc>
          <w:tcPr>
            <w:tcW w:w="586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the issuance of share capital and other contributed capital</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1,417,973</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582,388</w:t>
            </w: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Transaction costs</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(38,903)</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5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provided by financing activities</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2,087,699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909,572</w:t>
            </w:r>
          </w:p>
        </w:tc>
        <w:tc>
          <w:tcPr>
            <w:tcW w:w="80" w:type="dxa"/>
            <w:vAlign w:val="bottom"/>
          </w:tcPr>
          <w:p>
            <w:pPr>
              <w:spacing w:after="0"/>
              <w:rPr>
                <w:sz w:val="12"/>
                <w:szCs w:val="12"/>
                <w:color w:val="auto"/>
              </w:rPr>
            </w:pPr>
          </w:p>
        </w:tc>
      </w:tr>
      <w:tr>
        <w:trPr>
          <w:trHeight w:val="142"/>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 of foreign exchange rate changes on cash and cash equivalents</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(66,177)</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(27,491)</w:t>
            </w:r>
          </w:p>
        </w:tc>
      </w:tr>
      <w:tr>
        <w:trPr>
          <w:trHeight w:val="142"/>
        </w:trPr>
        <w:tc>
          <w:tcPr>
            <w:tcW w:w="5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increase in cash and cash equivalents</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217,200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440,253</w:t>
            </w:r>
          </w:p>
        </w:tc>
        <w:tc>
          <w:tcPr>
            <w:tcW w:w="80" w:type="dxa"/>
            <w:vAlign w:val="bottom"/>
          </w:tcPr>
          <w:p>
            <w:pPr>
              <w:spacing w:after="0"/>
              <w:rPr>
                <w:sz w:val="12"/>
                <w:szCs w:val="12"/>
                <w:color w:val="auto"/>
              </w:rPr>
            </w:pPr>
          </w:p>
        </w:tc>
      </w:tr>
      <w:tr>
        <w:trPr>
          <w:trHeight w:val="142"/>
        </w:trPr>
        <w:tc>
          <w:tcPr>
            <w:tcW w:w="5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b w:val="1"/>
                <w:bCs w:val="1"/>
                <w:color w:val="auto"/>
              </w:rPr>
              <w:t>Cash and cash equivalents at beginning of period</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756,677</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316,424</w:t>
            </w:r>
          </w:p>
        </w:tc>
      </w:tr>
      <w:tr>
        <w:trPr>
          <w:trHeight w:val="142"/>
        </w:trPr>
        <w:tc>
          <w:tcPr>
            <w:tcW w:w="5860" w:type="dxa"/>
            <w:vAlign w:val="bottom"/>
          </w:tcPr>
          <w:p>
            <w:pPr>
              <w:ind w:left="480"/>
              <w:spacing w:after="0"/>
              <w:rPr>
                <w:sz w:val="20"/>
                <w:szCs w:val="20"/>
                <w:color w:val="auto"/>
              </w:rPr>
            </w:pPr>
            <w:r>
              <w:rPr>
                <w:rFonts w:ascii="Times New Roman" w:cs="Times New Roman" w:eastAsia="Times New Roman" w:hAnsi="Times New Roman"/>
                <w:sz w:val="12"/>
                <w:szCs w:val="12"/>
                <w:b w:val="1"/>
                <w:bCs w:val="1"/>
                <w:color w:val="auto"/>
              </w:rPr>
              <w:t>Cash and cash equivalents at end of period</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973,877</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756,677</w:t>
            </w:r>
          </w:p>
        </w:tc>
        <w:tc>
          <w:tcPr>
            <w:tcW w:w="80" w:type="dxa"/>
            <w:vAlign w:val="bottom"/>
          </w:tcPr>
          <w:p>
            <w:pPr>
              <w:spacing w:after="0"/>
              <w:rPr>
                <w:sz w:val="12"/>
                <w:szCs w:val="12"/>
                <w:color w:val="auto"/>
              </w:rPr>
            </w:pPr>
          </w:p>
        </w:tc>
      </w:tr>
    </w:tbl>
    <w:p>
      <w:pPr>
        <w:sectPr>
          <w:pgSz w:w="11900" w:h="16838" w:orient="portrait"/>
          <w:cols w:equalWidth="0" w:num="1">
            <w:col w:w="9019"/>
          </w:cols>
          <w:pgMar w:left="1440" w:top="224" w:right="1440" w:bottom="1440" w:gutter="0" w:footer="0" w:header="0"/>
        </w:sectPr>
      </w:pPr>
    </w:p>
    <w:bookmarkStart w:id="14" w:name="page15"/>
    <w:bookmarkEnd w:id="14"/>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Appendix B</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Polestar Automotive Holding UK PLC</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82" w:lineRule="exact"/>
        <w:rPr>
          <w:sz w:val="20"/>
          <w:szCs w:val="20"/>
          <w:color w:val="auto"/>
        </w:rPr>
      </w:pPr>
    </w:p>
    <w:p>
      <w:pPr>
        <w:ind w:left="840" w:right="939"/>
        <w:spacing w:after="0" w:line="300" w:lineRule="auto"/>
        <w:rPr>
          <w:sz w:val="20"/>
          <w:szCs w:val="20"/>
          <w:color w:val="auto"/>
        </w:rPr>
      </w:pPr>
      <w:r>
        <w:rPr>
          <w:rFonts w:ascii="Times New Roman" w:cs="Times New Roman" w:eastAsia="Times New Roman" w:hAnsi="Times New Roman"/>
          <w:sz w:val="11"/>
          <w:szCs w:val="11"/>
          <w:color w:val="auto"/>
        </w:rPr>
        <w:t>Polestar uses both generally accepted accounting principles (“GAAP,” i.e., IFRS) and non-GAAP (i.e., non-IFRS) financial measures to evaluate operating performance, for internal comparisons to historical performance, and for financial decision-making purposes. Polestar believes non-GAAP financial measures are helpful to investors as they provide useful perspective on underlying business trends and assist in period on period comparisons.</w:t>
      </w:r>
    </w:p>
    <w:p>
      <w:pPr>
        <w:spacing w:after="0" w:line="102" w:lineRule="exact"/>
        <w:rPr>
          <w:sz w:val="20"/>
          <w:szCs w:val="20"/>
          <w:color w:val="auto"/>
        </w:rPr>
      </w:pPr>
    </w:p>
    <w:p>
      <w:pPr>
        <w:ind w:left="840" w:right="939"/>
        <w:spacing w:after="0" w:line="265" w:lineRule="auto"/>
        <w:rPr>
          <w:sz w:val="20"/>
          <w:szCs w:val="20"/>
          <w:color w:val="auto"/>
        </w:rPr>
      </w:pPr>
      <w:r>
        <w:rPr>
          <w:rFonts w:ascii="Times New Roman" w:cs="Times New Roman" w:eastAsia="Times New Roman" w:hAnsi="Times New Roman"/>
          <w:sz w:val="12"/>
          <w:szCs w:val="12"/>
          <w:color w:val="auto"/>
        </w:rPr>
        <w:t>These non-GAAP measures are presented for supplemental information purposes only and should not be considered a substitute for financial information presented in accordance with GAAP. The measures are not presented under a comprehensive set of accounting rules and, therefore, should only be read in conjunction with financial information reported under GAAP when understanding Polestar’s operating performance.</w:t>
      </w:r>
    </w:p>
    <w:p>
      <w:pPr>
        <w:spacing w:after="0" w:line="119" w:lineRule="exact"/>
        <w:rPr>
          <w:sz w:val="20"/>
          <w:szCs w:val="20"/>
          <w:color w:val="auto"/>
        </w:rPr>
      </w:pPr>
    </w:p>
    <w:p>
      <w:pPr>
        <w:ind w:left="840" w:right="899"/>
        <w:spacing w:after="0" w:line="265" w:lineRule="auto"/>
        <w:rPr>
          <w:sz w:val="20"/>
          <w:szCs w:val="20"/>
          <w:color w:val="auto"/>
        </w:rPr>
      </w:pPr>
      <w:r>
        <w:rPr>
          <w:rFonts w:ascii="Times New Roman" w:cs="Times New Roman" w:eastAsia="Times New Roman" w:hAnsi="Times New Roman"/>
          <w:sz w:val="12"/>
          <w:szCs w:val="12"/>
          <w:color w:val="auto"/>
        </w:rPr>
        <w:t>The measures may not be the same as similarly titled measures used by other companies due to possible differences in calculation methods and items or events being adjusted. A reconciliation between non-GAAP financial measures and the most comparable GAAP performance measures is provided below.</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Non-GAAP financial measures include adjusted operating loss, adjusted EBITDA, adjusted net loss, and free cash flow.</w:t>
      </w:r>
    </w:p>
    <w:p>
      <w:pPr>
        <w:spacing w:after="0" w:line="2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i w:val="1"/>
          <w:iCs w:val="1"/>
          <w:color w:val="auto"/>
        </w:rPr>
        <w:t>Adjusted Operating Loss</w:t>
      </w:r>
    </w:p>
    <w:p>
      <w:pPr>
        <w:spacing w:after="0" w:line="80" w:lineRule="exact"/>
        <w:rPr>
          <w:sz w:val="20"/>
          <w:szCs w:val="20"/>
          <w:color w:val="auto"/>
        </w:rPr>
      </w:pPr>
    </w:p>
    <w:p>
      <w:pPr>
        <w:ind w:left="840" w:right="919"/>
        <w:spacing w:after="0" w:line="279" w:lineRule="auto"/>
        <w:rPr>
          <w:sz w:val="20"/>
          <w:szCs w:val="20"/>
          <w:color w:val="auto"/>
        </w:rPr>
      </w:pPr>
      <w:r>
        <w:rPr>
          <w:rFonts w:ascii="Times New Roman" w:cs="Times New Roman" w:eastAsia="Times New Roman" w:hAnsi="Times New Roman"/>
          <w:sz w:val="12"/>
          <w:szCs w:val="12"/>
          <w:color w:val="auto"/>
        </w:rPr>
        <w:t>Polestar defines adjusted operating loss as operating loss, adjusted to exclude listing expense. This measure is reviewed by management and provides a relevant measure for understanding the ongoing operating performance of the business prior to the impact of the non-recurring adjusting item.</w:t>
      </w:r>
    </w:p>
    <w:p>
      <w:pPr>
        <w:sectPr>
          <w:pgSz w:w="11900" w:h="16838" w:orient="portrait"/>
          <w:cols w:equalWidth="0" w:num="1">
            <w:col w:w="9019"/>
          </w:cols>
          <w:pgMar w:left="1440" w:top="224" w:right="1440" w:bottom="1440" w:gutter="0" w:footer="0" w:header="0"/>
        </w:sectPr>
      </w:pPr>
    </w:p>
    <w:bookmarkStart w:id="15" w:name="page16"/>
    <w:bookmarkEnd w:id="15"/>
    <w:p>
      <w:pPr>
        <w:ind w:left="840"/>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Adjusted EBITDA</w:t>
      </w:r>
    </w:p>
    <w:p>
      <w:pPr>
        <w:spacing w:after="0" w:line="80" w:lineRule="exact"/>
        <w:rPr>
          <w:sz w:val="20"/>
          <w:szCs w:val="20"/>
          <w:color w:val="auto"/>
        </w:rPr>
      </w:pPr>
    </w:p>
    <w:p>
      <w:pPr>
        <w:ind w:left="840" w:right="1059"/>
        <w:spacing w:after="0" w:line="265" w:lineRule="auto"/>
        <w:rPr>
          <w:sz w:val="20"/>
          <w:szCs w:val="20"/>
          <w:color w:val="auto"/>
        </w:rPr>
      </w:pPr>
      <w:r>
        <w:rPr>
          <w:rFonts w:ascii="Times New Roman" w:cs="Times New Roman" w:eastAsia="Times New Roman" w:hAnsi="Times New Roman"/>
          <w:sz w:val="12"/>
          <w:szCs w:val="12"/>
          <w:color w:val="auto"/>
        </w:rPr>
        <w:t>Adjusted EBITDA is calculated as listing expense, fair value change of earn-out rights, fair value change of Class C Shares, interest income, interest expense, income tax expense, depreciation, and amortization, subtracted from net loss. This measure is reviewed by management and is relevant measure for understanding the underlying operating results and trends of the business prior to the impact of any adjusting items.</w:t>
      </w:r>
    </w:p>
    <w:p>
      <w:pPr>
        <w:spacing w:after="0" w:line="18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i w:val="1"/>
          <w:iCs w:val="1"/>
          <w:color w:val="auto"/>
        </w:rPr>
        <w:t>Adjusted Net Loss</w:t>
      </w:r>
    </w:p>
    <w:p>
      <w:pPr>
        <w:spacing w:after="0" w:line="80" w:lineRule="exact"/>
        <w:rPr>
          <w:sz w:val="20"/>
          <w:szCs w:val="20"/>
          <w:color w:val="auto"/>
        </w:rPr>
      </w:pPr>
    </w:p>
    <w:p>
      <w:pPr>
        <w:ind w:left="840" w:right="979"/>
        <w:spacing w:after="0" w:line="265" w:lineRule="auto"/>
        <w:rPr>
          <w:sz w:val="20"/>
          <w:szCs w:val="20"/>
          <w:color w:val="auto"/>
        </w:rPr>
      </w:pPr>
      <w:r>
        <w:rPr>
          <w:rFonts w:ascii="Times New Roman" w:cs="Times New Roman" w:eastAsia="Times New Roman" w:hAnsi="Times New Roman"/>
          <w:sz w:val="12"/>
          <w:szCs w:val="12"/>
          <w:color w:val="auto"/>
        </w:rPr>
        <w:t>Adjusted net loss is calculated as net loss, adjusted to exclude listing expense, fair value change of earn-out rights, and fair value change of Class C Shares. This measure is reviewed by management and is a relevant measure for understanding the underlying performance of Polestar’s recurring core business operations.</w:t>
      </w:r>
    </w:p>
    <w:p>
      <w:pPr>
        <w:spacing w:after="0" w:line="18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i w:val="1"/>
          <w:iCs w:val="1"/>
          <w:color w:val="auto"/>
        </w:rPr>
        <w:t>Free Cash Flow</w:t>
      </w:r>
    </w:p>
    <w:p>
      <w:pPr>
        <w:spacing w:after="0" w:line="80" w:lineRule="exact"/>
        <w:rPr>
          <w:sz w:val="20"/>
          <w:szCs w:val="20"/>
          <w:color w:val="auto"/>
        </w:rPr>
      </w:pPr>
    </w:p>
    <w:p>
      <w:pPr>
        <w:ind w:left="840" w:right="859"/>
        <w:spacing w:after="0" w:line="265" w:lineRule="auto"/>
        <w:rPr>
          <w:sz w:val="20"/>
          <w:szCs w:val="20"/>
          <w:color w:val="auto"/>
        </w:rPr>
      </w:pPr>
      <w:r>
        <w:rPr>
          <w:rFonts w:ascii="Times New Roman" w:cs="Times New Roman" w:eastAsia="Times New Roman" w:hAnsi="Times New Roman"/>
          <w:sz w:val="12"/>
          <w:szCs w:val="12"/>
          <w:color w:val="auto"/>
        </w:rPr>
        <w:t>Free cash flow is calculated by subtracting cash flows used for tangible assets and intangible assets from cash used for operating activities. This measure is reviewed by management and is a relevant measure for understanding cash sourced from operating activities that is available to repay debts, fund capital expenditures, and spend on other strategic initiatives.</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Unaudited Reconciliation of GAAP and Non-GAAP Results</w:t>
      </w:r>
    </w:p>
    <w:p>
      <w:pPr>
        <w:spacing w:after="0" w:line="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i w:val="1"/>
          <w:iCs w:val="1"/>
          <w:color w:val="auto"/>
        </w:rPr>
        <w:t>Adjusted Operating Loss</w:t>
      </w:r>
    </w:p>
    <w:p>
      <w:pPr>
        <w:spacing w:after="0" w:line="148" w:lineRule="exact"/>
        <w:rPr>
          <w:sz w:val="20"/>
          <w:szCs w:val="20"/>
          <w:color w:val="auto"/>
        </w:rPr>
      </w:pPr>
    </w:p>
    <w:tbl>
      <w:tblPr>
        <w:tblLayout w:type="fixed"/>
        <w:tblInd w:w="1420" w:type="dxa"/>
        <w:tblCellMar>
          <w:top w:w="0" w:type="dxa"/>
          <w:left w:w="0" w:type="dxa"/>
          <w:bottom w:w="0" w:type="dxa"/>
          <w:right w:w="0" w:type="dxa"/>
        </w:tblCellMar>
      </w:tblPr>
      <w:tr>
        <w:trPr>
          <w:trHeight w:val="115"/>
        </w:trPr>
        <w:tc>
          <w:tcPr>
            <w:tcW w:w="354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millions of U.S. dollars)</w:t>
            </w:r>
          </w:p>
        </w:tc>
        <w:tc>
          <w:tcPr>
            <w:tcW w:w="2640" w:type="dxa"/>
            <w:vAlign w:val="bottom"/>
            <w:gridSpan w:val="2"/>
          </w:tcPr>
          <w:p>
            <w:pPr>
              <w:jc w:val="right"/>
              <w:ind w:right="103"/>
              <w:spacing w:after="0"/>
              <w:rPr>
                <w:sz w:val="20"/>
                <w:szCs w:val="20"/>
                <w:color w:val="auto"/>
              </w:rPr>
            </w:pPr>
            <w:r>
              <w:rPr>
                <w:rFonts w:ascii="Times New Roman" w:cs="Times New Roman" w:eastAsia="Times New Roman" w:hAnsi="Times New Roman"/>
                <w:sz w:val="10"/>
                <w:szCs w:val="10"/>
                <w:b w:val="1"/>
                <w:bCs w:val="1"/>
                <w:color w:val="auto"/>
              </w:rPr>
              <w:t>For the year ended</w:t>
            </w:r>
          </w:p>
        </w:tc>
        <w:tc>
          <w:tcPr>
            <w:tcW w:w="0" w:type="dxa"/>
            <w:vAlign w:val="bottom"/>
          </w:tcPr>
          <w:p>
            <w:pPr>
              <w:spacing w:after="0"/>
              <w:rPr>
                <w:sz w:val="1"/>
                <w:szCs w:val="1"/>
                <w:color w:val="auto"/>
              </w:rPr>
            </w:pPr>
          </w:p>
        </w:tc>
      </w:tr>
      <w:tr>
        <w:trPr>
          <w:trHeight w:val="99"/>
        </w:trPr>
        <w:tc>
          <w:tcPr>
            <w:tcW w:w="3540" w:type="dxa"/>
            <w:vAlign w:val="bottom"/>
            <w:vMerge w:val="continue"/>
          </w:tcPr>
          <w:p>
            <w:pPr>
              <w:spacing w:after="0"/>
              <w:rPr>
                <w:sz w:val="8"/>
                <w:szCs w:val="8"/>
                <w:color w:val="auto"/>
              </w:rPr>
            </w:pPr>
          </w:p>
        </w:tc>
        <w:tc>
          <w:tcPr>
            <w:tcW w:w="2640" w:type="dxa"/>
            <w:vAlign w:val="bottom"/>
            <w:gridSpan w:val="2"/>
          </w:tcPr>
          <w:p>
            <w:pPr>
              <w:jc w:val="right"/>
              <w:ind w:right="223"/>
              <w:spacing w:after="0" w:line="99"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15"/>
        </w:trPr>
        <w:tc>
          <w:tcPr>
            <w:tcW w:w="3540" w:type="dxa"/>
            <w:vAlign w:val="bottom"/>
          </w:tcPr>
          <w:p>
            <w:pPr>
              <w:spacing w:after="0"/>
              <w:rPr>
                <w:sz w:val="10"/>
                <w:szCs w:val="10"/>
                <w:color w:val="auto"/>
              </w:rPr>
            </w:pPr>
          </w:p>
        </w:tc>
        <w:tc>
          <w:tcPr>
            <w:tcW w:w="2180" w:type="dxa"/>
            <w:vAlign w:val="bottom"/>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rPr>
              <w:t>2022</w:t>
            </w:r>
          </w:p>
        </w:tc>
        <w:tc>
          <w:tcPr>
            <w:tcW w:w="460" w:type="dxa"/>
            <w:vAlign w:val="bottom"/>
          </w:tcPr>
          <w:p>
            <w:pPr>
              <w:jc w:val="right"/>
              <w:ind w:right="103"/>
              <w:spacing w:after="0"/>
              <w:rPr>
                <w:sz w:val="20"/>
                <w:szCs w:val="20"/>
                <w:color w:val="auto"/>
              </w:rPr>
            </w:pPr>
            <w:r>
              <w:rPr>
                <w:rFonts w:ascii="Times New Roman" w:cs="Times New Roman" w:eastAsia="Times New Roman" w:hAnsi="Times New Roman"/>
                <w:sz w:val="10"/>
                <w:szCs w:val="10"/>
                <w:b w:val="1"/>
                <w:bCs w:val="1"/>
                <w:color w:val="auto"/>
              </w:rPr>
              <w:t>2021</w:t>
            </w:r>
          </w:p>
        </w:tc>
        <w:tc>
          <w:tcPr>
            <w:tcW w:w="0" w:type="dxa"/>
            <w:vAlign w:val="bottom"/>
          </w:tcPr>
          <w:p>
            <w:pPr>
              <w:spacing w:after="0"/>
              <w:rPr>
                <w:sz w:val="1"/>
                <w:szCs w:val="1"/>
                <w:color w:val="auto"/>
              </w:rPr>
            </w:pPr>
          </w:p>
        </w:tc>
      </w:tr>
      <w:tr>
        <w:trPr>
          <w:trHeight w:val="14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loss</w:t>
            </w:r>
          </w:p>
        </w:tc>
        <w:tc>
          <w:tcPr>
            <w:tcW w:w="21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(1,286.3)</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(994.8)</w:t>
            </w:r>
          </w:p>
        </w:tc>
        <w:tc>
          <w:tcPr>
            <w:tcW w:w="0" w:type="dxa"/>
            <w:vAlign w:val="bottom"/>
          </w:tcPr>
          <w:p>
            <w:pPr>
              <w:spacing w:after="0"/>
              <w:rPr>
                <w:sz w:val="1"/>
                <w:szCs w:val="1"/>
                <w:color w:val="auto"/>
              </w:rPr>
            </w:pPr>
          </w:p>
        </w:tc>
      </w:tr>
      <w:tr>
        <w:trPr>
          <w:trHeight w:val="144"/>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Listing expense</w:t>
            </w:r>
          </w:p>
        </w:tc>
        <w:tc>
          <w:tcPr>
            <w:tcW w:w="2180" w:type="dxa"/>
            <w:vAlign w:val="bottom"/>
          </w:tcPr>
          <w:p>
            <w:pPr>
              <w:jc w:val="right"/>
              <w:ind w:right="66"/>
              <w:spacing w:after="0"/>
              <w:rPr>
                <w:sz w:val="20"/>
                <w:szCs w:val="20"/>
                <w:color w:val="auto"/>
              </w:rPr>
            </w:pPr>
            <w:r>
              <w:rPr>
                <w:rFonts w:ascii="Times New Roman" w:cs="Times New Roman" w:eastAsia="Times New Roman" w:hAnsi="Times New Roman"/>
                <w:sz w:val="12"/>
                <w:szCs w:val="12"/>
                <w:color w:val="auto"/>
              </w:rPr>
              <w:t>372.3</w:t>
            </w:r>
          </w:p>
        </w:tc>
        <w:tc>
          <w:tcPr>
            <w:tcW w:w="460" w:type="dxa"/>
            <w:vAlign w:val="bottom"/>
          </w:tcPr>
          <w:p>
            <w:pPr>
              <w:jc w:val="right"/>
              <w:ind w:right="83"/>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operating loss (non-GAAP)</w:t>
            </w:r>
          </w:p>
        </w:tc>
        <w:tc>
          <w:tcPr>
            <w:tcW w:w="21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b w:val="1"/>
                <w:bCs w:val="1"/>
                <w:color w:val="auto"/>
              </w:rPr>
              <w:t>(914.0)</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(994.8)</w:t>
            </w:r>
          </w:p>
        </w:tc>
        <w:tc>
          <w:tcPr>
            <w:tcW w:w="0" w:type="dxa"/>
            <w:vAlign w:val="bottom"/>
          </w:tcPr>
          <w:p>
            <w:pPr>
              <w:spacing w:after="0"/>
              <w:rPr>
                <w:sz w:val="1"/>
                <w:szCs w:val="1"/>
                <w:color w:val="auto"/>
              </w:rPr>
            </w:pPr>
          </w:p>
        </w:tc>
      </w:tr>
    </w:tbl>
    <w:p>
      <w:pPr>
        <w:sectPr>
          <w:pgSz w:w="11900" w:h="16838" w:orient="portrait"/>
          <w:cols w:equalWidth="0" w:num="1">
            <w:col w:w="9019"/>
          </w:cols>
          <w:pgMar w:left="1440" w:top="226" w:right="1440" w:bottom="1440" w:gutter="0" w:footer="0" w:header="0"/>
        </w:sectPr>
      </w:pPr>
    </w:p>
    <w:bookmarkStart w:id="16" w:name="page17"/>
    <w:bookmarkEnd w:id="16"/>
    <w:p>
      <w:pPr>
        <w:ind w:left="840"/>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Adjusted EBITDA</w:t>
      </w:r>
    </w:p>
    <w:p>
      <w:pPr>
        <w:spacing w:after="0" w:line="148"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88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220" w:type="dxa"/>
            <w:vAlign w:val="bottom"/>
            <w:gridSpan w:val="2"/>
          </w:tcPr>
          <w:p>
            <w:pPr>
              <w:jc w:val="center"/>
              <w:ind w:left="1024"/>
              <w:spacing w:after="0"/>
              <w:rPr>
                <w:sz w:val="20"/>
                <w:szCs w:val="20"/>
                <w:color w:val="auto"/>
              </w:rPr>
            </w:pPr>
            <w:r>
              <w:rPr>
                <w:rFonts w:ascii="Times New Roman" w:cs="Times New Roman" w:eastAsia="Times New Roman" w:hAnsi="Times New Roman"/>
                <w:sz w:val="10"/>
                <w:szCs w:val="10"/>
                <w:b w:val="1"/>
                <w:bCs w:val="1"/>
                <w:color w:val="auto"/>
                <w:w w:val="96"/>
              </w:rPr>
              <w:t>For the year ended</w:t>
            </w:r>
          </w:p>
        </w:tc>
        <w:tc>
          <w:tcPr>
            <w:tcW w:w="0" w:type="dxa"/>
            <w:vAlign w:val="bottom"/>
          </w:tcPr>
          <w:p>
            <w:pPr>
              <w:spacing w:after="0"/>
              <w:rPr>
                <w:sz w:val="1"/>
                <w:szCs w:val="1"/>
                <w:color w:val="auto"/>
              </w:rPr>
            </w:pPr>
          </w:p>
        </w:tc>
      </w:tr>
      <w:tr>
        <w:trPr>
          <w:trHeight w:val="99"/>
        </w:trPr>
        <w:tc>
          <w:tcPr>
            <w:tcW w:w="880" w:type="dxa"/>
            <w:vAlign w:val="bottom"/>
          </w:tcPr>
          <w:p>
            <w:pPr>
              <w:spacing w:after="0"/>
              <w:rPr>
                <w:sz w:val="8"/>
                <w:szCs w:val="8"/>
                <w:color w:val="auto"/>
              </w:rPr>
            </w:pPr>
          </w:p>
        </w:tc>
        <w:tc>
          <w:tcPr>
            <w:tcW w:w="336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(in millions of U.S. dollars)</w:t>
            </w:r>
          </w:p>
        </w:tc>
        <w:tc>
          <w:tcPr>
            <w:tcW w:w="2220" w:type="dxa"/>
            <w:vAlign w:val="bottom"/>
            <w:gridSpan w:val="2"/>
          </w:tcPr>
          <w:p>
            <w:pPr>
              <w:jc w:val="center"/>
              <w:ind w:left="1044"/>
              <w:spacing w:after="0" w:line="99"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0" w:type="dxa"/>
            <w:vAlign w:val="bottom"/>
          </w:tcPr>
          <w:p>
            <w:pPr>
              <w:spacing w:after="0"/>
              <w:rPr>
                <w:sz w:val="1"/>
                <w:szCs w:val="1"/>
                <w:color w:val="auto"/>
              </w:rPr>
            </w:pPr>
          </w:p>
        </w:tc>
      </w:tr>
      <w:tr>
        <w:trPr>
          <w:trHeight w:val="115"/>
        </w:trPr>
        <w:tc>
          <w:tcPr>
            <w:tcW w:w="88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700" w:type="dxa"/>
            <w:vAlign w:val="bottom"/>
          </w:tcPr>
          <w:p>
            <w:pPr>
              <w:jc w:val="right"/>
              <w:ind w:right="204"/>
              <w:spacing w:after="0"/>
              <w:rPr>
                <w:sz w:val="20"/>
                <w:szCs w:val="20"/>
                <w:color w:val="auto"/>
              </w:rPr>
            </w:pPr>
            <w:r>
              <w:rPr>
                <w:rFonts w:ascii="Times New Roman" w:cs="Times New Roman" w:eastAsia="Times New Roman" w:hAnsi="Times New Roman"/>
                <w:sz w:val="10"/>
                <w:szCs w:val="10"/>
                <w:b w:val="1"/>
                <w:bCs w:val="1"/>
                <w:color w:val="auto"/>
              </w:rPr>
              <w:t>2022</w:t>
            </w:r>
          </w:p>
        </w:tc>
        <w:tc>
          <w:tcPr>
            <w:tcW w:w="520" w:type="dxa"/>
            <w:vAlign w:val="bottom"/>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2021</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17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(465.8)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(1,007.5)</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Listing expense</w:t>
            </w:r>
          </w:p>
        </w:tc>
        <w:tc>
          <w:tcPr>
            <w:tcW w:w="1700" w:type="dxa"/>
            <w:vAlign w:val="bottom"/>
          </w:tcPr>
          <w:p>
            <w:pPr>
              <w:jc w:val="right"/>
              <w:ind w:right="124"/>
              <w:spacing w:after="0"/>
              <w:rPr>
                <w:sz w:val="20"/>
                <w:szCs w:val="20"/>
                <w:color w:val="auto"/>
              </w:rPr>
            </w:pPr>
            <w:r>
              <w:rPr>
                <w:rFonts w:ascii="Times New Roman" w:cs="Times New Roman" w:eastAsia="Times New Roman" w:hAnsi="Times New Roman"/>
                <w:sz w:val="12"/>
                <w:szCs w:val="12"/>
                <w:color w:val="auto"/>
              </w:rPr>
              <w:t>372.3</w:t>
            </w:r>
          </w:p>
        </w:tc>
        <w:tc>
          <w:tcPr>
            <w:tcW w:w="5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change—Earn-out rights</w:t>
            </w:r>
          </w:p>
        </w:tc>
        <w:tc>
          <w:tcPr>
            <w:tcW w:w="17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(902.1)</w:t>
            </w:r>
          </w:p>
        </w:tc>
        <w:tc>
          <w:tcPr>
            <w:tcW w:w="5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Fair value change—Class C Shares</w:t>
            </w:r>
          </w:p>
        </w:tc>
        <w:tc>
          <w:tcPr>
            <w:tcW w:w="1700" w:type="dxa"/>
            <w:vAlign w:val="bottom"/>
          </w:tcPr>
          <w:p>
            <w:pPr>
              <w:jc w:val="right"/>
              <w:ind w:right="84"/>
              <w:spacing w:after="0"/>
              <w:rPr>
                <w:sz w:val="20"/>
                <w:szCs w:val="20"/>
                <w:color w:val="auto"/>
              </w:rPr>
            </w:pPr>
            <w:r>
              <w:rPr>
                <w:rFonts w:ascii="Times New Roman" w:cs="Times New Roman" w:eastAsia="Times New Roman" w:hAnsi="Times New Roman"/>
                <w:sz w:val="12"/>
                <w:szCs w:val="12"/>
                <w:color w:val="auto"/>
              </w:rPr>
              <w:t>(35.1)</w:t>
            </w:r>
          </w:p>
        </w:tc>
        <w:tc>
          <w:tcPr>
            <w:tcW w:w="5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17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(7.7)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expenses</w:t>
            </w:r>
          </w:p>
        </w:tc>
        <w:tc>
          <w:tcPr>
            <w:tcW w:w="1700" w:type="dxa"/>
            <w:vAlign w:val="bottom"/>
          </w:tcPr>
          <w:p>
            <w:pPr>
              <w:jc w:val="right"/>
              <w:ind w:right="124"/>
              <w:spacing w:after="0"/>
              <w:rPr>
                <w:sz w:val="20"/>
                <w:szCs w:val="20"/>
                <w:color w:val="auto"/>
              </w:rPr>
            </w:pPr>
            <w:r>
              <w:rPr>
                <w:rFonts w:ascii="Times New Roman" w:cs="Times New Roman" w:eastAsia="Times New Roman" w:hAnsi="Times New Roman"/>
                <w:sz w:val="12"/>
                <w:szCs w:val="12"/>
                <w:color w:val="auto"/>
              </w:rPr>
              <w:t>77.5</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44.9</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7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2"/>
                <w:szCs w:val="12"/>
                <w:color w:val="auto"/>
              </w:rPr>
              <w:t>16.8</w:t>
            </w:r>
          </w:p>
        </w:tc>
        <w:tc>
          <w:tcPr>
            <w:tcW w:w="5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0.3</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700" w:type="dxa"/>
            <w:vAlign w:val="bottom"/>
          </w:tcPr>
          <w:p>
            <w:pPr>
              <w:jc w:val="right"/>
              <w:ind w:right="124"/>
              <w:spacing w:after="0"/>
              <w:rPr>
                <w:sz w:val="20"/>
                <w:szCs w:val="20"/>
                <w:color w:val="auto"/>
              </w:rPr>
            </w:pPr>
            <w:r>
              <w:rPr>
                <w:rFonts w:ascii="Times New Roman" w:cs="Times New Roman" w:eastAsia="Times New Roman" w:hAnsi="Times New Roman"/>
                <w:sz w:val="12"/>
                <w:szCs w:val="12"/>
                <w:color w:val="auto"/>
              </w:rPr>
              <w:t>185.1</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239.2</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EBITDA (non-GAAP)</w:t>
            </w:r>
          </w:p>
        </w:tc>
        <w:tc>
          <w:tcPr>
            <w:tcW w:w="17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b w:val="1"/>
                <w:bCs w:val="1"/>
                <w:color w:val="auto"/>
              </w:rPr>
              <w:t>(759.0)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(724.5)</w:t>
            </w:r>
          </w:p>
        </w:tc>
        <w:tc>
          <w:tcPr>
            <w:tcW w:w="0" w:type="dxa"/>
            <w:vAlign w:val="bottom"/>
          </w:tcPr>
          <w:p>
            <w:pPr>
              <w:spacing w:after="0"/>
              <w:rPr>
                <w:sz w:val="1"/>
                <w:szCs w:val="1"/>
                <w:color w:val="auto"/>
              </w:rPr>
            </w:pPr>
          </w:p>
        </w:tc>
      </w:tr>
      <w:tr>
        <w:trPr>
          <w:trHeight w:val="360"/>
        </w:trPr>
        <w:tc>
          <w:tcPr>
            <w:tcW w:w="42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Adjusted Net Loss</w:t>
            </w: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80" w:type="dxa"/>
            <w:vAlign w:val="bottom"/>
          </w:tcPr>
          <w:p>
            <w:pPr>
              <w:spacing w:after="0"/>
              <w:rPr>
                <w:sz w:val="21"/>
                <w:szCs w:val="21"/>
                <w:color w:val="auto"/>
              </w:rPr>
            </w:pPr>
          </w:p>
        </w:tc>
        <w:tc>
          <w:tcPr>
            <w:tcW w:w="336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millions of U.S. dollars)</w:t>
            </w:r>
          </w:p>
        </w:tc>
        <w:tc>
          <w:tcPr>
            <w:tcW w:w="2220" w:type="dxa"/>
            <w:vAlign w:val="bottom"/>
            <w:gridSpan w:val="2"/>
          </w:tcPr>
          <w:p>
            <w:pPr>
              <w:jc w:val="right"/>
              <w:ind w:right="162"/>
              <w:spacing w:after="0"/>
              <w:rPr>
                <w:sz w:val="20"/>
                <w:szCs w:val="20"/>
                <w:color w:val="auto"/>
              </w:rPr>
            </w:pPr>
            <w:r>
              <w:rPr>
                <w:rFonts w:ascii="Times New Roman" w:cs="Times New Roman" w:eastAsia="Times New Roman" w:hAnsi="Times New Roman"/>
                <w:sz w:val="10"/>
                <w:szCs w:val="10"/>
                <w:b w:val="1"/>
                <w:bCs w:val="1"/>
                <w:color w:val="auto"/>
              </w:rPr>
              <w:t>For the year ended</w:t>
            </w:r>
          </w:p>
        </w:tc>
        <w:tc>
          <w:tcPr>
            <w:tcW w:w="0" w:type="dxa"/>
            <w:vAlign w:val="bottom"/>
          </w:tcPr>
          <w:p>
            <w:pPr>
              <w:spacing w:after="0"/>
              <w:rPr>
                <w:sz w:val="1"/>
                <w:szCs w:val="1"/>
                <w:color w:val="auto"/>
              </w:rPr>
            </w:pPr>
          </w:p>
        </w:tc>
      </w:tr>
      <w:tr>
        <w:trPr>
          <w:trHeight w:val="99"/>
        </w:trPr>
        <w:tc>
          <w:tcPr>
            <w:tcW w:w="880" w:type="dxa"/>
            <w:vAlign w:val="bottom"/>
          </w:tcPr>
          <w:p>
            <w:pPr>
              <w:spacing w:after="0"/>
              <w:rPr>
                <w:sz w:val="8"/>
                <w:szCs w:val="8"/>
                <w:color w:val="auto"/>
              </w:rPr>
            </w:pPr>
          </w:p>
        </w:tc>
        <w:tc>
          <w:tcPr>
            <w:tcW w:w="3360" w:type="dxa"/>
            <w:vAlign w:val="bottom"/>
            <w:vMerge w:val="continue"/>
          </w:tcPr>
          <w:p>
            <w:pPr>
              <w:spacing w:after="0"/>
              <w:rPr>
                <w:sz w:val="8"/>
                <w:szCs w:val="8"/>
                <w:color w:val="auto"/>
              </w:rPr>
            </w:pPr>
          </w:p>
        </w:tc>
        <w:tc>
          <w:tcPr>
            <w:tcW w:w="2220" w:type="dxa"/>
            <w:vAlign w:val="bottom"/>
            <w:gridSpan w:val="2"/>
          </w:tcPr>
          <w:p>
            <w:pPr>
              <w:jc w:val="right"/>
              <w:ind w:right="282"/>
              <w:spacing w:after="0" w:line="99"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15"/>
        </w:trPr>
        <w:tc>
          <w:tcPr>
            <w:tcW w:w="88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700" w:type="dxa"/>
            <w:vAlign w:val="bottom"/>
          </w:tcPr>
          <w:p>
            <w:pPr>
              <w:jc w:val="right"/>
              <w:ind w:right="244"/>
              <w:spacing w:after="0"/>
              <w:rPr>
                <w:sz w:val="20"/>
                <w:szCs w:val="20"/>
                <w:color w:val="auto"/>
              </w:rPr>
            </w:pPr>
            <w:r>
              <w:rPr>
                <w:rFonts w:ascii="Times New Roman" w:cs="Times New Roman" w:eastAsia="Times New Roman" w:hAnsi="Times New Roman"/>
                <w:sz w:val="10"/>
                <w:szCs w:val="10"/>
                <w:b w:val="1"/>
                <w:bCs w:val="1"/>
                <w:color w:val="auto"/>
              </w:rPr>
              <w:t>2022</w:t>
            </w:r>
          </w:p>
        </w:tc>
        <w:tc>
          <w:tcPr>
            <w:tcW w:w="520" w:type="dxa"/>
            <w:vAlign w:val="bottom"/>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2021</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17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(465.8)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(1,007.5)</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Listing expense</w:t>
            </w:r>
          </w:p>
        </w:tc>
        <w:tc>
          <w:tcPr>
            <w:tcW w:w="1700" w:type="dxa"/>
            <w:vAlign w:val="bottom"/>
          </w:tcPr>
          <w:p>
            <w:pPr>
              <w:jc w:val="right"/>
              <w:ind w:right="124"/>
              <w:spacing w:after="0"/>
              <w:rPr>
                <w:sz w:val="20"/>
                <w:szCs w:val="20"/>
                <w:color w:val="auto"/>
              </w:rPr>
            </w:pPr>
            <w:r>
              <w:rPr>
                <w:rFonts w:ascii="Times New Roman" w:cs="Times New Roman" w:eastAsia="Times New Roman" w:hAnsi="Times New Roman"/>
                <w:sz w:val="12"/>
                <w:szCs w:val="12"/>
                <w:color w:val="auto"/>
              </w:rPr>
              <w:t>372.3</w:t>
            </w:r>
          </w:p>
        </w:tc>
        <w:tc>
          <w:tcPr>
            <w:tcW w:w="5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change—Earn-out rights</w:t>
            </w:r>
          </w:p>
        </w:tc>
        <w:tc>
          <w:tcPr>
            <w:tcW w:w="17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(902.1)</w:t>
            </w:r>
          </w:p>
        </w:tc>
        <w:tc>
          <w:tcPr>
            <w:tcW w:w="5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Fair value change—Class C Shares</w:t>
            </w:r>
          </w:p>
        </w:tc>
        <w:tc>
          <w:tcPr>
            <w:tcW w:w="1700" w:type="dxa"/>
            <w:vAlign w:val="bottom"/>
          </w:tcPr>
          <w:p>
            <w:pPr>
              <w:jc w:val="right"/>
              <w:ind w:right="84"/>
              <w:spacing w:after="0"/>
              <w:rPr>
                <w:sz w:val="20"/>
                <w:szCs w:val="20"/>
                <w:color w:val="auto"/>
              </w:rPr>
            </w:pPr>
            <w:r>
              <w:rPr>
                <w:rFonts w:ascii="Times New Roman" w:cs="Times New Roman" w:eastAsia="Times New Roman" w:hAnsi="Times New Roman"/>
                <w:sz w:val="12"/>
                <w:szCs w:val="12"/>
                <w:color w:val="auto"/>
              </w:rPr>
              <w:t>(35.1)</w:t>
            </w:r>
          </w:p>
        </w:tc>
        <w:tc>
          <w:tcPr>
            <w:tcW w:w="5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net loss (non-GAAP)</w:t>
            </w:r>
          </w:p>
        </w:tc>
        <w:tc>
          <w:tcPr>
            <w:tcW w:w="17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b w:val="1"/>
                <w:bCs w:val="1"/>
                <w:color w:val="auto"/>
              </w:rPr>
              <w:t>(1,030.7)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(1,007.5)</w:t>
            </w:r>
          </w:p>
        </w:tc>
        <w:tc>
          <w:tcPr>
            <w:tcW w:w="0" w:type="dxa"/>
            <w:vAlign w:val="bottom"/>
          </w:tcPr>
          <w:p>
            <w:pPr>
              <w:spacing w:after="0"/>
              <w:rPr>
                <w:sz w:val="1"/>
                <w:szCs w:val="1"/>
                <w:color w:val="auto"/>
              </w:rPr>
            </w:pPr>
          </w:p>
        </w:tc>
      </w:tr>
      <w:tr>
        <w:trPr>
          <w:trHeight w:val="360"/>
        </w:trPr>
        <w:tc>
          <w:tcPr>
            <w:tcW w:w="42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Free Cash Flow</w:t>
            </w: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80" w:type="dxa"/>
            <w:vAlign w:val="bottom"/>
          </w:tcPr>
          <w:p>
            <w:pPr>
              <w:spacing w:after="0"/>
              <w:rPr>
                <w:sz w:val="21"/>
                <w:szCs w:val="21"/>
                <w:color w:val="auto"/>
              </w:rPr>
            </w:pPr>
          </w:p>
        </w:tc>
        <w:tc>
          <w:tcPr>
            <w:tcW w:w="336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millions of U.S. dollars)</w:t>
            </w:r>
          </w:p>
        </w:tc>
        <w:tc>
          <w:tcPr>
            <w:tcW w:w="2220" w:type="dxa"/>
            <w:vAlign w:val="bottom"/>
            <w:gridSpan w:val="2"/>
          </w:tcPr>
          <w:p>
            <w:pPr>
              <w:jc w:val="center"/>
              <w:ind w:left="1024"/>
              <w:spacing w:after="0"/>
              <w:rPr>
                <w:sz w:val="20"/>
                <w:szCs w:val="20"/>
                <w:color w:val="auto"/>
              </w:rPr>
            </w:pPr>
            <w:r>
              <w:rPr>
                <w:rFonts w:ascii="Times New Roman" w:cs="Times New Roman" w:eastAsia="Times New Roman" w:hAnsi="Times New Roman"/>
                <w:sz w:val="10"/>
                <w:szCs w:val="10"/>
                <w:b w:val="1"/>
                <w:bCs w:val="1"/>
                <w:color w:val="auto"/>
                <w:w w:val="96"/>
              </w:rPr>
              <w:t>For the year ended</w:t>
            </w:r>
          </w:p>
        </w:tc>
        <w:tc>
          <w:tcPr>
            <w:tcW w:w="0" w:type="dxa"/>
            <w:vAlign w:val="bottom"/>
          </w:tcPr>
          <w:p>
            <w:pPr>
              <w:spacing w:after="0"/>
              <w:rPr>
                <w:sz w:val="1"/>
                <w:szCs w:val="1"/>
                <w:color w:val="auto"/>
              </w:rPr>
            </w:pPr>
          </w:p>
        </w:tc>
      </w:tr>
      <w:tr>
        <w:trPr>
          <w:trHeight w:val="99"/>
        </w:trPr>
        <w:tc>
          <w:tcPr>
            <w:tcW w:w="880" w:type="dxa"/>
            <w:vAlign w:val="bottom"/>
          </w:tcPr>
          <w:p>
            <w:pPr>
              <w:spacing w:after="0"/>
              <w:rPr>
                <w:sz w:val="8"/>
                <w:szCs w:val="8"/>
                <w:color w:val="auto"/>
              </w:rPr>
            </w:pPr>
          </w:p>
        </w:tc>
        <w:tc>
          <w:tcPr>
            <w:tcW w:w="3360" w:type="dxa"/>
            <w:vAlign w:val="bottom"/>
            <w:vMerge w:val="continue"/>
          </w:tcPr>
          <w:p>
            <w:pPr>
              <w:spacing w:after="0"/>
              <w:rPr>
                <w:sz w:val="8"/>
                <w:szCs w:val="8"/>
                <w:color w:val="auto"/>
              </w:rPr>
            </w:pPr>
          </w:p>
        </w:tc>
        <w:tc>
          <w:tcPr>
            <w:tcW w:w="2220" w:type="dxa"/>
            <w:vAlign w:val="bottom"/>
            <w:gridSpan w:val="2"/>
          </w:tcPr>
          <w:p>
            <w:pPr>
              <w:jc w:val="center"/>
              <w:ind w:left="1044"/>
              <w:spacing w:after="0" w:line="99"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0" w:type="dxa"/>
            <w:vAlign w:val="bottom"/>
          </w:tcPr>
          <w:p>
            <w:pPr>
              <w:spacing w:after="0"/>
              <w:rPr>
                <w:sz w:val="1"/>
                <w:szCs w:val="1"/>
                <w:color w:val="auto"/>
              </w:rPr>
            </w:pPr>
          </w:p>
        </w:tc>
      </w:tr>
      <w:tr>
        <w:trPr>
          <w:trHeight w:val="115"/>
        </w:trPr>
        <w:tc>
          <w:tcPr>
            <w:tcW w:w="88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700" w:type="dxa"/>
            <w:vAlign w:val="bottom"/>
          </w:tcPr>
          <w:p>
            <w:pPr>
              <w:jc w:val="right"/>
              <w:ind w:right="164"/>
              <w:spacing w:after="0"/>
              <w:rPr>
                <w:sz w:val="20"/>
                <w:szCs w:val="20"/>
                <w:color w:val="auto"/>
              </w:rPr>
            </w:pPr>
            <w:r>
              <w:rPr>
                <w:rFonts w:ascii="Times New Roman" w:cs="Times New Roman" w:eastAsia="Times New Roman" w:hAnsi="Times New Roman"/>
                <w:sz w:val="10"/>
                <w:szCs w:val="10"/>
                <w:b w:val="1"/>
                <w:bCs w:val="1"/>
                <w:color w:val="auto"/>
              </w:rPr>
              <w:t>2022</w:t>
            </w:r>
          </w:p>
        </w:tc>
        <w:tc>
          <w:tcPr>
            <w:tcW w:w="520" w:type="dxa"/>
            <w:vAlign w:val="bottom"/>
          </w:tcPr>
          <w:p>
            <w:pPr>
              <w:jc w:val="right"/>
              <w:ind w:right="102"/>
              <w:spacing w:after="0"/>
              <w:rPr>
                <w:sz w:val="20"/>
                <w:szCs w:val="20"/>
                <w:color w:val="auto"/>
              </w:rPr>
            </w:pPr>
            <w:r>
              <w:rPr>
                <w:rFonts w:ascii="Times New Roman" w:cs="Times New Roman" w:eastAsia="Times New Roman" w:hAnsi="Times New Roman"/>
                <w:sz w:val="10"/>
                <w:szCs w:val="10"/>
                <w:b w:val="1"/>
                <w:bCs w:val="1"/>
                <w:color w:val="auto"/>
              </w:rPr>
              <w:t>2021</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for operating activities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(1,088.3)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(312.2)</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Investing cash flows used for tangible assets</w:t>
            </w: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Investing cash flows used for intangible assets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(105.0)</w:t>
            </w: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Free cash flow (non-GAAP)</w:t>
            </w: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(1,801.8)</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(441.8)</w:t>
            </w:r>
          </w:p>
        </w:tc>
        <w:tc>
          <w:tcPr>
            <w:tcW w:w="0" w:type="dxa"/>
            <w:vAlign w:val="bottom"/>
          </w:tcPr>
          <w:p>
            <w:pPr>
              <w:spacing w:after="0"/>
              <w:rPr>
                <w:sz w:val="1"/>
                <w:szCs w:val="1"/>
                <w:color w:val="auto"/>
              </w:rPr>
            </w:pPr>
          </w:p>
        </w:tc>
      </w:tr>
    </w:tbl>
    <w:p>
      <w:pPr>
        <w:sectPr>
          <w:pgSz w:w="11900" w:h="16838" w:orient="portrait"/>
          <w:cols w:equalWidth="0" w:num="1">
            <w:col w:w="9019"/>
          </w:cols>
          <w:pgMar w:left="1440" w:top="226" w:right="1440" w:bottom="1440"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8229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8229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lvl w:ilvl="1">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2023-03-02T06:50:56Z</dcterms:created>
  <dcterms:modified xsi:type="dcterms:W3CDTF">2023-03-02T06:50:56Z</dcterms:modified>
</cp:coreProperties>
</file>