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1508125</wp:posOffset>
            </wp:positionH>
            <wp:positionV relativeFrom="page">
              <wp:posOffset>431165</wp:posOffset>
            </wp:positionV>
            <wp:extent cx="453898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4538980" cy="36830"/>
                    </a:xfrm>
                    <a:prstGeom prst="rect">
                      <a:avLst/>
                    </a:prstGeom>
                    <a:noFill/>
                  </pic:spPr>
                </pic:pic>
              </a:graphicData>
            </a:graphic>
          </wp:anchor>
        </w:drawing>
        <w:drawing>
          <wp:anchor simplePos="0" relativeHeight="251657728" behindDoc="1" locked="0" layoutInCell="0" allowOverlap="1">
            <wp:simplePos x="0" y="0"/>
            <wp:positionH relativeFrom="page">
              <wp:posOffset>1508125</wp:posOffset>
            </wp:positionH>
            <wp:positionV relativeFrom="page">
              <wp:posOffset>510540</wp:posOffset>
            </wp:positionV>
            <wp:extent cx="453898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4538980" cy="36830"/>
                    </a:xfrm>
                    <a:prstGeom prst="rect">
                      <a:avLst/>
                    </a:prstGeom>
                    <a:noFill/>
                  </pic:spPr>
                </pic:pic>
              </a:graphicData>
            </a:graphic>
          </wp:anchor>
        </w:drawing>
        <w:t>UNITED STATES</w:t>
      </w:r>
    </w:p>
    <w:p>
      <w:pPr>
        <w:jc w:val="center"/>
        <w:ind w:right="19"/>
        <w:spacing w:after="0" w:line="210" w:lineRule="auto"/>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221615</wp:posOffset>
            </wp:positionV>
            <wp:extent cx="9893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9330" cy="635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140335</wp:posOffset>
            </wp:positionV>
            <wp:extent cx="99568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95680" cy="635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REPORT OF FOREIGN PRIVATE ISSUER PURSUANT TO RULE 13a-16 OR 15d-16</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UNDER THE SECURITIES EXCHANGE ACT OF 1934</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the month of September 2024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121920</wp:posOffset>
            </wp:positionV>
            <wp:extent cx="99568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95680" cy="6350"/>
                    </a:xfrm>
                    <a:prstGeom prst="rect">
                      <a:avLst/>
                    </a:prstGeom>
                    <a:noFill/>
                  </pic:spPr>
                </pic:pic>
              </a:graphicData>
            </a:graphic>
          </wp:anchor>
        </w:drawing>
      </w:r>
    </w:p>
    <w:p>
      <w:pPr>
        <w:spacing w:after="0" w:line="3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138430</wp:posOffset>
            </wp:positionV>
            <wp:extent cx="99568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5680" cy="635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Assar Gabrielssons Väg 9</w:t>
      </w:r>
    </w:p>
    <w:p>
      <w:pPr>
        <w:spacing w:after="0" w:line="19"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405 31 Göteborg, Sweden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122555</wp:posOffset>
            </wp:positionV>
            <wp:extent cx="99568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5680" cy="635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Indicate by check mark whether the registrant files or will file annual reports under cover of Form 20-F or Form 40-F.</w:t>
      </w:r>
    </w:p>
    <w:p>
      <w:pPr>
        <w:spacing w:after="0" w:line="168" w:lineRule="exact"/>
        <w:rPr>
          <w:sz w:val="24"/>
          <w:szCs w:val="24"/>
          <w:color w:val="auto"/>
        </w:rPr>
      </w:pPr>
    </w:p>
    <w:p>
      <w:pPr>
        <w:jc w:val="center"/>
        <w:spacing w:after="0" w:line="150" w:lineRule="exact"/>
        <w:tabs>
          <w:tab w:leader="none" w:pos="120" w:val="left"/>
        </w:tabs>
        <w:rPr>
          <w:sz w:val="20"/>
          <w:szCs w:val="20"/>
          <w:color w:val="auto"/>
        </w:rPr>
      </w:pPr>
      <w:r>
        <w:rPr>
          <w:rFonts w:ascii="Times New Roman" w:cs="Times New Roman" w:eastAsia="Times New Roman" w:hAnsi="Times New Roman"/>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187" w:lineRule="exact"/>
        <w:rPr>
          <w:sz w:val="24"/>
          <w:szCs w:val="24"/>
          <w:color w:val="auto"/>
        </w:rPr>
      </w:pPr>
    </w:p>
    <w:p>
      <w:pPr>
        <w:jc w:val="center"/>
        <w:ind w:right="19"/>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101(b)(1): </w:t>
      </w:r>
      <w:r>
        <w:rPr>
          <w:rFonts w:ascii="MS PGothic" w:cs="MS PGothic" w:eastAsia="MS PGothic" w:hAnsi="MS PGothic"/>
          <w:sz w:val="12"/>
          <w:szCs w:val="12"/>
          <w:color w:val="auto"/>
        </w:rPr>
        <w:t>☐</w:t>
      </w:r>
    </w:p>
    <w:p>
      <w:pPr>
        <w:spacing w:after="0" w:line="208" w:lineRule="exact"/>
        <w:rPr>
          <w:sz w:val="24"/>
          <w:szCs w:val="24"/>
          <w:color w:val="auto"/>
        </w:rPr>
      </w:pPr>
    </w:p>
    <w:p>
      <w:pPr>
        <w:jc w:val="center"/>
        <w:ind w:right="19"/>
        <w:spacing w:after="0" w:line="138"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submitting the Form 6-K in paper as permitted by Regulation S-T Rule 101(b)(7):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782955</wp:posOffset>
            </wp:positionH>
            <wp:positionV relativeFrom="paragraph">
              <wp:posOffset>165100</wp:posOffset>
            </wp:positionV>
            <wp:extent cx="453898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38980" cy="36830"/>
                    </a:xfrm>
                    <a:prstGeom prst="rect">
                      <a:avLst/>
                    </a:prstGeom>
                    <a:noFill/>
                  </pic:spPr>
                </pic:pic>
              </a:graphicData>
            </a:graphic>
          </wp:anchor>
        </w:drawing>
        <w:drawing>
          <wp:anchor simplePos="0" relativeHeight="251657728" behindDoc="1" locked="0" layoutInCell="0" allowOverlap="1">
            <wp:simplePos x="0" y="0"/>
            <wp:positionH relativeFrom="column">
              <wp:posOffset>782955</wp:posOffset>
            </wp:positionH>
            <wp:positionV relativeFrom="paragraph">
              <wp:posOffset>262255</wp:posOffset>
            </wp:positionV>
            <wp:extent cx="453898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38980" cy="36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-737870</wp:posOffset>
            </wp:positionH>
            <wp:positionV relativeFrom="paragraph">
              <wp:posOffset>53340</wp:posOffset>
            </wp:positionV>
            <wp:extent cx="7197090"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9019"/>
          </w:cols>
          <w:pgMar w:left="1440" w:top="10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3"/>
          <w:szCs w:val="13"/>
          <w:b w:val="1"/>
          <w:bCs w:val="1"/>
          <w:color w:val="auto"/>
        </w:rPr>
        <w:t>INFORMATION CONTAINED IN THIS REPORT ON FORM 6-K</w:t>
      </w:r>
    </w:p>
    <w:p>
      <w:pPr>
        <w:spacing w:after="0" w:line="1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3"/>
          <w:szCs w:val="13"/>
          <w:color w:val="auto"/>
        </w:rPr>
        <w:t>Attached as exhibits to this report on Form 6-K are (i) Polestar’s Management’s Discussion and Analysis of Financial Conditions and Results of Operations for Six months ended June 30, 2024 and 2023 which is attached as Exhibit 99.1; and (ii) Polestar’s Unaudited Condensed Consolidated Financial Statements as of June 30, 2024 and for the Six months ended June 30, 2024 and 2023, which are attached as Exhibit 99.2.</w:t>
      </w:r>
    </w:p>
    <w:p>
      <w:pPr>
        <w:spacing w:after="0" w:line="13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3"/>
          <w:szCs w:val="13"/>
          <w:color w:val="auto"/>
        </w:rPr>
        <w:t>The information contained in Exhibit 99.1 and Exhibit 99.2 shall be deemed to be incorporated by reference into Polestar’s registration statement on Form S-8 (File No: 333-267146) and to be a part thereof from the date on which this report is submitted, to the extent not superseded by documents or reports subsequently filed or furnished.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EXHIBIT INDEX</w:t>
      </w:r>
    </w:p>
    <w:p>
      <w:pPr>
        <w:spacing w:after="0" w:line="24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3"/>
          <w:szCs w:val="13"/>
          <w:b w:val="1"/>
          <w:bCs w:val="1"/>
          <w:u w:val="single" w:color="auto"/>
          <w:color w:val="auto"/>
        </w:rPr>
        <w:t>Exhibit No.</w:t>
      </w:r>
      <w:r>
        <w:rPr>
          <w:sz w:val="20"/>
          <w:szCs w:val="20"/>
          <w:color w:val="auto"/>
        </w:rPr>
        <w:tab/>
      </w:r>
      <w:r>
        <w:rPr>
          <w:rFonts w:ascii="Times New Roman" w:cs="Times New Roman" w:eastAsia="Times New Roman" w:hAnsi="Times New Roman"/>
          <w:sz w:val="12"/>
          <w:szCs w:val="12"/>
          <w:b w:val="1"/>
          <w:bCs w:val="1"/>
          <w:u w:val="single" w:color="auto"/>
          <w:color w:val="auto"/>
        </w:rPr>
        <w:t>Description of Exhibit</w:t>
      </w:r>
    </w:p>
    <w:p>
      <w:pPr>
        <w:spacing w:after="0" w:line="6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u w:val="single" w:color="auto"/>
          <w:color w:val="0000FF"/>
        </w:rPr>
        <w:t>99.1</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Management’s Discussion and Analysis of Financial Conditions and Results of Operations for the Six months ended June 30, 2024, and 2023.</w:t>
      </w:r>
    </w:p>
    <w:p>
      <w:pPr>
        <w:spacing w:after="0" w:line="6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3"/>
          <w:szCs w:val="13"/>
          <w:u w:val="single" w:color="auto"/>
          <w:color w:val="0000FF"/>
        </w:rPr>
        <w:t>99.2</w:t>
      </w:r>
      <w:r>
        <w:rPr>
          <w:rFonts w:ascii="Times New Roman" w:cs="Times New Roman" w:eastAsia="Times New Roman" w:hAnsi="Times New Roman"/>
          <w:sz w:val="13"/>
          <w:szCs w:val="13"/>
          <w:color w:val="0000FF"/>
        </w:rPr>
        <w:t xml:space="preserve"> </w:t>
      </w:r>
      <w:r>
        <w:rPr>
          <w:rFonts w:ascii="Times New Roman" w:cs="Times New Roman" w:eastAsia="Times New Roman" w:hAnsi="Times New Roman"/>
          <w:sz w:val="13"/>
          <w:szCs w:val="13"/>
          <w:color w:val="000000"/>
        </w:rPr>
        <w:t>Unaudited Condensed Consolidated Financial Statements as of June 30, 2024 and for the Six months ended June 30, 2024, and 2023.</w:t>
      </w:r>
    </w:p>
    <w:p>
      <w:pPr>
        <w:spacing w:after="0" w:line="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3"/>
          <w:szCs w:val="13"/>
          <w:color w:val="auto"/>
        </w:rPr>
        <w:t>101.INS XBRL Instance Document</w:t>
      </w:r>
    </w:p>
    <w:p>
      <w:pPr>
        <w:spacing w:after="0" w:line="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101.SCH XBRL Taxonomy Extension Schema Document.</w:t>
      </w:r>
    </w:p>
    <w:p>
      <w:pPr>
        <w:spacing w:after="0" w:line="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101.CAL XBRL Taxonomy Extension Calculation Linkbase Document.</w:t>
      </w:r>
    </w:p>
    <w:p>
      <w:pPr>
        <w:spacing w:after="0" w:line="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101.DEF XBRL Taxonomy Extension Definition Linkbase Document.</w:t>
      </w:r>
    </w:p>
    <w:p>
      <w:pPr>
        <w:spacing w:after="0" w:line="6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101.LAB XBRL Taxonomy Extension Label Linkbase Document.</w:t>
      </w:r>
    </w:p>
    <w:p>
      <w:pPr>
        <w:spacing w:after="0" w:line="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3"/>
          <w:szCs w:val="13"/>
          <w:color w:val="auto"/>
        </w:rPr>
        <w:t>101.PRE XBRL Taxonomy Extension Presentation Linkbase Document.</w:t>
      </w:r>
    </w:p>
    <w:p>
      <w:pPr>
        <w:spacing w:after="0" w:line="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3"/>
          <w:szCs w:val="13"/>
          <w:color w:val="auto"/>
        </w:rPr>
        <w:t>104 Cover Page Interactive Data File (formatted as inline XBRL and contained in Exhibit 101).</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3"/>
          <w:szCs w:val="13"/>
          <w:b w:val="1"/>
          <w:bCs w:val="1"/>
          <w:color w:val="auto"/>
        </w:rPr>
        <w:t>POLESTAR AUTOMOTIVE HOLDING UK PLC</w:t>
      </w:r>
    </w:p>
    <w:p>
      <w:pPr>
        <w:spacing w:after="0" w:line="140" w:lineRule="exact"/>
        <w:rPr>
          <w:sz w:val="20"/>
          <w:szCs w:val="20"/>
          <w:color w:val="auto"/>
        </w:rPr>
      </w:pPr>
    </w:p>
    <w:p>
      <w:pPr>
        <w:spacing w:after="0"/>
        <w:tabs>
          <w:tab w:leader="none" w:pos="1480" w:val="left"/>
          <w:tab w:leader="none" w:pos="1820" w:val="left"/>
        </w:tabs>
        <w:rPr>
          <w:sz w:val="20"/>
          <w:szCs w:val="20"/>
          <w:color w:val="auto"/>
        </w:rPr>
      </w:pPr>
      <w:r>
        <w:rPr>
          <w:rFonts w:ascii="Times New Roman" w:cs="Times New Roman" w:eastAsia="Times New Roman" w:hAnsi="Times New Roman"/>
          <w:sz w:val="13"/>
          <w:szCs w:val="13"/>
          <w:color w:val="auto"/>
        </w:rPr>
        <w:t>Date: September 30, 2024</w:t>
        <w:tab/>
        <w:t>By:</w:t>
      </w:r>
      <w:r>
        <w:rPr>
          <w:sz w:val="20"/>
          <w:szCs w:val="20"/>
          <w:color w:val="auto"/>
        </w:rPr>
        <w:tab/>
      </w:r>
      <w:r>
        <w:rPr>
          <w:rFonts w:ascii="Times New Roman" w:cs="Times New Roman" w:eastAsia="Times New Roman" w:hAnsi="Times New Roman"/>
          <w:sz w:val="12"/>
          <w:szCs w:val="12"/>
          <w:u w:val="single" w:color="auto"/>
          <w:color w:val="auto"/>
        </w:rPr>
        <w:t>/s/ Thomas Ingenlath</w:t>
      </w:r>
    </w:p>
    <w:p>
      <w:pPr>
        <w:ind w:left="3660"/>
        <w:spacing w:after="0" w:line="216" w:lineRule="auto"/>
        <w:rPr>
          <w:sz w:val="20"/>
          <w:szCs w:val="20"/>
          <w:color w:val="auto"/>
        </w:rPr>
      </w:pPr>
      <w:r>
        <w:rPr>
          <w:rFonts w:ascii="Times New Roman" w:cs="Times New Roman" w:eastAsia="Times New Roman" w:hAnsi="Times New Roman"/>
          <w:sz w:val="13"/>
          <w:szCs w:val="13"/>
          <w:color w:val="auto"/>
        </w:rPr>
        <w:t>Name: Thomas Ingenlath</w:t>
      </w:r>
    </w:p>
    <w:p>
      <w:pPr>
        <w:ind w:left="3660"/>
        <w:spacing w:after="0"/>
        <w:tabs>
          <w:tab w:leader="none" w:pos="4060" w:val="left"/>
        </w:tabs>
        <w:rPr>
          <w:sz w:val="20"/>
          <w:szCs w:val="20"/>
          <w:color w:val="auto"/>
        </w:rPr>
      </w:pPr>
      <w:r>
        <w:rPr>
          <w:rFonts w:ascii="Times New Roman" w:cs="Times New Roman" w:eastAsia="Times New Roman" w:hAnsi="Times New Roman"/>
          <w:sz w:val="13"/>
          <w:szCs w:val="13"/>
          <w:color w:val="auto"/>
        </w:rPr>
        <w:t>Title:</w:t>
        <w:tab/>
        <w:t>Chief Executive Officer</w:t>
      </w:r>
    </w:p>
    <w:p>
      <w:pPr>
        <w:spacing w:after="0" w:line="124" w:lineRule="exact"/>
        <w:rPr>
          <w:sz w:val="20"/>
          <w:szCs w:val="20"/>
          <w:color w:val="auto"/>
        </w:rPr>
      </w:pPr>
    </w:p>
    <w:p>
      <w:pPr>
        <w:ind w:left="3660"/>
        <w:spacing w:after="0"/>
        <w:tabs>
          <w:tab w:leader="none" w:pos="398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u w:val="single" w:color="auto"/>
          <w:color w:val="auto"/>
        </w:rPr>
        <w:t>/s/ Per Ansgar</w:t>
      </w:r>
    </w:p>
    <w:p>
      <w:pPr>
        <w:ind w:left="3660"/>
        <w:spacing w:after="0" w:line="216" w:lineRule="auto"/>
        <w:rPr>
          <w:sz w:val="20"/>
          <w:szCs w:val="20"/>
          <w:color w:val="auto"/>
        </w:rPr>
      </w:pPr>
      <w:r>
        <w:rPr>
          <w:rFonts w:ascii="Times New Roman" w:cs="Times New Roman" w:eastAsia="Times New Roman" w:hAnsi="Times New Roman"/>
          <w:sz w:val="13"/>
          <w:szCs w:val="13"/>
          <w:color w:val="auto"/>
        </w:rPr>
        <w:t>Name: Per Ansgar</w:t>
      </w:r>
    </w:p>
    <w:p>
      <w:pPr>
        <w:ind w:left="3660"/>
        <w:spacing w:after="0"/>
        <w:tabs>
          <w:tab w:leader="none" w:pos="4060" w:val="left"/>
        </w:tabs>
        <w:rPr>
          <w:sz w:val="20"/>
          <w:szCs w:val="20"/>
          <w:color w:val="auto"/>
        </w:rPr>
      </w:pPr>
      <w:r>
        <w:rPr>
          <w:rFonts w:ascii="Times New Roman" w:cs="Times New Roman" w:eastAsia="Times New Roman" w:hAnsi="Times New Roman"/>
          <w:sz w:val="13"/>
          <w:szCs w:val="13"/>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280"/>
          </w:cols>
          <w:pgMar w:left="300" w:top="65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Conditions and Results of Operations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discussion includes information that is relevant to understanding Polestar’s financial condition and results of operations and should be read together with the Unaudited Condensed Consolidated Financial</w:t>
      </w:r>
    </w:p>
    <w:p>
      <w:pPr>
        <w:spacing w:after="0" w:line="1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2"/>
          <w:szCs w:val="12"/>
          <w:color w:val="auto"/>
        </w:rPr>
        <w:t>Statements for the six months ended June 30, 2024 and 2023, included elsewhere in this report. Refer to the Consolidated Financial Statements for Polestar Automotive Holding UK PLC, as of December 31, 2023 and 2022, and for the three years ended December 31, 2023 that were included in the Form 20-F filed with the SEC on August 14, 2024 for more information about the year ended December 31, 2023. All figures presented in the tables below are in thousands of U.S. dollars unless otherwise stated. Additionally, certain 2023 figures have been restated. Refer to Note 18 - Restatement of prior period financial statements for details.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figures</w:t>
      </w:r>
    </w:p>
    <w:p>
      <w:pPr>
        <w:spacing w:after="0" w:line="96"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63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1020" w:type="dxa"/>
            <w:vAlign w:val="bottom"/>
            <w:shd w:val="clear" w:color="auto" w:fill="DBDBDB"/>
          </w:tcPr>
          <w:p>
            <w:pPr>
              <w:jc w:val="center"/>
              <w:ind w:right="276"/>
              <w:spacing w:after="0"/>
              <w:rPr>
                <w:sz w:val="20"/>
                <w:szCs w:val="20"/>
                <w:color w:val="auto"/>
              </w:rPr>
            </w:pPr>
            <w:r>
              <w:rPr>
                <w:rFonts w:ascii="Times New Roman" w:cs="Times New Roman" w:eastAsia="Times New Roman" w:hAnsi="Times New Roman"/>
                <w:sz w:val="13"/>
                <w:szCs w:val="13"/>
                <w:b w:val="1"/>
                <w:bCs w:val="1"/>
                <w:color w:val="auto"/>
                <w:w w:val="96"/>
              </w:rPr>
              <w:t>June 30th,</w:t>
            </w:r>
          </w:p>
        </w:tc>
        <w:tc>
          <w:tcPr>
            <w:tcW w:w="120" w:type="dxa"/>
            <w:vAlign w:val="bottom"/>
            <w:shd w:val="clear" w:color="auto" w:fill="DBDBDB"/>
          </w:tcPr>
          <w:p>
            <w:pPr>
              <w:spacing w:after="0"/>
              <w:rPr>
                <w:sz w:val="16"/>
                <w:szCs w:val="16"/>
                <w:color w:val="auto"/>
              </w:rPr>
            </w:pPr>
          </w:p>
        </w:tc>
        <w:tc>
          <w:tcPr>
            <w:tcW w:w="1220" w:type="dxa"/>
            <w:vAlign w:val="bottom"/>
            <w:vMerge w:val="restart"/>
            <w:shd w:val="clear" w:color="auto" w:fill="DBDBDB"/>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December 31, 2023</w:t>
            </w:r>
          </w:p>
        </w:tc>
        <w:tc>
          <w:tcPr>
            <w:tcW w:w="0" w:type="dxa"/>
            <w:vAlign w:val="bottom"/>
          </w:tcPr>
          <w:p>
            <w:pPr>
              <w:spacing w:after="0"/>
              <w:rPr>
                <w:sz w:val="1"/>
                <w:szCs w:val="1"/>
                <w:color w:val="auto"/>
              </w:rPr>
            </w:pPr>
          </w:p>
        </w:tc>
      </w:tr>
      <w:tr>
        <w:trPr>
          <w:trHeight w:val="188"/>
        </w:trPr>
        <w:tc>
          <w:tcPr>
            <w:tcW w:w="6340" w:type="dxa"/>
            <w:vAlign w:val="bottom"/>
            <w:shd w:val="clear" w:color="auto" w:fill="DBDBDB"/>
          </w:tcPr>
          <w:p>
            <w:pPr>
              <w:spacing w:after="0"/>
              <w:rPr>
                <w:sz w:val="16"/>
                <w:szCs w:val="16"/>
                <w:color w:val="auto"/>
              </w:rPr>
            </w:pPr>
          </w:p>
        </w:tc>
        <w:tc>
          <w:tcPr>
            <w:tcW w:w="300" w:type="dxa"/>
            <w:vAlign w:val="bottom"/>
            <w:shd w:val="clear" w:color="auto" w:fill="DBDBDB"/>
          </w:tcPr>
          <w:p>
            <w:pPr>
              <w:spacing w:after="0"/>
              <w:rPr>
                <w:sz w:val="16"/>
                <w:szCs w:val="16"/>
                <w:color w:val="auto"/>
              </w:rPr>
            </w:pPr>
          </w:p>
        </w:tc>
        <w:tc>
          <w:tcPr>
            <w:tcW w:w="1040" w:type="dxa"/>
            <w:vAlign w:val="bottom"/>
            <w:shd w:val="clear" w:color="auto" w:fill="DBDBDB"/>
          </w:tcPr>
          <w:p>
            <w:pPr>
              <w:spacing w:after="0"/>
              <w:rPr>
                <w:sz w:val="16"/>
                <w:szCs w:val="16"/>
                <w:color w:val="auto"/>
              </w:rPr>
            </w:pPr>
          </w:p>
        </w:tc>
        <w:tc>
          <w:tcPr>
            <w:tcW w:w="32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shd w:val="clear" w:color="auto" w:fill="DBDBDB"/>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0" w:type="dxa"/>
            <w:vAlign w:val="bottom"/>
            <w:tcBorders>
              <w:bottom w:val="single" w:sz="8" w:color="auto"/>
            </w:tcBorders>
            <w:shd w:val="clear" w:color="auto" w:fill="DBDBDB"/>
          </w:tcPr>
          <w:p>
            <w:pPr>
              <w:spacing w:after="0"/>
              <w:rPr>
                <w:sz w:val="16"/>
                <w:szCs w:val="16"/>
                <w:color w:val="auto"/>
              </w:rPr>
            </w:pPr>
          </w:p>
        </w:tc>
        <w:tc>
          <w:tcPr>
            <w:tcW w:w="122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Statement of financial position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668,911</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768,927</w:t>
            </w:r>
          </w:p>
        </w:tc>
        <w:tc>
          <w:tcPr>
            <w:tcW w:w="0" w:type="dxa"/>
            <w:vAlign w:val="bottom"/>
          </w:tcPr>
          <w:p>
            <w:pPr>
              <w:spacing w:after="0"/>
              <w:rPr>
                <w:sz w:val="1"/>
                <w:szCs w:val="1"/>
                <w:color w:val="auto"/>
              </w:rPr>
            </w:pPr>
          </w:p>
        </w:tc>
      </w:tr>
      <w:tr>
        <w:trPr>
          <w:trHeight w:val="182"/>
        </w:trPr>
        <w:tc>
          <w:tcPr>
            <w:tcW w:w="6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assets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3,976,641</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4,121,304</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Total equity</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1,819,532</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1,262,299</w:t>
            </w:r>
          </w:p>
        </w:tc>
        <w:tc>
          <w:tcPr>
            <w:tcW w:w="0" w:type="dxa"/>
            <w:vAlign w:val="bottom"/>
          </w:tcPr>
          <w:p>
            <w:pPr>
              <w:spacing w:after="0"/>
              <w:rPr>
                <w:sz w:val="1"/>
                <w:szCs w:val="1"/>
                <w:color w:val="auto"/>
              </w:rPr>
            </w:pPr>
          </w:p>
        </w:tc>
      </w:tr>
      <w:tr>
        <w:trPr>
          <w:trHeight w:val="182"/>
        </w:trPr>
        <w:tc>
          <w:tcPr>
            <w:tcW w:w="6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liabilities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(5,796,173)</w:t>
            </w: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(5,383,603)</w:t>
            </w:r>
          </w:p>
        </w:tc>
        <w:tc>
          <w:tcPr>
            <w:tcW w:w="0" w:type="dxa"/>
            <w:vAlign w:val="bottom"/>
          </w:tcPr>
          <w:p>
            <w:pPr>
              <w:spacing w:after="0"/>
              <w:rPr>
                <w:sz w:val="1"/>
                <w:szCs w:val="1"/>
                <w:color w:val="auto"/>
              </w:rPr>
            </w:pPr>
          </w:p>
        </w:tc>
      </w:tr>
      <w:tr>
        <w:trPr>
          <w:trHeight w:val="193"/>
        </w:trPr>
        <w:tc>
          <w:tcPr>
            <w:tcW w:w="6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3"/>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34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2380" w:type="dxa"/>
            <w:vAlign w:val="bottom"/>
            <w:gridSpan w:val="3"/>
            <w:shd w:val="clear" w:color="auto" w:fill="DBDBDB"/>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For the six months ended</w:t>
            </w:r>
          </w:p>
        </w:tc>
        <w:tc>
          <w:tcPr>
            <w:tcW w:w="120" w:type="dxa"/>
            <w:vAlign w:val="bottom"/>
            <w:shd w:val="clear" w:color="auto" w:fill="DBDBDB"/>
          </w:tcPr>
          <w:p>
            <w:pPr>
              <w:spacing w:after="0"/>
              <w:rPr>
                <w:sz w:val="15"/>
                <w:szCs w:val="15"/>
                <w:color w:val="auto"/>
              </w:rPr>
            </w:pPr>
          </w:p>
        </w:tc>
        <w:tc>
          <w:tcPr>
            <w:tcW w:w="1220" w:type="dxa"/>
            <w:vAlign w:val="bottom"/>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For the year ended</w:t>
            </w:r>
          </w:p>
        </w:tc>
        <w:tc>
          <w:tcPr>
            <w:tcW w:w="0" w:type="dxa"/>
            <w:vAlign w:val="bottom"/>
          </w:tcPr>
          <w:p>
            <w:pPr>
              <w:spacing w:after="0"/>
              <w:rPr>
                <w:sz w:val="1"/>
                <w:szCs w:val="1"/>
                <w:color w:val="auto"/>
              </w:rPr>
            </w:pPr>
          </w:p>
        </w:tc>
      </w:tr>
      <w:tr>
        <w:trPr>
          <w:trHeight w:val="198"/>
        </w:trPr>
        <w:tc>
          <w:tcPr>
            <w:tcW w:w="634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1360" w:type="dxa"/>
            <w:vAlign w:val="bottom"/>
            <w:tcBorders>
              <w:bottom w:val="single" w:sz="8" w:color="DBDBDB"/>
            </w:tcBorders>
            <w:gridSpan w:val="2"/>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10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220" w:type="dxa"/>
            <w:vAlign w:val="bottom"/>
            <w:tcBorders>
              <w:bottom w:val="single" w:sz="8" w:color="DBDBDB"/>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72"/>
        </w:trPr>
        <w:tc>
          <w:tcPr>
            <w:tcW w:w="63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5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4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spacing w:after="0"/>
              <w:rPr>
                <w:sz w:val="18"/>
                <w:szCs w:val="18"/>
                <w:color w:val="auto"/>
              </w:rPr>
            </w:pPr>
          </w:p>
        </w:tc>
        <w:tc>
          <w:tcPr>
            <w:tcW w:w="1040" w:type="dxa"/>
            <w:vAlign w:val="bottom"/>
            <w:tcBorders>
              <w:bottom w:val="single" w:sz="8" w:color="DBDBDB"/>
            </w:tcBorders>
            <w:shd w:val="clear" w:color="auto" w:fill="DBDBDB"/>
          </w:tcPr>
          <w:p>
            <w:pPr>
              <w:spacing w:after="0"/>
              <w:rPr>
                <w:sz w:val="18"/>
                <w:szCs w:val="18"/>
                <w:color w:val="auto"/>
              </w:rPr>
            </w:pPr>
          </w:p>
        </w:tc>
        <w:tc>
          <w:tcPr>
            <w:tcW w:w="32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center"/>
              <w:ind w:right="236"/>
              <w:spacing w:after="0"/>
              <w:rPr>
                <w:sz w:val="20"/>
                <w:szCs w:val="20"/>
                <w:color w:val="auto"/>
              </w:rPr>
            </w:pPr>
            <w:r>
              <w:rPr>
                <w:rFonts w:ascii="Times New Roman" w:cs="Times New Roman" w:eastAsia="Times New Roman" w:hAnsi="Times New Roman"/>
                <w:sz w:val="13"/>
                <w:szCs w:val="13"/>
                <w:b w:val="1"/>
                <w:bCs w:val="1"/>
                <w:color w:val="auto"/>
                <w:w w:val="98"/>
              </w:rPr>
              <w:t>(Restated)</w:t>
            </w:r>
          </w:p>
        </w:tc>
        <w:tc>
          <w:tcPr>
            <w:tcW w:w="12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Statement of loss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905,813</w:t>
            </w: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1,237,635</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2,378,562</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(933,111)</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(1,216,020)</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(2,791,643)</w:t>
            </w:r>
          </w:p>
        </w:tc>
        <w:tc>
          <w:tcPr>
            <w:tcW w:w="0" w:type="dxa"/>
            <w:vAlign w:val="bottom"/>
          </w:tcPr>
          <w:p>
            <w:pPr>
              <w:spacing w:after="0"/>
              <w:rPr>
                <w:sz w:val="1"/>
                <w:szCs w:val="1"/>
                <w:color w:val="auto"/>
              </w:rPr>
            </w:pPr>
          </w:p>
        </w:tc>
      </w:tr>
      <w:tr>
        <w:trPr>
          <w:trHeight w:val="29"/>
        </w:trPr>
        <w:tc>
          <w:tcPr>
            <w:tcW w:w="634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profit/(loss)</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(27,298)</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21,615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(413,081)</w:t>
            </w:r>
          </w:p>
        </w:tc>
        <w:tc>
          <w:tcPr>
            <w:tcW w:w="0" w:type="dxa"/>
            <w:vAlign w:val="bottom"/>
          </w:tcPr>
          <w:p>
            <w:pPr>
              <w:spacing w:after="0"/>
              <w:rPr>
                <w:sz w:val="1"/>
                <w:szCs w:val="1"/>
                <w:color w:val="auto"/>
              </w:rPr>
            </w:pPr>
          </w:p>
        </w:tc>
      </w:tr>
      <w:tr>
        <w:trPr>
          <w:trHeight w:val="17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(437,151)</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(519,098)</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(1,066,885)</w:t>
            </w:r>
          </w:p>
        </w:tc>
        <w:tc>
          <w:tcPr>
            <w:tcW w:w="0" w:type="dxa"/>
            <w:vAlign w:val="bottom"/>
          </w:tcPr>
          <w:p>
            <w:pPr>
              <w:spacing w:after="0"/>
              <w:rPr>
                <w:sz w:val="1"/>
                <w:szCs w:val="1"/>
                <w:color w:val="auto"/>
              </w:rPr>
            </w:pPr>
          </w:p>
        </w:tc>
      </w:tr>
      <w:tr>
        <w:trPr>
          <w:trHeight w:val="29"/>
        </w:trPr>
        <w:tc>
          <w:tcPr>
            <w:tcW w:w="634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(464,449)</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(497,483)</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(1,479,966)</w:t>
            </w:r>
          </w:p>
        </w:tc>
        <w:tc>
          <w:tcPr>
            <w:tcW w:w="0" w:type="dxa"/>
            <w:vAlign w:val="bottom"/>
          </w:tcPr>
          <w:p>
            <w:pPr>
              <w:spacing w:after="0"/>
              <w:rPr>
                <w:sz w:val="1"/>
                <w:szCs w:val="1"/>
                <w:color w:val="auto"/>
              </w:rPr>
            </w:pPr>
          </w:p>
        </w:tc>
      </w:tr>
      <w:tr>
        <w:trPr>
          <w:trHeight w:val="17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income and expense, net</w:t>
            </w: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(195,821)</w:t>
            </w: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(80,167)</w:t>
            </w: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(143,867)</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139,638</w:t>
            </w: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232,995</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443,168</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2,500</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10,750</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22,000</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Share of losses in associates</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(4,350)</w:t>
            </w: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(43,304)</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(17,003)</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(6,925)</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7,138</w:t>
            </w:r>
          </w:p>
        </w:tc>
        <w:tc>
          <w:tcPr>
            <w:tcW w:w="0" w:type="dxa"/>
            <w:vAlign w:val="bottom"/>
          </w:tcPr>
          <w:p>
            <w:pPr>
              <w:spacing w:after="0"/>
              <w:rPr>
                <w:sz w:val="1"/>
                <w:szCs w:val="1"/>
                <w:color w:val="auto"/>
              </w:rPr>
            </w:pPr>
          </w:p>
        </w:tc>
      </w:tr>
      <w:tr>
        <w:trPr>
          <w:trHeight w:val="29"/>
        </w:trPr>
        <w:tc>
          <w:tcPr>
            <w:tcW w:w="634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(539,485)</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(340,830)</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(1,194,831)</w:t>
            </w:r>
          </w:p>
        </w:tc>
        <w:tc>
          <w:tcPr>
            <w:tcW w:w="0" w:type="dxa"/>
            <w:vAlign w:val="bottom"/>
          </w:tcPr>
          <w:p>
            <w:pPr>
              <w:spacing w:after="0"/>
              <w:rPr>
                <w:sz w:val="1"/>
                <w:szCs w:val="1"/>
                <w:color w:val="auto"/>
              </w:rPr>
            </w:pPr>
          </w:p>
        </w:tc>
      </w:tr>
      <w:tr>
        <w:trPr>
          <w:trHeight w:val="163"/>
        </w:trPr>
        <w:tc>
          <w:tcPr>
            <w:tcW w:w="63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Statement of cash flows</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for)/provided by operating activities</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(169,662)</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(660,242)</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(1,859,842)</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Cash used for investing activities</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(355,085)</w:t>
            </w: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(279,168)</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(439,399)</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445,120</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1,061,440</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2,093,304</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340" w:type="dxa"/>
            <w:vAlign w:val="bottom"/>
            <w:shd w:val="clear" w:color="auto" w:fill="DBDBDB"/>
          </w:tcPr>
          <w:p>
            <w:pPr>
              <w:spacing w:after="0"/>
              <w:rPr>
                <w:sz w:val="15"/>
                <w:szCs w:val="15"/>
                <w:color w:val="auto"/>
              </w:rPr>
            </w:pPr>
          </w:p>
        </w:tc>
        <w:tc>
          <w:tcPr>
            <w:tcW w:w="3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Key metrics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Class A shares outstanding at period end</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2,060,461,997</w:t>
            </w: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467,914,248</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467,976,748</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B shares outstanding at period end</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49,892,575</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1,642,233,575</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1,642,233,575</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Share price at period end</w:t>
            </w:r>
            <w:r>
              <w:rPr>
                <w:rFonts w:ascii="Times New Roman" w:cs="Times New Roman" w:eastAsia="Times New Roman" w:hAnsi="Times New Roman"/>
                <w:sz w:val="16"/>
                <w:szCs w:val="16"/>
                <w:color w:val="auto"/>
                <w:vertAlign w:val="superscript"/>
              </w:rPr>
              <w:t>1</w:t>
            </w:r>
          </w:p>
        </w:tc>
        <w:tc>
          <w:tcPr>
            <w:tcW w:w="300" w:type="dxa"/>
            <w:vAlign w:val="bottom"/>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0.79</w:t>
            </w:r>
          </w:p>
        </w:tc>
        <w:tc>
          <w:tcPr>
            <w:tcW w:w="320" w:type="dxa"/>
            <w:vAlign w:val="bottom"/>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2.26</w:t>
            </w:r>
          </w:p>
        </w:tc>
        <w:tc>
          <w:tcPr>
            <w:tcW w:w="0" w:type="dxa"/>
            <w:vAlign w:val="bottom"/>
          </w:tcPr>
          <w:p>
            <w:pPr>
              <w:spacing w:after="0"/>
              <w:rPr>
                <w:sz w:val="1"/>
                <w:szCs w:val="1"/>
                <w:color w:val="auto"/>
              </w:rPr>
            </w:pPr>
          </w:p>
        </w:tc>
      </w:tr>
      <w:tr>
        <w:trPr>
          <w:trHeight w:val="18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(0.26)</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(0.16)</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(0.57)</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3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Equity ratio</w:t>
            </w:r>
            <w:r>
              <w:rPr>
                <w:rFonts w:ascii="Times New Roman" w:cs="Times New Roman" w:eastAsia="Times New Roman" w:hAnsi="Times New Roman"/>
                <w:sz w:val="16"/>
                <w:szCs w:val="16"/>
                <w:color w:val="auto"/>
                <w:vertAlign w:val="superscript"/>
              </w:rPr>
              <w:t>2</w:t>
            </w:r>
          </w:p>
        </w:tc>
        <w:tc>
          <w:tcPr>
            <w:tcW w:w="300" w:type="dxa"/>
            <w:vAlign w:val="bottom"/>
            <w:shd w:val="clear" w:color="auto" w:fill="DBDBDB"/>
          </w:tcPr>
          <w:p>
            <w:pPr>
              <w:spacing w:after="0"/>
              <w:rPr>
                <w:sz w:val="18"/>
                <w:szCs w:val="18"/>
                <w:color w:val="auto"/>
              </w:rPr>
            </w:pPr>
          </w:p>
        </w:tc>
        <w:tc>
          <w:tcPr>
            <w:tcW w:w="104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(45.76)%</w:t>
            </w:r>
          </w:p>
        </w:tc>
        <w:tc>
          <w:tcPr>
            <w:tcW w:w="32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(10.69)%</w:t>
            </w: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(30.63)%</w:t>
            </w:r>
          </w:p>
        </w:tc>
        <w:tc>
          <w:tcPr>
            <w:tcW w:w="0" w:type="dxa"/>
            <w:vAlign w:val="bottom"/>
          </w:tcPr>
          <w:p>
            <w:pPr>
              <w:spacing w:after="0"/>
              <w:rPr>
                <w:sz w:val="1"/>
                <w:szCs w:val="1"/>
                <w:color w:val="auto"/>
              </w:rPr>
            </w:pPr>
          </w:p>
        </w:tc>
      </w:tr>
      <w:tr>
        <w:trPr>
          <w:trHeight w:val="21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volumes</w:t>
            </w:r>
            <w:r>
              <w:rPr>
                <w:rFonts w:ascii="Times New Roman" w:cs="Times New Roman" w:eastAsia="Times New Roman" w:hAnsi="Times New Roman"/>
                <w:sz w:val="16"/>
                <w:szCs w:val="16"/>
                <w:color w:val="auto"/>
                <w:vertAlign w:val="superscript"/>
              </w:rPr>
              <w:t>3</w:t>
            </w:r>
          </w:p>
        </w:tc>
        <w:tc>
          <w:tcPr>
            <w:tcW w:w="300" w:type="dxa"/>
            <w:vAlign w:val="bottom"/>
          </w:tcPr>
          <w:p>
            <w:pPr>
              <w:spacing w:after="0"/>
              <w:rPr>
                <w:sz w:val="18"/>
                <w:szCs w:val="18"/>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20,371</w:t>
            </w:r>
          </w:p>
        </w:tc>
        <w:tc>
          <w:tcPr>
            <w:tcW w:w="32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27,868</w:t>
            </w:r>
          </w:p>
        </w:tc>
        <w:tc>
          <w:tcPr>
            <w:tcW w:w="120" w:type="dxa"/>
            <w:vAlign w:val="bottom"/>
          </w:tcPr>
          <w:p>
            <w:pPr>
              <w:spacing w:after="0"/>
              <w:rPr>
                <w:sz w:val="18"/>
                <w:szCs w:val="18"/>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54,626</w:t>
            </w:r>
          </w:p>
        </w:tc>
        <w:tc>
          <w:tcPr>
            <w:tcW w:w="0" w:type="dxa"/>
            <w:vAlign w:val="bottom"/>
          </w:tcPr>
          <w:p>
            <w:pPr>
              <w:spacing w:after="0"/>
              <w:rPr>
                <w:sz w:val="1"/>
                <w:szCs w:val="1"/>
                <w:color w:val="auto"/>
              </w:rPr>
            </w:pPr>
          </w:p>
        </w:tc>
      </w:tr>
      <w:tr>
        <w:trPr>
          <w:trHeight w:val="192"/>
        </w:trPr>
        <w:tc>
          <w:tcPr>
            <w:tcW w:w="63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Volume of external vehicles without repurchase obligations</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18,486</w:t>
            </w: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26,123</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49,809</w:t>
            </w:r>
          </w:p>
        </w:tc>
        <w:tc>
          <w:tcPr>
            <w:tcW w:w="0" w:type="dxa"/>
            <w:vAlign w:val="bottom"/>
          </w:tcPr>
          <w:p>
            <w:pPr>
              <w:spacing w:after="0"/>
              <w:rPr>
                <w:sz w:val="1"/>
                <w:szCs w:val="1"/>
                <w:color w:val="auto"/>
              </w:rPr>
            </w:pPr>
          </w:p>
        </w:tc>
      </w:tr>
      <w:tr>
        <w:trPr>
          <w:trHeight w:val="182"/>
        </w:trPr>
        <w:tc>
          <w:tcPr>
            <w:tcW w:w="6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Volume of external vehicles with repurchase obligations</w:t>
            </w:r>
          </w:p>
        </w:tc>
        <w:tc>
          <w:tcPr>
            <w:tcW w:w="300" w:type="dxa"/>
            <w:vAlign w:val="bottom"/>
          </w:tcPr>
          <w:p>
            <w:pPr>
              <w:spacing w:after="0"/>
              <w:rPr>
                <w:sz w:val="15"/>
                <w:szCs w:val="15"/>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978</w:t>
            </w:r>
          </w:p>
        </w:tc>
        <w:tc>
          <w:tcPr>
            <w:tcW w:w="32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1,229</w:t>
            </w:r>
          </w:p>
        </w:tc>
        <w:tc>
          <w:tcPr>
            <w:tcW w:w="120" w:type="dxa"/>
            <w:vAlign w:val="bottom"/>
          </w:tcPr>
          <w:p>
            <w:pPr>
              <w:spacing w:after="0"/>
              <w:rPr>
                <w:sz w:val="15"/>
                <w:szCs w:val="15"/>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2,859</w:t>
            </w:r>
          </w:p>
        </w:tc>
        <w:tc>
          <w:tcPr>
            <w:tcW w:w="0" w:type="dxa"/>
            <w:vAlign w:val="bottom"/>
          </w:tcPr>
          <w:p>
            <w:pPr>
              <w:spacing w:after="0"/>
              <w:rPr>
                <w:sz w:val="1"/>
                <w:szCs w:val="1"/>
                <w:color w:val="auto"/>
              </w:rPr>
            </w:pPr>
          </w:p>
        </w:tc>
      </w:tr>
      <w:tr>
        <w:trPr>
          <w:trHeight w:val="29"/>
        </w:trPr>
        <w:tc>
          <w:tcPr>
            <w:tcW w:w="6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3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Volume of internal vehicles</w:t>
            </w:r>
          </w:p>
        </w:tc>
        <w:tc>
          <w:tcPr>
            <w:tcW w:w="30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907</w:t>
            </w:r>
          </w:p>
        </w:tc>
        <w:tc>
          <w:tcPr>
            <w:tcW w:w="32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516</w:t>
            </w: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1,958</w:t>
            </w:r>
          </w:p>
        </w:tc>
        <w:tc>
          <w:tcPr>
            <w:tcW w:w="0" w:type="dxa"/>
            <w:vAlign w:val="bottom"/>
          </w:tcPr>
          <w:p>
            <w:pPr>
              <w:spacing w:after="0"/>
              <w:rPr>
                <w:sz w:val="1"/>
                <w:szCs w:val="1"/>
                <w:color w:val="auto"/>
              </w:rPr>
            </w:pPr>
          </w:p>
        </w:tc>
      </w:tr>
      <w:tr>
        <w:trPr>
          <w:trHeight w:val="232"/>
        </w:trPr>
        <w:tc>
          <w:tcPr>
            <w:tcW w:w="6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Markets</w:t>
            </w:r>
            <w:r>
              <w:rPr>
                <w:rFonts w:ascii="Times New Roman" w:cs="Times New Roman" w:eastAsia="Times New Roman" w:hAnsi="Times New Roman"/>
                <w:sz w:val="16"/>
                <w:szCs w:val="16"/>
                <w:color w:val="auto"/>
                <w:vertAlign w:val="superscript"/>
              </w:rPr>
              <w:t>4</w:t>
            </w:r>
          </w:p>
        </w:tc>
        <w:tc>
          <w:tcPr>
            <w:tcW w:w="300" w:type="dxa"/>
            <w:vAlign w:val="bottom"/>
          </w:tcPr>
          <w:p>
            <w:pPr>
              <w:spacing w:after="0"/>
              <w:rPr>
                <w:sz w:val="20"/>
                <w:szCs w:val="20"/>
                <w:color w:val="auto"/>
              </w:rPr>
            </w:pP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w:t>
            </w:r>
          </w:p>
        </w:tc>
        <w:tc>
          <w:tcPr>
            <w:tcW w:w="32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w:t>
            </w:r>
          </w:p>
        </w:tc>
        <w:tc>
          <w:tcPr>
            <w:tcW w:w="12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1" w:right="299" w:bottom="1440" w:gutter="0" w:footer="0" w:header="0"/>
        </w:sectPr>
      </w:pPr>
    </w:p>
    <w:bookmarkStart w:id="3" w:name="page4"/>
    <w:bookmarkEnd w:id="3"/>
    <w:tbl>
      <w:tblPr>
        <w:tblLayout w:type="fixed"/>
        <w:tblInd w:w="460" w:type="dxa"/>
        <w:tblCellMar>
          <w:top w:w="0" w:type="dxa"/>
          <w:left w:w="0" w:type="dxa"/>
          <w:bottom w:w="0" w:type="dxa"/>
          <w:right w:w="0" w:type="dxa"/>
        </w:tblCellMar>
      </w:tblPr>
      <w:tr>
        <w:trPr>
          <w:trHeight w:val="212"/>
        </w:trPr>
        <w:tc>
          <w:tcPr>
            <w:tcW w:w="404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Locations</w:t>
            </w:r>
            <w:r>
              <w:rPr>
                <w:rFonts w:ascii="Times New Roman" w:cs="Times New Roman" w:eastAsia="Times New Roman" w:hAnsi="Times New Roman"/>
                <w:sz w:val="16"/>
                <w:szCs w:val="16"/>
                <w:color w:val="auto"/>
                <w:vertAlign w:val="superscript"/>
              </w:rPr>
              <w:t>5</w:t>
            </w:r>
          </w:p>
        </w:tc>
        <w:tc>
          <w:tcPr>
            <w:tcW w:w="4080" w:type="dxa"/>
            <w:vAlign w:val="bottom"/>
            <w:shd w:val="clear" w:color="auto" w:fill="DBDBDB"/>
          </w:tcPr>
          <w:p>
            <w:pPr>
              <w:jc w:val="right"/>
              <w:ind w:right="456"/>
              <w:spacing w:after="0"/>
              <w:rPr>
                <w:sz w:val="20"/>
                <w:szCs w:val="20"/>
                <w:color w:val="auto"/>
              </w:rPr>
            </w:pPr>
            <w:r>
              <w:rPr>
                <w:rFonts w:ascii="Times New Roman" w:cs="Times New Roman" w:eastAsia="Times New Roman" w:hAnsi="Times New Roman"/>
                <w:sz w:val="13"/>
                <w:szCs w:val="13"/>
                <w:color w:val="auto"/>
              </w:rPr>
              <w:t>189</w:t>
            </w:r>
          </w:p>
        </w:tc>
        <w:tc>
          <w:tcPr>
            <w:tcW w:w="1340" w:type="dxa"/>
            <w:vAlign w:val="bottom"/>
            <w:shd w:val="clear" w:color="auto" w:fill="DBDBDB"/>
          </w:tcPr>
          <w:p>
            <w:pPr>
              <w:jc w:val="right"/>
              <w:ind w:right="456"/>
              <w:spacing w:after="0"/>
              <w:rPr>
                <w:sz w:val="20"/>
                <w:szCs w:val="20"/>
                <w:color w:val="auto"/>
              </w:rPr>
            </w:pPr>
            <w:r>
              <w:rPr>
                <w:rFonts w:ascii="Times New Roman" w:cs="Times New Roman" w:eastAsia="Times New Roman" w:hAnsi="Times New Roman"/>
                <w:sz w:val="13"/>
                <w:szCs w:val="13"/>
                <w:color w:val="auto"/>
              </w:rPr>
              <w:t>150</w:t>
            </w:r>
          </w:p>
        </w:tc>
        <w:tc>
          <w:tcPr>
            <w:tcW w:w="90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192</w:t>
            </w:r>
          </w:p>
        </w:tc>
      </w:tr>
      <w:tr>
        <w:trPr>
          <w:trHeight w:val="232"/>
        </w:trPr>
        <w:tc>
          <w:tcPr>
            <w:tcW w:w="4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Service points</w:t>
            </w:r>
            <w:r>
              <w:rPr>
                <w:rFonts w:ascii="Times New Roman" w:cs="Times New Roman" w:eastAsia="Times New Roman" w:hAnsi="Times New Roman"/>
                <w:sz w:val="16"/>
                <w:szCs w:val="16"/>
                <w:color w:val="auto"/>
                <w:vertAlign w:val="superscript"/>
              </w:rPr>
              <w:t>6</w:t>
            </w:r>
          </w:p>
        </w:tc>
        <w:tc>
          <w:tcPr>
            <w:tcW w:w="408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1,163</w:t>
            </w: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3"/>
                <w:szCs w:val="13"/>
                <w:color w:val="auto"/>
              </w:rPr>
              <w:t>1,129</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1,149</w:t>
            </w: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 Represents PSNY share price at period end while publicly traded.</w:t>
      </w:r>
    </w:p>
    <w:p>
      <w:pPr>
        <w:spacing w:after="0" w:line="225" w:lineRule="auto"/>
        <w:rPr>
          <w:sz w:val="20"/>
          <w:szCs w:val="20"/>
          <w:color w:val="auto"/>
        </w:rPr>
      </w:pPr>
      <w:r>
        <w:rPr>
          <w:rFonts w:ascii="Times New Roman" w:cs="Times New Roman" w:eastAsia="Times New Roman" w:hAnsi="Times New Roman"/>
          <w:sz w:val="8"/>
          <w:szCs w:val="8"/>
          <w:color w:val="auto"/>
        </w:rPr>
        <w:t>2 - Calculated as total equity divided by total assets.</w:t>
      </w:r>
    </w:p>
    <w:p>
      <w:pPr>
        <w:spacing w:after="0" w:line="226" w:lineRule="auto"/>
        <w:rPr>
          <w:sz w:val="20"/>
          <w:szCs w:val="20"/>
          <w:color w:val="auto"/>
        </w:rPr>
      </w:pPr>
      <w:r>
        <w:rPr>
          <w:rFonts w:ascii="Times New Roman" w:cs="Times New Roman" w:eastAsia="Times New Roman" w:hAnsi="Times New Roman"/>
          <w:sz w:val="8"/>
          <w:szCs w:val="8"/>
          <w:color w:val="auto"/>
        </w:rPr>
        <w:t>3 -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w:t>
      </w:r>
    </w:p>
    <w:p>
      <w:pPr>
        <w:jc w:val="both"/>
        <w:ind w:right="20"/>
        <w:spacing w:after="0" w:line="213" w:lineRule="auto"/>
        <w:rPr>
          <w:sz w:val="20"/>
          <w:szCs w:val="20"/>
          <w:color w:val="auto"/>
        </w:rPr>
      </w:pPr>
      <w:r>
        <w:rPr>
          <w:rFonts w:ascii="Times New Roman" w:cs="Times New Roman" w:eastAsia="Times New Roman" w:hAnsi="Times New Roman"/>
          <w:sz w:val="8"/>
          <w:szCs w:val="8"/>
          <w:color w:val="auto"/>
        </w:rPr>
        <w:t>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("IFRS 15"), and IFRS 16, Leases ("IFRS 16"), respectively. Revenue is not recognized in scenario (c).</w:t>
      </w:r>
    </w:p>
    <w:p>
      <w:pPr>
        <w:spacing w:after="0" w:line="201" w:lineRule="auto"/>
        <w:rPr>
          <w:sz w:val="20"/>
          <w:szCs w:val="20"/>
          <w:color w:val="auto"/>
        </w:rPr>
      </w:pPr>
      <w:r>
        <w:rPr>
          <w:rFonts w:ascii="Times New Roman" w:cs="Times New Roman" w:eastAsia="Times New Roman" w:hAnsi="Times New Roman"/>
          <w:sz w:val="8"/>
          <w:szCs w:val="8"/>
          <w:color w:val="auto"/>
        </w:rPr>
        <w:t>4 - Represents the markets in which Polestar operates.</w:t>
      </w:r>
    </w:p>
    <w:p>
      <w:pPr>
        <w:spacing w:after="0" w:line="226" w:lineRule="auto"/>
        <w:rPr>
          <w:sz w:val="20"/>
          <w:szCs w:val="20"/>
          <w:color w:val="auto"/>
        </w:rPr>
      </w:pPr>
      <w:r>
        <w:rPr>
          <w:rFonts w:ascii="Times New Roman" w:cs="Times New Roman" w:eastAsia="Times New Roman" w:hAnsi="Times New Roman"/>
          <w:sz w:val="8"/>
          <w:szCs w:val="8"/>
          <w:color w:val="auto"/>
        </w:rPr>
        <w:t>5 - Represents Polestar Spaces, Polestar Destinations, and Polestar Test Drive Centers.</w:t>
      </w:r>
    </w:p>
    <w:p>
      <w:pPr>
        <w:spacing w:after="0"/>
        <w:rPr>
          <w:sz w:val="20"/>
          <w:szCs w:val="20"/>
          <w:color w:val="auto"/>
        </w:rPr>
      </w:pPr>
      <w:r>
        <w:rPr>
          <w:rFonts w:ascii="Times New Roman" w:cs="Times New Roman" w:eastAsia="Times New Roman" w:hAnsi="Times New Roman"/>
          <w:sz w:val="8"/>
          <w:szCs w:val="8"/>
          <w:color w:val="auto"/>
        </w:rPr>
        <w:t>6 - Represents Volvo Cars service centers to provide access to customer service points worldwide in support of Polestar’s international expansion.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Key factors affecting performance</w:t>
      </w:r>
    </w:p>
    <w:p>
      <w:pPr>
        <w:spacing w:after="0" w:line="5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3"/>
          <w:szCs w:val="13"/>
          <w:color w:val="auto"/>
        </w:rPr>
        <w:t xml:space="preserve">Polestar’s continued growth depends on numerous factors and trends. While these factors and trends provide opportunities for Polestar, they also pose risks and challenges as discussed in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xml:space="preserve"> in the Form 20-F filed with the SEC on August 14, 2024. The following paragraphs explain the key factors that had a notable impact on Polestar during the six months ended June 30,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Partnerships with Volvo Cars and Geely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Polestar’s relationship with Volvo Cars and Geely has provided it with a unique competitive advantage in its ability to rapidly scale and finance commercialization activities while maintaining an asset light balance sheet.</w:t>
      </w:r>
    </w:p>
    <w:p>
      <w:pPr>
        <w:spacing w:after="0" w:line="11"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This is achieved primarily through contract manufacturing, supply, and financing agreements with Volvo Cars and Geely. Polestar has utilized Volvo Cars' and Geely's established research and development capabilities to accelerate technological advancements in automotive technology. Additionally, selling and administrative expenses have been positively impacted due to service agreements with Volvo Cars which allow Polestar to attain operational efficiencies in the areas of aftermarket services and maintenance and back-office functions (e.g., information technology, legal, accounting, finance, and human resources).</w:t>
      </w:r>
    </w:p>
    <w:p>
      <w:pPr>
        <w:spacing w:after="0" w:line="4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Utilizing Volvo Cars’ and Geely's facilities has allowed Polestar to continue efficient production of its vehicles. PS3 production began at Volvo Cars' Chengdu facility in China in February 2024, while manufacturing in the United States is set to begin at the Charleston, South Carolina facility in the third quarter of the year. Geely began production of the PS4 at its Hangzhou Bay plant in the fourth quarter of 2023 and expects to begin production at the Renault Busan plant in the second half of 2025. The PS5 is expected to be manufactured at Geely's Chongqing facility which is currently under construction and expected to be opened in 2025. Having</w:t>
      </w:r>
    </w:p>
    <w:p>
      <w:pPr>
        <w:jc w:val="both"/>
        <w:spacing w:after="0" w:line="223" w:lineRule="auto"/>
        <w:rPr>
          <w:sz w:val="20"/>
          <w:szCs w:val="20"/>
          <w:color w:val="auto"/>
        </w:rPr>
      </w:pPr>
      <w:r>
        <w:rPr>
          <w:rFonts w:ascii="Times New Roman" w:cs="Times New Roman" w:eastAsia="Times New Roman" w:hAnsi="Times New Roman"/>
          <w:sz w:val="12"/>
          <w:szCs w:val="12"/>
          <w:color w:val="auto"/>
        </w:rPr>
        <w:t>access to the global manufacturing footprint of Volvo Cars and Geely has and will continue to provide Polestar with flexibility to adjust and optimize its manufacturing plans in response to factors like particular market demand, relative production cost, changing shipping and logistic expenses, and the availability of market-specific tax credit schemes. However, Polestar’s contract manufacturing model does not come with the operating leverage that may come with owning production facilities and requires Polestar to accurately forecast the demand for its vehicles. If Polestar fails to do so, there may be overcapacity, which may negatively impact gross</w:t>
      </w:r>
    </w:p>
    <w:p>
      <w:pPr>
        <w:spacing w:after="0"/>
        <w:rPr>
          <w:sz w:val="20"/>
          <w:szCs w:val="20"/>
          <w:color w:val="auto"/>
        </w:rPr>
      </w:pPr>
      <w:r>
        <w:rPr>
          <w:rFonts w:ascii="Times New Roman" w:cs="Times New Roman" w:eastAsia="Times New Roman" w:hAnsi="Times New Roman"/>
          <w:sz w:val="13"/>
          <w:szCs w:val="13"/>
          <w:color w:val="auto"/>
        </w:rPr>
        <w:t>margins, or inadequate capacity, which may result in delays in shipments or revenues.</w:t>
      </w:r>
    </w:p>
    <w:p>
      <w:pPr>
        <w:spacing w:after="0" w:line="39"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As of June 30, 2024, Polestar had drawn on all $1,000 million in borrowing capacity entered into with Volvo Cars. This includes the $800 million term loan credit facility with Volvo Cars that was entered into on November 3, 2022 and an additional $200 million that was provided as extra borrowing capacity on November 8, 2023. Additionally, Polestar had drawn the entire $250,000 term loan entered into with Geely on November 8, 2023. Both loans with Volvo Cars and Geely have a maturity date of June 30, 2027 and therefore as of June 30, 2024, all principal under both loans remains outstanding. Both loans have an optional equity</w:t>
      </w:r>
    </w:p>
    <w:p>
      <w:pPr>
        <w:spacing w:after="0"/>
        <w:rPr>
          <w:sz w:val="20"/>
          <w:szCs w:val="20"/>
          <w:color w:val="auto"/>
        </w:rPr>
      </w:pPr>
      <w:r>
        <w:rPr>
          <w:rFonts w:ascii="Times New Roman" w:cs="Times New Roman" w:eastAsia="Times New Roman" w:hAnsi="Times New Roman"/>
          <w:sz w:val="13"/>
          <w:szCs w:val="13"/>
          <w:color w:val="auto"/>
        </w:rPr>
        <w:t>conversion feature.</w:t>
      </w:r>
    </w:p>
    <w:p>
      <w:pPr>
        <w:spacing w:after="0" w:line="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On December 8, 2023, Polestar and Geely entered into an asset transfer agreement which, when considered together with certain other agreements not signed until six months ended June 30, 2024, was designed to provide financing to Polestar in exchange for Polestar transferring legal ownership of certain Polestar unique tooling and equipment that will be used in the manufacturing of the PS3 (the "PS3 Tooling and Equipment")</w:t>
      </w:r>
    </w:p>
    <w:p>
      <w:pPr>
        <w:spacing w:after="0"/>
        <w:rPr>
          <w:sz w:val="20"/>
          <w:szCs w:val="20"/>
          <w:color w:val="auto"/>
        </w:rPr>
      </w:pPr>
      <w:r>
        <w:rPr>
          <w:rFonts w:ascii="Times New Roman" w:cs="Times New Roman" w:eastAsia="Times New Roman" w:hAnsi="Times New Roman"/>
          <w:sz w:val="13"/>
          <w:szCs w:val="13"/>
          <w:color w:val="auto"/>
        </w:rPr>
        <w:t>to Geely. As of June 30, 2024, total principal of $132,237 was outstanding under this financing arrangement.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Refer to Note 15 - Related party transactions in the Unaudited Condensed Consolidated Financial Statements included elsewhere in this report for more information.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Premium electric vehicle portfolio</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Polestar continues to develop a premium all-electric vehicle portfolio to address the tastes and preferences of premium vehicle customers, one of the fastest growing segments of the global electric car market. The planned portfolio currently consists of the following models:</w:t>
      </w:r>
    </w:p>
    <w:p>
      <w:pPr>
        <w:spacing w:after="0" w:line="37" w:lineRule="exact"/>
        <w:rPr>
          <w:sz w:val="20"/>
          <w:szCs w:val="20"/>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2 - a performance fastback;</w:t>
      </w:r>
    </w:p>
    <w:p>
      <w:pPr>
        <w:spacing w:after="0" w:line="6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3 - a performance sport utility vehicle;</w:t>
      </w:r>
    </w:p>
    <w:p>
      <w:pPr>
        <w:spacing w:after="0" w:line="5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4 - a performance sport utility coupe;</w:t>
      </w:r>
    </w:p>
    <w:p>
      <w:pPr>
        <w:spacing w:after="0" w:line="5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5 - a high performance 4-door grand tourer; and</w:t>
      </w:r>
    </w:p>
    <w:p>
      <w:pPr>
        <w:spacing w:after="0" w:line="62"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Polestar 6 - a high performance roadster.</w:t>
      </w:r>
    </w:p>
    <w:p>
      <w:pPr>
        <w:spacing w:after="0" w:line="53"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3"/>
          <w:szCs w:val="13"/>
          <w:color w:val="auto"/>
        </w:rPr>
        <w:t>The PS2 has received numerous accolades and positive reviews since its launch in 2019. The limited-edition higher specification PS2 variants, the BST 270 and BST 230, which sell at higher price points have also received favorable reviews from customers and the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74" w:right="299" w:bottom="1440" w:gutter="0" w:footer="0" w:header="0"/>
        </w:sectPr>
      </w:pPr>
    </w:p>
    <w:bookmarkStart w:id="4" w:name="page5"/>
    <w:bookmarkEnd w:id="4"/>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automotive community. Polestar plans to continue offering higher specification variants, sometimes in limited production runs, for its future models, which it expects will further establish its brand within the premium electric vehicle segment and allow for pricing variability within certain markets. As a premium electric vehicle company, Polestar does not intend to offer models priced below the PS2. Customers’ acceptance and</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purchase of Polestar’s new models are critical components of Polestar’s future growth and financial performance. Polestar’s marketing efforts may not be successful, and newer vehicle models may not ultimately be adopted or utilized by the consumer, which would negatively impact sales volumes and product pricing.</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Innovative automotive technologies and design</w:t>
      </w:r>
    </w:p>
    <w:p>
      <w:pPr>
        <w:spacing w:after="0" w:line="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Polestar develops electric vehicles and technologies through cutting edge design and sustainable choices. Polestar has a high-performance, innovation-driven research and development team with safety heritage rooted from Volvo Cars and in-house competencies at its dedicated research and development facility in Coventry, UK. Internal development programs such as the Polestar 5 and PX2 electric powertrain have advanced Polestar’s organic intellectual property. Further, Polestar continues to display ambition to create industry-leading technologies through partnerships with Volvo Cars, Geely, Nvidia, Luminar, and Zenseact, Xingji Meizu,</w:t>
      </w:r>
    </w:p>
    <w:p>
      <w:pPr>
        <w:jc w:val="both"/>
        <w:spacing w:after="0" w:line="205" w:lineRule="auto"/>
        <w:rPr>
          <w:sz w:val="20"/>
          <w:szCs w:val="20"/>
          <w:color w:val="auto"/>
        </w:rPr>
      </w:pPr>
      <w:r>
        <w:rPr>
          <w:rFonts w:ascii="Times New Roman" w:cs="Times New Roman" w:eastAsia="Times New Roman" w:hAnsi="Times New Roman"/>
          <w:sz w:val="13"/>
          <w:szCs w:val="13"/>
          <w:color w:val="auto"/>
        </w:rPr>
        <w:t xml:space="preserve">and StoreDot, among others. This combination of research and development resources allows Polestar flexibility in determining which technologies to develop in-house versus which to outsource to partners. Polestar believes that continued investments such as these are critical to establishing market share, attracting new customers, and becoming a profitable global electric vehicle company. During the six months ended June 30, 2024, Polestar invested $140.2 million in new intellectual property. Refer to </w:t>
      </w:r>
      <w:r>
        <w:rPr>
          <w:rFonts w:ascii="Times New Roman" w:cs="Times New Roman" w:eastAsia="Times New Roman" w:hAnsi="Times New Roman"/>
          <w:sz w:val="13"/>
          <w:szCs w:val="13"/>
          <w:i w:val="1"/>
          <w:iCs w:val="1"/>
          <w:color w:val="auto"/>
        </w:rPr>
        <w:t>Note 8 - Intangible assets and goodwill</w:t>
      </w:r>
      <w:r>
        <w:rPr>
          <w:rFonts w:ascii="Times New Roman" w:cs="Times New Roman" w:eastAsia="Times New Roman" w:hAnsi="Times New Roman"/>
          <w:sz w:val="13"/>
          <w:szCs w:val="13"/>
          <w:color w:val="auto"/>
        </w:rPr>
        <w:t xml:space="preserve"> in the Unaudited Condensed Consolidated Financial Statements included elsewhere in this report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more information.</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Direct-to-consumer business model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Polestar operates a direct-to-consumer business model for sales of vehicles, which allows it to create a tailored experience for customers based on their individual preferences. Polestar cultivates this experience through</w:t>
      </w:r>
    </w:p>
    <w:p>
      <w:pPr>
        <w:spacing w:after="0" w:line="11"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Polestar Spaces where potential customers can experience Polestar vehicles, engage with Polestar specialists, and in certain cases, test drive Polestar vehicles. This serves as important brand awareness and as a sales driver for commercial expansion in key markets. Through these locations, Polestar is able to introduce customers to vehicles and enhance the Polestar experience, from brand introduction and education to vehicle delivery. Additionally, Polestar is able to run a lean sales model via the Polestar App and website, offer a wide service network for aftermarket services and maintenance, and offer competitive pricing and financing for</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customers. This business model approach has allowed Polestar to achieve rapid expansion in, and capitalization of, the luxury electric vehicle market in Europe, the United States, and Asia with lower overall selling, general, and administrative expenses as compared to a traditional OEM dealer model.</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Direct-to-business model</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 the U.S. and Canada, Polestar operates a direct-to-business model through which vehicles are sold directly to a network of independent authorized dealers. In these markets, vehicles are displayed and subsequently sold to end retail consumers at Polestar Spaces, which are designed, built, and equipped by dealers in accordance with Polestar’s standards. Dealers also diagnose and repair Polestar vehicles at associated service facilities. Vehicles are sold to dealers at wholesale prices and Polestar provides a suggested retail price.</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Fleet sales</w:t>
      </w:r>
    </w:p>
    <w:p>
      <w:pPr>
        <w:spacing w:after="0" w:line="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In addition to Polestar and its subsidiaries’ direct-to-consumer and direct-to-business models, vehicles are also sold to various fleet customers (e.g., rental car companies and corporate fleet managers). As an incentive for high-volume purchases, sales to fleet customers often include certain upfront discounts and annual rebates based on the number of vehicles ordered during the year.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Importer markets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Polestar also sells vehicles to various importers in smaller markets around the globe where it does not have sales units (e.g., Hong Kong, New Zealand, Israel, the United Arab Emirates (UAE)), Kuwait, and Iceland.</w:t>
      </w:r>
    </w:p>
    <w:p>
      <w:pPr>
        <w:spacing w:after="0"/>
        <w:rPr>
          <w:sz w:val="20"/>
          <w:szCs w:val="20"/>
          <w:color w:val="auto"/>
        </w:rPr>
      </w:pPr>
      <w:r>
        <w:rPr>
          <w:rFonts w:ascii="Times New Roman" w:cs="Times New Roman" w:eastAsia="Times New Roman" w:hAnsi="Times New Roman"/>
          <w:sz w:val="13"/>
          <w:szCs w:val="13"/>
          <w:color w:val="auto"/>
        </w:rPr>
        <w:t>Polestar's relationships with importers allow it to create a more diversified global footprint and tap potential opportunities which may lead to increased sales.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Sales to associate</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In China, Polestar sells its vehicles through an associate, Polestar Times Technology (Nanjing) Co., Ltd ("Polestar Times Technology"), previously Polestar Technology (Shaoxing) Co., Ltd. ("Polestar Technology"). Vehicles are sold to Polestar Times Technology at whole sale prices and Polestar Times Technology subsequently sells the vehicles to customers in China. This sales channel is more advantageous to Polestar in capturing</w:t>
      </w:r>
    </w:p>
    <w:p>
      <w:pPr>
        <w:spacing w:after="0"/>
        <w:rPr>
          <w:sz w:val="20"/>
          <w:szCs w:val="20"/>
          <w:color w:val="auto"/>
        </w:rPr>
      </w:pPr>
      <w:r>
        <w:rPr>
          <w:rFonts w:ascii="Times New Roman" w:cs="Times New Roman" w:eastAsia="Times New Roman" w:hAnsi="Times New Roman"/>
          <w:sz w:val="13"/>
          <w:szCs w:val="13"/>
          <w:color w:val="auto"/>
        </w:rPr>
        <w:t>the Chinese market.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Earn-out rights and Class C Shares from the reverse recapitalization</w:t>
      </w:r>
    </w:p>
    <w:p>
      <w:pPr>
        <w:spacing w:after="0" w:line="55"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As part of a capital reorganization consummated on June 23, 2022, Polestar exchanged rights and obligations to the public and private warrant instruments of Gores Guggenheim, Inc. ("GGI"), a special purpose acquisition company, resulting in the issuance of similar instruments in the form of Class C-1 Shares and Class C-2 Shares, respectively. Polestar also issued certain rights to earn out shares to existing owners. These</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instruments are accounted for as derivative liabilities under International Accounting Standards (“IAS”) 32, Financial Instruments: Presentation, and IFRS 9, Financial Instruments, that are carried at fair value with subsequent changes in fair value recognized in the Consolidated Statement of Loss and Comprehensive Loss at each reporting date.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June 30, 2024 and December 31, 2023, the Class C Shares were valued at $3.5 million and $6.0 million, respectively, resulting in an unrealized gain from the fair-value change of $2.5 million during the six months</w:t>
      </w:r>
    </w:p>
    <w:p>
      <w:pPr>
        <w:spacing w:after="0" w:line="1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 xml:space="preserve">ended June 30, 2024. As of June 30, 2024 and December 31, 2023, the earn-out rights were valued at $15.8 million and $155.4 million, respectively, resulting in an unrealized gain from the fair value change of $139.6 million during the six months ended June 30, 2024. The fair values of these derivative financial instruments are volatile and influenced by changes Polestar's share price, resulting in impacts to Polestar's net income or loss that are not directly related to ongoing operations. Nevertheless, these derivative financial instruments have a notable impact on our overall financial performance each period. Refer to </w:t>
      </w:r>
      <w:r>
        <w:rPr>
          <w:rFonts w:ascii="Times New Roman" w:cs="Times New Roman" w:eastAsia="Times New Roman" w:hAnsi="Times New Roman"/>
          <w:sz w:val="12"/>
          <w:szCs w:val="12"/>
          <w:i w:val="1"/>
          <w:iCs w:val="1"/>
          <w:color w:val="auto"/>
        </w:rPr>
        <w:t>Note 1 - Overview and basis of</w:t>
      </w:r>
    </w:p>
    <w:p>
      <w:pPr>
        <w:spacing w:after="0"/>
        <w:rPr>
          <w:sz w:val="20"/>
          <w:szCs w:val="20"/>
          <w:color w:val="auto"/>
        </w:rPr>
      </w:pPr>
      <w:r>
        <w:rPr>
          <w:rFonts w:ascii="Times New Roman" w:cs="Times New Roman" w:eastAsia="Times New Roman" w:hAnsi="Times New Roman"/>
          <w:sz w:val="13"/>
          <w:szCs w:val="13"/>
          <w:i w:val="1"/>
          <w:iCs w:val="1"/>
          <w:color w:val="auto"/>
        </w:rPr>
        <w:t xml:space="preserve">preparation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i w:val="1"/>
          <w:iCs w:val="1"/>
          <w:color w:val="auto"/>
        </w:rPr>
        <w:t xml:space="preserve"> Note 11 - Reverse recapitalization </w:t>
      </w:r>
      <w:r>
        <w:rPr>
          <w:rFonts w:ascii="Times New Roman" w:cs="Times New Roman" w:eastAsia="Times New Roman" w:hAnsi="Times New Roman"/>
          <w:sz w:val="13"/>
          <w:szCs w:val="13"/>
          <w:color w:val="auto"/>
        </w:rPr>
        <w:t>in the Unaudited Condensed Consolidated Financial Statements included elsewhere in this report for more information.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i w:val="1"/>
          <w:iCs w:val="1"/>
          <w:color w:val="auto"/>
        </w:rPr>
        <w:t>Impacts of the Russo-Ukrainian War, conflicts in Israel and the Gaza Strip, and conflict in the Red Sea</w:t>
      </w:r>
    </w:p>
    <w:p>
      <w:pPr>
        <w:spacing w:after="0" w:line="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While Polestar does not directly conduct any business with suppliers in Russia or the Ukraine, there can be no assurance that all parts of the supply chain are devoid of any exposure to disruptions caused by the Russo-Ukrainian War.</w:t>
      </w:r>
    </w:p>
    <w:p>
      <w:pPr>
        <w:spacing w:after="0" w:line="3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The recent escalation in the conflict between Israel and Hamas and uncertain geopolitical conditions, sanctions, and other potential impacts on the global economic environment may weaken demand for Polestar’s vehicles and impact its ability to access production components, which could make it difficult for Polestar to forecast its financial results and manage its inventory levels. Israel is one of Polestar's importer markets where</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we have minimal sales. Polestar also has some suppliers with operations in Israel, including Mobileye and StoreDot. If the conditions in Israel interrupt Polestar’s suppliers’ operations or limit the ability for Polestar’s suppliers to operate, Polestar’s business can be harmed. Additionally, in the past, Israel and Israeli companies have been, and continue to be, subject to economic boycotts and divestment initiatives, which could negatively impact Polestar’s business given Polestar’s relationship with Mobileye and StoreDot.</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In addition, further escalation of the conflict in the Red Sea may affect our shipping operations and result in shipping companies rerouting their cargo ships. These potential shipping disruptions may cause additional shipping costs and delays.</w:t>
      </w:r>
    </w:p>
    <w:p>
      <w:pPr>
        <w:spacing w:after="0" w:line="35"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3"/>
          <w:szCs w:val="13"/>
          <w:color w:val="auto"/>
        </w:rPr>
        <w:t>Refer to Item 3.D “</w:t>
      </w:r>
      <w:r>
        <w:rPr>
          <w:rFonts w:ascii="Times New Roman" w:cs="Times New Roman" w:eastAsia="Times New Roman" w:hAnsi="Times New Roman"/>
          <w:sz w:val="13"/>
          <w:szCs w:val="13"/>
          <w:i w:val="1"/>
          <w:iCs w:val="1"/>
          <w:color w:val="auto"/>
        </w:rPr>
        <w:t>Risk Factors</w:t>
      </w:r>
      <w:r>
        <w:rPr>
          <w:rFonts w:ascii="Times New Roman" w:cs="Times New Roman" w:eastAsia="Times New Roman" w:hAnsi="Times New Roman"/>
          <w:sz w:val="13"/>
          <w:szCs w:val="13"/>
          <w:color w:val="auto"/>
        </w:rPr>
        <w:t>” in Form 20-F filed with the SEC on August 14, 2024 for information on risks posed by the ongoing conflicts between Russia and Ukraine, in Israel and the Gaza Strip, and in the Red Sea.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Inflation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Global economic conditions have caused rising inflationary pressures on prices of components, materials, labor, and equipment used in the production of Polestar vehicles. Historically, increases in battery prices due to</w:t>
      </w:r>
    </w:p>
    <w:p>
      <w:pPr>
        <w:spacing w:after="0" w:line="11"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the increased prices of lithium, cobalt, and nickel contributed to increased cost of goods sold. More currently, Polestar has started experiencing a decrease in raw material costs related to batteries. Overall fluctuations in the cost of components, materials, labor, and equipment are expected to lead to higher costs of goods sold in the future. Additionally, the natural time lag created by the production, shipping, and selling of vehicles has also contributed to a delay in price increases experienced by Polestar. Higher oil prices have also increased freight and distribution costs across all markets. It is uncertain whether these inflationary pressures will persist</w:t>
      </w:r>
    </w:p>
    <w:p>
      <w:pPr>
        <w:spacing w:after="0"/>
        <w:rPr>
          <w:sz w:val="20"/>
          <w:szCs w:val="20"/>
          <w:color w:val="auto"/>
        </w:rPr>
      </w:pPr>
      <w:r>
        <w:rPr>
          <w:rFonts w:ascii="Times New Roman" w:cs="Times New Roman" w:eastAsia="Times New Roman" w:hAnsi="Times New Roman"/>
          <w:sz w:val="13"/>
          <w:szCs w:val="13"/>
          <w:color w:val="auto"/>
        </w:rPr>
        <w:t>in the future. Polestar remains vigilant and will continue to closely monitor the effects of the Russo-Ukrainian War, the conflicts in Israel and the Gaza Strip, and inflation on its business.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Additional key factors impacting performance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Polestar’s continued growth depends on numerous factors and trends, including continued sales of the PS2 and new sales of the PS4 at anticipated volumes while production and sales of the PS3 ramps-up. This includes</w:t>
      </w:r>
    </w:p>
    <w:p>
      <w:pPr>
        <w:spacing w:after="0" w:line="11"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the ramp-up of sales in the US market of these models, particularly the PS3, which is, in part, dependent on the successful ramp-up of production at the facility in Charleston, South Carolina operated by Volvo Cars. Polestar’s regional mix of sales, including higher sales in the US market, and its overall product mix, is important to maintain its gross margins. Ramping-up Polestar’s production at other facilities is also an important factor in the success of Polestar’s future vehicle production and delivery. In addition to increasing vehicle volume, Polestar is focused on developing additional revenue streams, such as IP licensing, aftermarket revenue,</w:t>
      </w: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component sales, and/or used car sales. If Polestar’s vehicle sales and additional revenue streams do not develop as anticipated, Polestar may not have the necessary cash flow to operate its business and repay outstanding indebtedness. Furthermore, Polestar’s gross margins are dependent upon Polestar’s current pricing structure, which is subject to a variety of factors, including certain average selling price assumptions. If Polestar has higher than expected discounting or advertising and promotion costs, its future margins may suffer.</w:t>
      </w:r>
    </w:p>
    <w:p>
      <w:pPr>
        <w:spacing w:after="0" w:line="4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Polestar’s gross margins are also dependent upon its ability to manage costs, including costs associated with raw materials and key components of production, proposed tariffs on imports from China, and to implement cost savings initiatives. Polestar’s future financial performance also requires Polestar to accurately forecast demand for its vehicles. Inaccurate demand forecasts may lead to Polestar offering deeper discounts or experiencing greater than expected sales volumes of discounted vehicles. As a result of inaccurate forecasts, Polestar could also experience higher than expected production, operating expense, advertising, sales and</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promotion costs or may be unable to effectively charge such costs to customers in a targeted manner. This could result in vehicles being sold with fewer options and trim levels, higher than expected sales volumes of lower-priced variants, and/or failure of Polestar to meet its gross margin and profitability expectations.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 Results of operations</w:t>
      </w:r>
    </w:p>
    <w:p>
      <w:pPr>
        <w:spacing w:after="0" w:line="6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3"/>
          <w:szCs w:val="13"/>
          <w:color w:val="auto"/>
        </w:rPr>
        <w:t xml:space="preserve">Polestar conducts business under one operating segment with primary commercial operations in North America, Europe, Asia, and various importer markets. Refer to </w:t>
      </w:r>
      <w:r>
        <w:rPr>
          <w:rFonts w:ascii="Times New Roman" w:cs="Times New Roman" w:eastAsia="Times New Roman" w:hAnsi="Times New Roman"/>
          <w:sz w:val="13"/>
          <w:szCs w:val="13"/>
          <w:i w:val="1"/>
          <w:iCs w:val="1"/>
          <w:color w:val="auto"/>
        </w:rPr>
        <w:t>Note 1 - Overview and basis of preparation</w:t>
      </w:r>
      <w:r>
        <w:rPr>
          <w:rFonts w:ascii="Times New Roman" w:cs="Times New Roman" w:eastAsia="Times New Roman" w:hAnsi="Times New Roman"/>
          <w:sz w:val="13"/>
          <w:szCs w:val="13"/>
          <w:color w:val="auto"/>
        </w:rPr>
        <w:t xml:space="preserve"> in the Unaudited Condensed Consolidated Financial Statements included elsewhere in this report for more information on the basis of presentation. Refer to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in the Consolidated Financial Statements for Polestar Automotive Holding UK PLC, as of December 31, 2023 and 2022, and for the three years ended December 31, 2023 that were included the Form 20-F filed with the SEC on August 14, 2024 for more information related to segment reporting</w:t>
      </w:r>
      <w:r>
        <w:rPr>
          <w:rFonts w:ascii="Times New Roman" w:cs="Times New Roman" w:eastAsia="Times New Roman" w:hAnsi="Times New Roman"/>
          <w:sz w:val="13"/>
          <w:szCs w:val="13"/>
          <w:i w:val="1"/>
          <w:i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Comparison of the six months ended June 30, 2024, and 2023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Polestar’s historical Unaudited Condensed Consolidated Statement of Loss and Comprehensive Loss for six months ended June 30, 2024, and 2023.</w:t>
      </w:r>
    </w:p>
    <w:p>
      <w:pPr>
        <w:spacing w:after="0" w:line="94"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160" w:type="dxa"/>
            <w:vAlign w:val="bottom"/>
            <w:shd w:val="clear" w:color="auto" w:fill="DBDBDB"/>
          </w:tcPr>
          <w:p>
            <w:pPr>
              <w:spacing w:after="0"/>
              <w:rPr>
                <w:sz w:val="16"/>
                <w:szCs w:val="16"/>
                <w:color w:val="auto"/>
              </w:rPr>
            </w:pPr>
          </w:p>
        </w:tc>
        <w:tc>
          <w:tcPr>
            <w:tcW w:w="2440" w:type="dxa"/>
            <w:vAlign w:val="bottom"/>
            <w:tcBorders>
              <w:bottom w:val="single" w:sz="8" w:color="auto"/>
            </w:tcBorders>
            <w:gridSpan w:val="2"/>
            <w:shd w:val="clear" w:color="auto" w:fill="DBDBDB"/>
          </w:tcPr>
          <w:p>
            <w:pPr>
              <w:ind w:left="2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480" w:type="dxa"/>
            <w:vAlign w:val="bottom"/>
            <w:tcBorders>
              <w:bottom w:val="single" w:sz="8" w:color="auto"/>
            </w:tcBorders>
            <w:shd w:val="clear" w:color="auto" w:fill="DBDBDB"/>
          </w:tcPr>
          <w:p>
            <w:pPr>
              <w:spacing w:after="0"/>
              <w:rPr>
                <w:sz w:val="16"/>
                <w:szCs w:val="16"/>
                <w:color w:val="auto"/>
              </w:rPr>
            </w:pPr>
          </w:p>
        </w:tc>
        <w:tc>
          <w:tcPr>
            <w:tcW w:w="1180" w:type="dxa"/>
            <w:vAlign w:val="bottom"/>
            <w:tcBorders>
              <w:bottom w:val="single" w:sz="8" w:color="auto"/>
            </w:tcBorders>
            <w:shd w:val="clear" w:color="auto" w:fill="DBDBDB"/>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w w:val="98"/>
              </w:rPr>
              <w:t>Variance</w:t>
            </w:r>
          </w:p>
        </w:tc>
      </w:tr>
      <w:tr>
        <w:trPr>
          <w:trHeight w:val="174"/>
        </w:trPr>
        <w:tc>
          <w:tcPr>
            <w:tcW w:w="7240" w:type="dxa"/>
            <w:vAlign w:val="bottom"/>
            <w:gridSpan w:val="2"/>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60" w:type="dxa"/>
            <w:vAlign w:val="bottom"/>
          </w:tcPr>
          <w:p>
            <w:pPr>
              <w:jc w:val="right"/>
              <w:ind w:right="539"/>
              <w:spacing w:after="0"/>
              <w:rPr>
                <w:sz w:val="20"/>
                <w:szCs w:val="20"/>
                <w:color w:val="auto"/>
              </w:rPr>
            </w:pPr>
            <w:r>
              <w:rPr>
                <w:rFonts w:ascii="Times New Roman" w:cs="Times New Roman" w:eastAsia="Times New Roman" w:hAnsi="Times New Roman"/>
                <w:sz w:val="13"/>
                <w:szCs w:val="13"/>
                <w:b w:val="1"/>
                <w:bCs w:val="1"/>
                <w:color w:val="auto"/>
              </w:rPr>
              <w:t>2023</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2"/>
        </w:trPr>
        <w:tc>
          <w:tcPr>
            <w:tcW w:w="6160" w:type="dxa"/>
            <w:vAlign w:val="bottom"/>
            <w:tcBorders>
              <w:bottom w:val="single" w:sz="8" w:color="DBDBDB"/>
            </w:tcBorders>
            <w:shd w:val="clear" w:color="auto" w:fill="DBDBDB"/>
          </w:tcPr>
          <w:p>
            <w:pPr>
              <w:spacing w:after="0"/>
              <w:rPr>
                <w:sz w:val="15"/>
                <w:szCs w:val="15"/>
                <w:color w:val="auto"/>
              </w:rPr>
            </w:pPr>
          </w:p>
        </w:tc>
        <w:tc>
          <w:tcPr>
            <w:tcW w:w="108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jc w:val="center"/>
              <w:ind w:right="39"/>
              <w:spacing w:after="0"/>
              <w:rPr>
                <w:sz w:val="20"/>
                <w:szCs w:val="20"/>
                <w:color w:val="auto"/>
              </w:rPr>
            </w:pPr>
            <w:r>
              <w:rPr>
                <w:rFonts w:ascii="Times New Roman" w:cs="Times New Roman" w:eastAsia="Times New Roman" w:hAnsi="Times New Roman"/>
                <w:sz w:val="12"/>
                <w:szCs w:val="12"/>
                <w:b w:val="1"/>
                <w:bCs w:val="1"/>
                <w:color w:val="auto"/>
                <w:w w:val="94"/>
              </w:rPr>
              <w:t>(Restated)</w:t>
            </w:r>
          </w:p>
        </w:tc>
        <w:tc>
          <w:tcPr>
            <w:tcW w:w="4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1" w:right="299" w:bottom="1440" w:gutter="0" w:footer="0" w:header="0"/>
        </w:sectPr>
      </w:pPr>
    </w:p>
    <w:bookmarkStart w:id="6" w:name="page7"/>
    <w:bookmarkEnd w:id="6"/>
    <w:tbl>
      <w:tblPr>
        <w:tblLayout w:type="fixed"/>
        <w:tblInd w:w="520" w:type="dxa"/>
        <w:tblCellMar>
          <w:top w:w="0" w:type="dxa"/>
          <w:left w:w="0" w:type="dxa"/>
          <w:bottom w:w="0" w:type="dxa"/>
          <w:right w:w="0" w:type="dxa"/>
        </w:tblCellMar>
      </w:tblPr>
      <w:tr>
        <w:trPr>
          <w:trHeight w:val="166"/>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905,813</w:t>
            </w:r>
          </w:p>
        </w:tc>
        <w:tc>
          <w:tcPr>
            <w:tcW w:w="3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1,237,635</w:t>
            </w:r>
          </w:p>
        </w:tc>
        <w:tc>
          <w:tcPr>
            <w:tcW w:w="340" w:type="dxa"/>
            <w:vAlign w:val="bottom"/>
          </w:tcPr>
          <w:p>
            <w:pPr>
              <w:spacing w:after="0"/>
              <w:rPr>
                <w:sz w:val="14"/>
                <w:szCs w:val="14"/>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(331,822)</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9"/>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34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(933,111)</w:t>
            </w:r>
          </w:p>
        </w:tc>
        <w:tc>
          <w:tcPr>
            <w:tcW w:w="30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(1,216,020)</w:t>
            </w:r>
          </w:p>
        </w:tc>
        <w:tc>
          <w:tcPr>
            <w:tcW w:w="34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rPr>
              <w:t>282,909</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profit/(loss)</w:t>
            </w: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(27,298)</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21,615</w:t>
            </w: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(48,913)</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(226)</w:t>
            </w:r>
          </w:p>
        </w:tc>
      </w:tr>
      <w:tr>
        <w:trPr>
          <w:trHeight w:val="29"/>
        </w:trPr>
        <w:tc>
          <w:tcPr>
            <w:tcW w:w="616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1"/>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3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(437,840)</w:t>
            </w:r>
          </w:p>
        </w:tc>
        <w:tc>
          <w:tcPr>
            <w:tcW w:w="30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(474,607)</w:t>
            </w:r>
          </w:p>
        </w:tc>
        <w:tc>
          <w:tcPr>
            <w:tcW w:w="34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rPr>
              <w:t>36,767</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(23,345)</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(83,050)</w:t>
            </w:r>
          </w:p>
        </w:tc>
        <w:tc>
          <w:tcPr>
            <w:tcW w:w="340" w:type="dxa"/>
            <w:vAlign w:val="bottom"/>
          </w:tcPr>
          <w:p>
            <w:pPr>
              <w:spacing w:after="0"/>
              <w:rPr>
                <w:sz w:val="15"/>
                <w:szCs w:val="15"/>
                <w:color w:val="auto"/>
              </w:rPr>
            </w:pPr>
          </w:p>
        </w:tc>
        <w:tc>
          <w:tcPr>
            <w:tcW w:w="98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59,705</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29"/>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operating income and expense</w:t>
            </w:r>
          </w:p>
        </w:tc>
        <w:tc>
          <w:tcPr>
            <w:tcW w:w="34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24,034</w:t>
            </w:r>
          </w:p>
        </w:tc>
        <w:tc>
          <w:tcPr>
            <w:tcW w:w="30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38,559</w:t>
            </w:r>
          </w:p>
        </w:tc>
        <w:tc>
          <w:tcPr>
            <w:tcW w:w="34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(14,525)</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(464,449)</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(497,483)</w:t>
            </w: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33,034</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r>
      <w:tr>
        <w:trPr>
          <w:trHeight w:val="29"/>
        </w:trPr>
        <w:tc>
          <w:tcPr>
            <w:tcW w:w="616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1"/>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340" w:type="dxa"/>
            <w:vAlign w:val="bottom"/>
            <w:tcBorders>
              <w:bottom w:val="single" w:sz="8" w:color="DBDBDB"/>
            </w:tcBorders>
            <w:shd w:val="clear" w:color="auto" w:fill="DBDBDB"/>
          </w:tcPr>
          <w:p>
            <w:pPr>
              <w:spacing w:after="0"/>
              <w:rPr>
                <w:sz w:val="15"/>
                <w:szCs w:val="15"/>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5,606</w:t>
            </w:r>
          </w:p>
        </w:tc>
        <w:tc>
          <w:tcPr>
            <w:tcW w:w="30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340" w:type="dxa"/>
            <w:vAlign w:val="bottom"/>
            <w:tcBorders>
              <w:bottom w:val="single" w:sz="8" w:color="DBDBDB"/>
            </w:tcBorders>
            <w:shd w:val="clear" w:color="auto" w:fill="DBDBDB"/>
          </w:tcPr>
          <w:p>
            <w:pPr>
              <w:spacing w:after="0"/>
              <w:rPr>
                <w:sz w:val="15"/>
                <w:szCs w:val="15"/>
                <w:color w:val="auto"/>
              </w:rPr>
            </w:pPr>
          </w:p>
        </w:tc>
        <w:tc>
          <w:tcPr>
            <w:tcW w:w="98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(6,883)</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(201,427)</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(92,656)</w:t>
            </w:r>
          </w:p>
        </w:tc>
        <w:tc>
          <w:tcPr>
            <w:tcW w:w="340" w:type="dxa"/>
            <w:vAlign w:val="bottom"/>
          </w:tcPr>
          <w:p>
            <w:pPr>
              <w:spacing w:after="0"/>
              <w:rPr>
                <w:sz w:val="15"/>
                <w:szCs w:val="15"/>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(108,771)</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r>
      <w:tr>
        <w:trPr>
          <w:trHeight w:val="29"/>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19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3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3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3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(93,357)</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(250)</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3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3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340" w:type="dxa"/>
            <w:vAlign w:val="bottom"/>
          </w:tcPr>
          <w:p>
            <w:pPr>
              <w:spacing w:after="0"/>
              <w:rPr>
                <w:sz w:val="15"/>
                <w:szCs w:val="15"/>
                <w:color w:val="auto"/>
              </w:rPr>
            </w:pPr>
          </w:p>
        </w:tc>
        <w:tc>
          <w:tcPr>
            <w:tcW w:w="9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(8,250)</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w:t>
            </w:r>
          </w:p>
        </w:tc>
      </w:tr>
      <w:tr>
        <w:trPr>
          <w:trHeight w:val="29"/>
        </w:trPr>
        <w:tc>
          <w:tcPr>
            <w:tcW w:w="6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Share of losses in associates</w:t>
            </w:r>
          </w:p>
        </w:tc>
        <w:tc>
          <w:tcPr>
            <w:tcW w:w="340" w:type="dxa"/>
            <w:vAlign w:val="bottom"/>
            <w:tcBorders>
              <w:bottom w:val="single" w:sz="8" w:color="DBDBDB"/>
            </w:tcBorders>
            <w:shd w:val="clear" w:color="auto" w:fill="DBDBDB"/>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(4,350)</w:t>
            </w:r>
          </w:p>
        </w:tc>
        <w:tc>
          <w:tcPr>
            <w:tcW w:w="300" w:type="dxa"/>
            <w:vAlign w:val="bottom"/>
            <w:tcBorders>
              <w:bottom w:val="single" w:sz="8" w:color="DBDBDB"/>
            </w:tcBorders>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DBDBDB"/>
            </w:tcBorders>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(4,350)</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(522,482)</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(333,905)</w:t>
            </w: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(188,577)</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w:t>
            </w:r>
          </w:p>
        </w:tc>
      </w:tr>
      <w:tr>
        <w:trPr>
          <w:trHeight w:val="29"/>
        </w:trPr>
        <w:tc>
          <w:tcPr>
            <w:tcW w:w="616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01"/>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3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(17,003)</w:t>
            </w:r>
          </w:p>
        </w:tc>
        <w:tc>
          <w:tcPr>
            <w:tcW w:w="300" w:type="dxa"/>
            <w:vAlign w:val="bottom"/>
            <w:tcBorders>
              <w:bottom w:val="single" w:sz="8" w:color="DBDBDB"/>
            </w:tcBorders>
            <w:shd w:val="clear" w:color="auto" w:fill="DBDBDB"/>
          </w:tcPr>
          <w:p>
            <w:pPr>
              <w:spacing w:after="0"/>
              <w:rPr>
                <w:sz w:val="17"/>
                <w:szCs w:val="17"/>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34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(10,078)</w:t>
            </w:r>
          </w:p>
        </w:tc>
        <w:tc>
          <w:tcPr>
            <w:tcW w:w="5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146</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40" w:type="dxa"/>
            <w:vAlign w:val="bottom"/>
            <w:tcBorders>
              <w:top w:val="single" w:sz="8" w:color="auto"/>
            </w:tcBorders>
          </w:tcPr>
          <w:p>
            <w:pPr>
              <w:jc w:val="right"/>
              <w:ind w:right="2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(539,485)</w:t>
            </w:r>
          </w:p>
        </w:tc>
        <w:tc>
          <w:tcPr>
            <w:tcW w:w="30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(340,830)</w:t>
            </w: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(198,655)</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w:t>
            </w:r>
          </w:p>
        </w:tc>
      </w:tr>
      <w:tr>
        <w:trPr>
          <w:trHeight w:val="29"/>
        </w:trPr>
        <w:tc>
          <w:tcPr>
            <w:tcW w:w="6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4427855</wp:posOffset>
            </wp:positionH>
            <wp:positionV relativeFrom="page">
              <wp:posOffset>492125</wp:posOffset>
            </wp:positionV>
            <wp:extent cx="260858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8580" cy="6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3"/>
          <w:szCs w:val="13"/>
          <w:b w:val="1"/>
          <w:bCs w:val="1"/>
          <w:color w:val="auto"/>
        </w:rPr>
        <w:t>Revenues</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Polestar’s net Revenue for the six months ended June 30, 2024 was $905.8 million, a decrease of $331.8 million, or 27% compared to $1,237.6 million for the six months ended June 30, 2023. Revenue from related parties for the six months ended June 30, 2024 was $162.3 million, an increase of $84.0 million, or 107% compared to $78.3 million for the six months ended June 30, 2023.</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components of revenue and related changes between interim periods:</w:t>
      </w:r>
    </w:p>
    <w:p>
      <w:pPr>
        <w:spacing w:after="0" w:line="94"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616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2120" w:type="dxa"/>
            <w:vAlign w:val="bottom"/>
            <w:tcBorders>
              <w:bottom w:val="single" w:sz="8" w:color="auto"/>
            </w:tcBorders>
            <w:gridSpan w:val="3"/>
            <w:shd w:val="clear" w:color="auto" w:fill="DBDBDB"/>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3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Variance</w:t>
            </w:r>
          </w:p>
        </w:tc>
        <w:tc>
          <w:tcPr>
            <w:tcW w:w="540" w:type="dxa"/>
            <w:vAlign w:val="bottom"/>
            <w:tcBorders>
              <w:bottom w:val="single" w:sz="8" w:color="auto"/>
            </w:tcBorders>
            <w:shd w:val="clear" w:color="auto" w:fill="DBDBDB"/>
          </w:tcPr>
          <w:p>
            <w:pPr>
              <w:spacing w:after="0"/>
              <w:rPr>
                <w:sz w:val="16"/>
                <w:szCs w:val="16"/>
                <w:color w:val="auto"/>
              </w:rPr>
            </w:pPr>
          </w:p>
        </w:tc>
      </w:tr>
      <w:tr>
        <w:trPr>
          <w:trHeight w:val="174"/>
        </w:trPr>
        <w:tc>
          <w:tcPr>
            <w:tcW w:w="6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5"/>
                <w:szCs w:val="15"/>
                <w:color w:val="auto"/>
              </w:rPr>
            </w:pPr>
          </w:p>
        </w:tc>
        <w:tc>
          <w:tcPr>
            <w:tcW w:w="92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2023</w:t>
            </w:r>
          </w:p>
        </w:tc>
        <w:tc>
          <w:tcPr>
            <w:tcW w:w="320" w:type="dxa"/>
            <w:vAlign w:val="bottom"/>
          </w:tcPr>
          <w:p>
            <w:pPr>
              <w:spacing w:after="0"/>
              <w:rPr>
                <w:sz w:val="15"/>
                <w:szCs w:val="15"/>
                <w:color w:val="auto"/>
              </w:rPr>
            </w:pPr>
          </w:p>
        </w:tc>
        <w:tc>
          <w:tcPr>
            <w:tcW w:w="980" w:type="dxa"/>
            <w:vAlign w:val="bottom"/>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2"/>
        </w:trPr>
        <w:tc>
          <w:tcPr>
            <w:tcW w:w="616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237"/>
              <w:spacing w:after="0"/>
              <w:rPr>
                <w:sz w:val="20"/>
                <w:szCs w:val="20"/>
                <w:color w:val="auto"/>
              </w:rPr>
            </w:pPr>
            <w:r>
              <w:rPr>
                <w:rFonts w:ascii="Times New Roman" w:cs="Times New Roman" w:eastAsia="Times New Roman" w:hAnsi="Times New Roman"/>
                <w:sz w:val="12"/>
                <w:szCs w:val="12"/>
                <w:b w:val="1"/>
                <w:bCs w:val="1"/>
                <w:color w:val="auto"/>
              </w:rPr>
              <w:t>(Restated)</w:t>
            </w:r>
          </w:p>
        </w:tc>
        <w:tc>
          <w:tcPr>
            <w:tcW w:w="32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spacing w:after="0"/>
              <w:rPr>
                <w:sz w:val="17"/>
                <w:szCs w:val="17"/>
                <w:color w:val="auto"/>
              </w:rPr>
            </w:pPr>
          </w:p>
        </w:tc>
      </w:tr>
      <w:tr>
        <w:trPr>
          <w:trHeight w:val="16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Sales of vehicles</w:t>
            </w:r>
          </w:p>
        </w:tc>
        <w:tc>
          <w:tcPr>
            <w:tcW w:w="1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883,621</w:t>
            </w:r>
          </w:p>
        </w:tc>
        <w:tc>
          <w:tcPr>
            <w:tcW w:w="22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1,208,791</w:t>
            </w:r>
          </w:p>
        </w:tc>
        <w:tc>
          <w:tcPr>
            <w:tcW w:w="3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(325,170)</w:t>
            </w:r>
          </w:p>
        </w:tc>
        <w:tc>
          <w:tcPr>
            <w:tcW w:w="540" w:type="dxa"/>
            <w:vAlign w:val="bottom"/>
            <w:tcBorders>
              <w:bottom w:val="single" w:sz="8" w:color="DBDBDB"/>
            </w:tcBorders>
            <w:shd w:val="clear" w:color="auto" w:fill="DBDBDB"/>
          </w:tcPr>
          <w:p>
            <w:pPr>
              <w:jc w:val="center"/>
              <w:ind w:left="216"/>
              <w:spacing w:after="0"/>
              <w:rPr>
                <w:sz w:val="20"/>
                <w:szCs w:val="20"/>
                <w:color w:val="auto"/>
              </w:rPr>
            </w:pPr>
            <w:r>
              <w:rPr>
                <w:rFonts w:ascii="Times New Roman" w:cs="Times New Roman" w:eastAsia="Times New Roman" w:hAnsi="Times New Roman"/>
                <w:sz w:val="13"/>
                <w:szCs w:val="13"/>
                <w:color w:val="auto"/>
              </w:rPr>
              <w:t>(27)</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11,419</w:t>
            </w:r>
          </w:p>
        </w:tc>
        <w:tc>
          <w:tcPr>
            <w:tcW w:w="320" w:type="dxa"/>
            <w:vAlign w:val="bottom"/>
          </w:tcPr>
          <w:p>
            <w:pPr>
              <w:spacing w:after="0"/>
              <w:rPr>
                <w:sz w:val="15"/>
                <w:szCs w:val="15"/>
                <w:color w:val="auto"/>
              </w:rPr>
            </w:pPr>
          </w:p>
        </w:tc>
        <w:tc>
          <w:tcPr>
            <w:tcW w:w="98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(3,528)</w:t>
            </w:r>
          </w:p>
        </w:tc>
        <w:tc>
          <w:tcPr>
            <w:tcW w:w="540" w:type="dxa"/>
            <w:vAlign w:val="bottom"/>
          </w:tcPr>
          <w:p>
            <w:pPr>
              <w:jc w:val="center"/>
              <w:ind w:left="216"/>
              <w:spacing w:after="0"/>
              <w:rPr>
                <w:sz w:val="20"/>
                <w:szCs w:val="20"/>
                <w:color w:val="auto"/>
              </w:rPr>
            </w:pPr>
            <w:r>
              <w:rPr>
                <w:rFonts w:ascii="Times New Roman" w:cs="Times New Roman" w:eastAsia="Times New Roman" w:hAnsi="Times New Roman"/>
                <w:sz w:val="13"/>
                <w:szCs w:val="13"/>
                <w:color w:val="auto"/>
              </w:rPr>
              <w:t>(31)</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Sales of carbon credits</w:t>
            </w:r>
          </w:p>
        </w:tc>
        <w:tc>
          <w:tcPr>
            <w:tcW w:w="1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2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532</w:t>
            </w:r>
          </w:p>
        </w:tc>
        <w:tc>
          <w:tcPr>
            <w:tcW w:w="3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(492)</w:t>
            </w:r>
          </w:p>
        </w:tc>
        <w:tc>
          <w:tcPr>
            <w:tcW w:w="540" w:type="dxa"/>
            <w:vAlign w:val="bottom"/>
            <w:tcBorders>
              <w:bottom w:val="single" w:sz="8" w:color="DBDBDB"/>
            </w:tcBorders>
            <w:shd w:val="clear" w:color="auto" w:fill="DBDBDB"/>
          </w:tcPr>
          <w:p>
            <w:pPr>
              <w:jc w:val="center"/>
              <w:ind w:left="216"/>
              <w:spacing w:after="0"/>
              <w:rPr>
                <w:sz w:val="20"/>
                <w:szCs w:val="20"/>
                <w:color w:val="auto"/>
              </w:rPr>
            </w:pPr>
            <w:r>
              <w:rPr>
                <w:rFonts w:ascii="Times New Roman" w:cs="Times New Roman" w:eastAsia="Times New Roman" w:hAnsi="Times New Roman"/>
                <w:sz w:val="13"/>
                <w:szCs w:val="13"/>
                <w:color w:val="auto"/>
              </w:rPr>
              <w:t>(92)</w:t>
            </w:r>
          </w:p>
        </w:tc>
      </w:tr>
      <w:tr>
        <w:trPr>
          <w:trHeight w:val="182"/>
        </w:trPr>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11,566</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7,493</w:t>
            </w:r>
          </w:p>
        </w:tc>
        <w:tc>
          <w:tcPr>
            <w:tcW w:w="320" w:type="dxa"/>
            <w:vAlign w:val="bottom"/>
          </w:tcPr>
          <w:p>
            <w:pPr>
              <w:spacing w:after="0"/>
              <w:rPr>
                <w:sz w:val="15"/>
                <w:szCs w:val="15"/>
                <w:color w:val="auto"/>
              </w:rPr>
            </w:pPr>
          </w:p>
        </w:tc>
        <w:tc>
          <w:tcPr>
            <w:tcW w:w="9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4,073</w:t>
            </w:r>
          </w:p>
        </w:tc>
        <w:tc>
          <w:tcPr>
            <w:tcW w:w="540" w:type="dxa"/>
            <w:vAlign w:val="bottom"/>
          </w:tcPr>
          <w:p>
            <w:pPr>
              <w:jc w:val="center"/>
              <w:ind w:left="236"/>
              <w:spacing w:after="0"/>
              <w:rPr>
                <w:sz w:val="20"/>
                <w:szCs w:val="20"/>
                <w:color w:val="auto"/>
              </w:rPr>
            </w:pPr>
            <w:r>
              <w:rPr>
                <w:rFonts w:ascii="Times New Roman" w:cs="Times New Roman" w:eastAsia="Times New Roman" w:hAnsi="Times New Roman"/>
                <w:sz w:val="13"/>
                <w:szCs w:val="13"/>
                <w:color w:val="auto"/>
                <w:w w:val="91"/>
              </w:rPr>
              <w:t>54</w:t>
            </w:r>
          </w:p>
        </w:tc>
      </w:tr>
      <w:tr>
        <w:trPr>
          <w:trHeight w:val="29"/>
        </w:trPr>
        <w:tc>
          <w:tcPr>
            <w:tcW w:w="6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2"/>
        </w:trPr>
        <w:tc>
          <w:tcPr>
            <w:tcW w:w="61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revenue</w:t>
            </w:r>
          </w:p>
        </w:tc>
        <w:tc>
          <w:tcPr>
            <w:tcW w:w="14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22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9,400</w:t>
            </w:r>
          </w:p>
        </w:tc>
        <w:tc>
          <w:tcPr>
            <w:tcW w:w="3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(6,705)</w:t>
            </w:r>
          </w:p>
        </w:tc>
        <w:tc>
          <w:tcPr>
            <w:tcW w:w="540" w:type="dxa"/>
            <w:vAlign w:val="bottom"/>
            <w:tcBorders>
              <w:bottom w:val="single" w:sz="8" w:color="DBDBDB"/>
            </w:tcBorders>
            <w:shd w:val="clear" w:color="auto" w:fill="DBDBDB"/>
          </w:tcPr>
          <w:p>
            <w:pPr>
              <w:jc w:val="center"/>
              <w:ind w:left="216"/>
              <w:spacing w:after="0"/>
              <w:rPr>
                <w:sz w:val="20"/>
                <w:szCs w:val="20"/>
                <w:color w:val="auto"/>
              </w:rPr>
            </w:pPr>
            <w:r>
              <w:rPr>
                <w:rFonts w:ascii="Times New Roman" w:cs="Times New Roman" w:eastAsia="Times New Roman" w:hAnsi="Times New Roman"/>
                <w:sz w:val="13"/>
                <w:szCs w:val="13"/>
                <w:color w:val="auto"/>
              </w:rPr>
              <w:t>(71)</w:t>
            </w:r>
          </w:p>
        </w:tc>
      </w:tr>
      <w:tr>
        <w:trPr>
          <w:trHeight w:val="172"/>
        </w:trPr>
        <w:tc>
          <w:tcPr>
            <w:tcW w:w="6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905,813</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1,237,635</w:t>
            </w:r>
          </w:p>
        </w:tc>
        <w:tc>
          <w:tcPr>
            <w:tcW w:w="320" w:type="dxa"/>
            <w:vAlign w:val="bottom"/>
            <w:tcBorders>
              <w:top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(331,823)</w:t>
            </w:r>
          </w:p>
        </w:tc>
        <w:tc>
          <w:tcPr>
            <w:tcW w:w="540" w:type="dxa"/>
            <w:vAlign w:val="bottom"/>
            <w:tcBorders>
              <w:top w:val="single" w:sz="8" w:color="auto"/>
            </w:tcBorders>
          </w:tcPr>
          <w:p>
            <w:pPr>
              <w:jc w:val="center"/>
              <w:ind w:left="216"/>
              <w:spacing w:after="0"/>
              <w:rPr>
                <w:sz w:val="20"/>
                <w:szCs w:val="20"/>
                <w:color w:val="auto"/>
              </w:rPr>
            </w:pPr>
            <w:r>
              <w:rPr>
                <w:rFonts w:ascii="Times New Roman" w:cs="Times New Roman" w:eastAsia="Times New Roman" w:hAnsi="Times New Roman"/>
                <w:sz w:val="13"/>
                <w:szCs w:val="13"/>
                <w:b w:val="1"/>
                <w:bCs w:val="1"/>
                <w:color w:val="auto"/>
              </w:rPr>
              <w:t>(27)</w:t>
            </w:r>
          </w:p>
        </w:tc>
      </w:tr>
      <w:tr>
        <w:trPr>
          <w:trHeight w:val="29"/>
        </w:trPr>
        <w:tc>
          <w:tcPr>
            <w:tcW w:w="6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12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Sales of vehicles for the six months ended June 30, 2024 were $883.6 million, a decrease of $325.2 million, or 27% compared to $1,208.8 million for the six months ended June 30, 2023. The decrease was driven primarily by lower volumes of Polestar 2 sales across certain geographic markets such as the United Kingdom, United States, Germany, and Sweden. Additionally, a $106.7 million increase in discounts to fleet customers contributed to the decrease in revenue from Sales of vehicles.</w:t>
      </w:r>
    </w:p>
    <w:p>
      <w:pPr>
        <w:spacing w:after="0" w:line="47"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Sales of software and performance engineered kits for the six months ended June 30, 2024 were $7.9 million, a decrease of $3.5 million, or 31% compared to $11.4 million for the six months ended June 30, 2023. The decrease is a result of Polestar's continued emphasis on its own vehicles, coupled with a continued decline in Volvo Car's sales of Polestar's performance engineered kits.</w:t>
      </w:r>
    </w:p>
    <w:p>
      <w:pPr>
        <w:spacing w:after="0" w:line="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Vehicle leasing revenue for the six months ended June 30, 2024 was $11.6 million, an increase of $4.1 million, or 54% compared to $7.5 million for the six months ended June 30, 2023. This activity is primarily driven by greater recognition of deferred revenue for repurchase vehicles sold to external parties as compared to the six months ended June 30, 2023.</w:t>
      </w:r>
    </w:p>
    <w:p>
      <w:pPr>
        <w:spacing w:after="0" w:line="3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Other revenue for the six months ended June 30, 2024 was $2.7 million, a decrease of $6.7 million, or 71% compared to $9.4 million for the six months ended June 30, 2023. The decrease is driven primarily by less sales-based royalties received from Volvo Cars on sales of parts and accessories for the Polestar as compared to the six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Cost of sales and gross profit/(loss)</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Cost of sales for the six months ended June 30, 2024 was $933.1 million, a decrease of $282.9 million, or 23% compared to $1,216.0 million for the six months ended June 30, 2023. This decrease was mainly due to a $207.4 million reduction in material costs related to lower sales volumes of Polestar 2 and a $79.5 million reversal of previous inventory impairments for vehicles sold.</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Gross profit/(loss) for the six months ended June 30, 2024 was a gross loss of $27.3 million, a decrease of $48.9 million, or 226% compared to a gross profit of $21.6 million for the six months ended June 30, 2023. This decrease is attributed to lower net revenue of</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800" w:right="299" w:bottom="1440" w:gutter="0" w:footer="0" w:header="0"/>
        </w:sectPr>
      </w:pPr>
    </w:p>
    <w:bookmarkStart w:id="7" w:name="page8"/>
    <w:bookmarkEnd w:id="7"/>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$331.8 million primarily due to lower volumes of Polestar 2 sales and greater dealer discounts. Refer to the explanation of the Revenue variances above for greater details. These negative impacts were partially offset by a $207.4 million reduction in material cost and a $79.5 million reversal of previous inventory impairments for vehicles sold.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Selling, general, and administrative expense</w:t>
      </w:r>
    </w:p>
    <w:p>
      <w:pPr>
        <w:spacing w:after="0" w:line="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Selling, general, and administrative expense for the six months ended June 30, 2024 was $437.8 million, a decrease of $36.8 million, or 8% compared to $474.6 million for the six months ended June 30, 2023. This activity is primarily due to a decrease in media activities expense of $22.2 million. Additional decreases were attributed to lower administrative cost of $15.2 million during the six months ended June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Research and development expense</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Research and development expense for the six months ended June 30, 2024 was $23.3 million, a decrease of $59.7 million, or 72%, from $83.1 million for the six months ended June 30, 2023. This change was primarily driven by a decrease in the amortization costs as Polestar 2 intellectual property began capitalization into inventory during the fourth quarter of the year ended December 31, 2023. Until then, the Polestar 2 intellectual</w:t>
      </w:r>
    </w:p>
    <w:p>
      <w:pPr>
        <w:jc w:val="both"/>
        <w:spacing w:after="0" w:line="222" w:lineRule="auto"/>
        <w:rPr>
          <w:sz w:val="20"/>
          <w:szCs w:val="20"/>
          <w:color w:val="auto"/>
        </w:rPr>
      </w:pPr>
      <w:r>
        <w:rPr>
          <w:rFonts w:ascii="Times New Roman" w:cs="Times New Roman" w:eastAsia="Times New Roman" w:hAnsi="Times New Roman"/>
          <w:sz w:val="13"/>
          <w:szCs w:val="13"/>
          <w:color w:val="auto"/>
        </w:rPr>
        <w:t>property was amortized into Research and development expense. Additionally, Polestar 6 reached the capitalization phase during the second half of the year ended December 31, 2023, and therefore costs related to the development of the Polestar 6 are no longer recognized in Research and development expense.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operating income (expenses), net</w:t>
      </w:r>
    </w:p>
    <w:p>
      <w:pPr>
        <w:spacing w:after="0" w:line="6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3"/>
          <w:szCs w:val="13"/>
          <w:color w:val="auto"/>
        </w:rPr>
        <w:t>Other operating income (expense), net for the six months ended June 30, 2024 was an income of $24.0 million, a decrease of $14.5 million, or 38% compared to an income of $38.6 million for the six months ended June 30, 2023. This decrease is primarily driven by higher negative foreign exchange effects on working capital comprised of realized and unrealized gains on foreign currency transactions of $41.3 million. Additional decreases were attributed to increased other operating expenses of $4.6 million. These decreases were partially offset by $31.1 million of income, mostly related to income recognized during the six months ended June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30, 2024 for services provided to Polestar Times Technology during the year ended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Finance income</w:t>
      </w:r>
    </w:p>
    <w:p>
      <w:pPr>
        <w:spacing w:after="0" w:line="131"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Finance income for the six months ended June 30, 2024 was $5.6 million, a decrease of $6.9 million, or 55% compared to $12.5 million for the six months ended June 30, 2023. This decrease was primarily the result of lower interest income on bank accounts of $7.2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Finance expenses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Finance expense for the six months ended June 30, 2024 was $201.4 million, an increase of $108.8 million, or 117% compared to $92.7 million for the six months ended June 30, 2023. This increase was primarily the</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result of higher interest expense due to related parties of $46.6 million, higher interest expense associated with liabilities to credit institutions of $41.1 million, and higher negative realized and unrealized foreign exchange effects of $17.4 million.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change - Earn-out rights</w:t>
      </w:r>
    </w:p>
    <w:p>
      <w:pPr>
        <w:spacing w:after="0" w:line="64"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3"/>
          <w:szCs w:val="13"/>
          <w:color w:val="auto"/>
        </w:rPr>
        <w:t>The gain on Fair value change - Earn-out rights for the six months ended June 30, 2024 was $139.6 million, a decrease of $93.4 million, or 40% compared to $233.0 million for the six months ended June 30, 2023. This change is primarily attributable to a decrease in Polestar's share price and a comparable change in Polestar’s share price during the six months ended June 30, 2024, as compared to the six months ended June 30, 2023. The share price was $0.79 for the six months ended June 30, 2024, compared to $3.82 for the six months ended June 30, 2023 and changed by $1.47, from $2.26 to $0.79 for the six months ended June 30, 2024,</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compared to $1.49, from $5.31 to $3.82 for the six months ended June 30, 2023. Leveraging a benchmark of peers and utilizing historical data, the implied equity volatility used in the Monte Carlo simulation is 80% as of June 30, 2024, as compared to 75% as of June 30,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change - Class C Shares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The gain on the fair value change of these warrants (i.e, Class C Shares) for the six months ended June 30, 2024 was $2.5 million, a decrease of $8.3 million or 77% compared to $10.8 million for the six months ended June 30, 2023. This decrease is primarily attributable to a smaller change in the price of the Class C-1 Shares and the estimated value of the Class C-2 Shares by $0.10, from $0.24 to $0.14 for the six months ended June 30, 2024, compared to $0.43, from $1.12 to $0.69 for the six months ended June 30, 2023.</w:t>
      </w:r>
    </w:p>
    <w:p>
      <w:pPr>
        <w:spacing w:after="0" w:line="47"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3"/>
          <w:szCs w:val="13"/>
          <w:color w:val="auto"/>
        </w:rPr>
        <w:t>Polestar utilizes a binomial lattice model to calculate the value of the Class C-2 Shares which factors several inputs, including the changes in Polestar’s share price, the implied volatility of Class C-1 Shares, and risk-free rate. During the six months ended June 30, 2024, Polestar's share price decreased by $1.47, from $2.26 to $0.79, implied volatility of publicly traded Class C-1 Shares increased from 88% to 225%, and risk-free rate increased from 3.93% to 4.47% over the same period. During the six months ended June 30, 2023 Polestar's share price decreased by $1.49, from $5.31 to $3.82, implied volatility of publicly traded Class C-1 Shares increased from 89% to 94%, and risk-free rate increased from 4.01% to 4.27% over the same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 of earnings in associate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3"/>
          <w:szCs w:val="13"/>
          <w:color w:val="auto"/>
        </w:rPr>
        <w:t xml:space="preserve">During the six months ended June 30, 2024, Polestar injected cash of $34.3 million into Polestar Times Technology and maintains 46.2% ownership. Polestar recognized an expense of $4.4 million </w:t>
      </w:r>
      <w:r>
        <w:rPr>
          <w:rFonts w:ascii="Times New Roman" w:cs="Times New Roman" w:eastAsia="Times New Roman" w:hAnsi="Times New Roman"/>
          <w:sz w:val="14"/>
          <w:szCs w:val="14"/>
          <w:color w:val="auto"/>
        </w:rPr>
        <w:t>for the</w:t>
      </w:r>
      <w:r>
        <w:rPr>
          <w:rFonts w:ascii="Times New Roman" w:cs="Times New Roman" w:eastAsia="Times New Roman" w:hAnsi="Times New Roman"/>
          <w:sz w:val="13"/>
          <w:szCs w:val="13"/>
          <w:color w:val="auto"/>
        </w:rPr>
        <w:t xml:space="preserve"> six months ended June 30, 2024, this expense is attributed to</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53340</wp:posOffset>
            </wp:positionV>
            <wp:extent cx="719709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8" w:name="page9"/>
    <w:bookmarkEnd w:id="8"/>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Polestar's share of Polestar Times Technology's net losses. As Polestar completed its First Contribution Condition in Polestar Technology on December 20, 2023, there is no comparable period. Polestar's carrying value of its investment in Polestar Technology was zero as a result of its share of Polestar Technology's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 Liquidity and capital resources</w:t>
      </w:r>
    </w:p>
    <w:p>
      <w:pPr>
        <w:spacing w:after="0" w:line="55"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Polestar continues to finances its operations primarily through various short-term credit facilities, including working capital facilities, medium term loans with credit institutions and related parties, sale leaseback arrangements, inventory finance facilities and extended trade credit with related parties. Polestar anticipates it will continue to need to raise funding via these methods and via equity to meet the cash requirements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fulfill its obligations. The principal uses for liquidity and capital are funding operations, repayment of debt, market expansion, and investments in Polestar's future vehicles and automotive technologies.</w:t>
      </w:r>
    </w:p>
    <w:p>
      <w:pPr>
        <w:spacing w:after="0" w:line="39"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Polestar continues to generate negative operating and investing cash flows as a result of scaling up commercialization efforts globally, along with continuing capital expenditures for the PS2, PS3, PS4, PS5, and PS6. Polestar does not expect to achieve positive free cash flows until late 2025. Managing the company’s liquidity profile and funding needs remains one of management’s key priorities. Substantial doubt about Polestar's</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 xml:space="preserve">ability to continue as a going concern persists as timely realization of financing endeavors is necessary to cover forecasted operating and investing cash outflow. Refer to </w:t>
      </w:r>
      <w:r>
        <w:rPr>
          <w:rFonts w:ascii="Times New Roman" w:cs="Times New Roman" w:eastAsia="Times New Roman" w:hAnsi="Times New Roman"/>
          <w:sz w:val="13"/>
          <w:szCs w:val="13"/>
          <w:i w:val="1"/>
          <w:iCs w:val="1"/>
          <w:color w:val="auto"/>
        </w:rPr>
        <w:t>Note 1 - Overview and basis of preparation</w:t>
      </w:r>
      <w:r>
        <w:rPr>
          <w:rFonts w:ascii="Times New Roman" w:cs="Times New Roman" w:eastAsia="Times New Roman" w:hAnsi="Times New Roman"/>
          <w:sz w:val="13"/>
          <w:szCs w:val="13"/>
          <w:color w:val="auto"/>
        </w:rPr>
        <w:t xml:space="preserve"> in the accompanying Unaudited Condensed Consolidated Financial Statements included elsewhere in this report for more information.</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Polestar intends to continue developing its short, medium, and long-term financing relationships with European and Chinese banking partners and Polestar's related parties, including upsizing current facilities where applicable, while also continuing to explore potential equity or debt offerings.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Debt financing</w:t>
      </w:r>
    </w:p>
    <w:p>
      <w:pPr>
        <w:spacing w:after="0" w:line="5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Polestar enters into various debt arrangements with European and Chinese banking partners, related parties, and other financial institutions in the form of short-term, medium-term, and long-term funding to meet Polestar's capital needs.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Current and non-current Liabilities to credit institutions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periods presented in the accompanying Unaudited Condensed Consolidated Financial Statements, Polestar utilized several short-term working capital loans, primarily originating from European and Chinese</w:t>
      </w:r>
    </w:p>
    <w:p>
      <w:pPr>
        <w:spacing w:after="0" w:line="1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banking partners. These existing and developing relationships provide Polestar with a reliable source of short-term liquidity. All short-term working capital loans that have come due during the periods presented have been repaid on-time. Short-term working capital loans are primarily used for the purposes of achieving sales volumes.</w:t>
      </w:r>
    </w:p>
    <w:p>
      <w:pPr>
        <w:spacing w:after="0" w:line="37"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2"/>
          <w:szCs w:val="12"/>
          <w:color w:val="auto"/>
        </w:rPr>
        <w:t>Current Liabilities to credit institutions are in the form of loans from banks, floor plan facilities, and sale leaseback facilities. On February 22, 2024, Polestar entered into its first non-current loan agreement with credit institutions. This was in the form of a syndicated multicurrency green trade facility with 12 banks including Standard Chartered Bank acting as agent and security agent. The facility consists of two tranches: Facility A (EUR denominated at €340 million with an interest rate at the relevant EURIBOR plus 2.85%) and Facility B (USD denominated at $583.5 million</w:t>
      </w:r>
      <w:r>
        <w:rPr>
          <w:rFonts w:ascii="Times New Roman" w:cs="Times New Roman" w:eastAsia="Times New Roman" w:hAnsi="Times New Roman"/>
          <w:sz w:val="13"/>
          <w:szCs w:val="13"/>
          <w:color w:val="auto"/>
        </w:rPr>
        <w:t>,</w:t>
      </w:r>
      <w:r>
        <w:rPr>
          <w:rFonts w:ascii="Times New Roman" w:cs="Times New Roman" w:eastAsia="Times New Roman" w:hAnsi="Times New Roman"/>
          <w:sz w:val="12"/>
          <w:szCs w:val="12"/>
          <w:color w:val="auto"/>
        </w:rPr>
        <w:t xml:space="preserve"> with an interest rate at the Chicago Mercantile Exchange Term SOFR</w:t>
      </w:r>
    </w:p>
    <w:p>
      <w:pPr>
        <w:spacing w:after="0" w:line="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2"/>
          <w:szCs w:val="12"/>
          <w:color w:val="auto"/>
        </w:rPr>
        <w:t>plus 3.35%). Both facilities have a 36-month repayment period with repayment of utilizations due in full at the end of the period, including any unpaid interest and other fees. The facilities are secured by interest reserve accounts pledges with an aggregate of three months interest deposited upon utilization of available credit. As of February 28, 2024, Polestar had fully utilized its borrowing capacity and drawn down on $947.3 million.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syndicated loan is subject to covenant requirements, including but not limited to a minimum annual revenue of $5,359.9 million for 2024, minimum quarterly cash levels of €400 million, and maximum quarterly</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financial indebtedness of $5,500 million. As of June 30, 2024, Polestar is at risk of breaching certain of these covenants, which could lead to the banks calling on the debt immediately if the breach occurs. In the event the debt is called upon immediately, the entirety of the debt will become current. Discussions are ongoing with the banks to seek a waiver of certain covenant requirements by December 31, 2024.</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Polestar's green trade facility entered into on February 28, 2022 is subject to certain covenant requirements and shares the same minimum quarterly cash covenant as the syndicated loan. As of June 30, 2024, Polestar is not at risk of breaching its cash covenant.</w:t>
      </w:r>
    </w:p>
    <w:p>
      <w:pPr>
        <w:spacing w:after="0" w:line="3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As of June 30, 2024, Polestar had total Current liabilities to credit institutions and Non-current liabilities to credit institutions outstanding of $1,536.8 million and $947.3 million, respectively. Refer to Note 14 - Liabilities to credit institutions for information on Polestar's working capital loans outstanding as of June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Comparison of the six months ended June 30, 2024 and 2023</w:t>
      </w:r>
    </w:p>
    <w:p>
      <w:pPr>
        <w:spacing w:after="0" w:line="57"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3"/>
          <w:szCs w:val="13"/>
          <w:color w:val="auto"/>
        </w:rPr>
        <w:t>As of June 30, 2024, Polestar had Cash and cash equivalents of $668.9 million as compared to $768.9 million as of December 31, 2023. Cash and cash equivalents consist of cash in banks with an original term of three months or less. As of June 30, 2024, the Group had restricted cash of $21.5 million which is presented within Other non-current assets in the Unaudited Condensed Consolidated Statement of Financial Position. As of December 31, 2023, the Group had restricted cash of $1.8 million which is presented as Other non-current assets in the Unaudited Condensed Consolidated Statement of Financial Position. The following table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summarizes Polestar’s Unaudited Condensed Consolidated Statement of Cash Flows for the six months ended June 30, 2024 and 2023:</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3900" w:type="dxa"/>
            <w:vAlign w:val="bottom"/>
            <w:shd w:val="clear" w:color="auto" w:fill="DBDBDB"/>
          </w:tcPr>
          <w:p>
            <w:pPr>
              <w:spacing w:after="0"/>
              <w:rPr>
                <w:sz w:val="16"/>
                <w:szCs w:val="16"/>
                <w:color w:val="auto"/>
              </w:rPr>
            </w:pPr>
          </w:p>
        </w:tc>
        <w:tc>
          <w:tcPr>
            <w:tcW w:w="3240" w:type="dxa"/>
            <w:vAlign w:val="bottom"/>
            <w:shd w:val="clear" w:color="auto" w:fill="DBDBDB"/>
          </w:tcPr>
          <w:p>
            <w:pPr>
              <w:spacing w:after="0"/>
              <w:rPr>
                <w:sz w:val="16"/>
                <w:szCs w:val="16"/>
                <w:color w:val="auto"/>
              </w:rPr>
            </w:pPr>
          </w:p>
        </w:tc>
        <w:tc>
          <w:tcPr>
            <w:tcW w:w="2560" w:type="dxa"/>
            <w:vAlign w:val="bottom"/>
            <w:tcBorders>
              <w:bottom w:val="single" w:sz="8" w:color="auto"/>
            </w:tcBorders>
            <w:gridSpan w:val="2"/>
            <w:shd w:val="clear" w:color="auto" w:fill="DBDBDB"/>
          </w:tcPr>
          <w:p>
            <w:pPr>
              <w:jc w:val="right"/>
              <w:ind w:right="358"/>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20" w:type="dxa"/>
            <w:vAlign w:val="bottom"/>
            <w:tcBorders>
              <w:bottom w:val="single" w:sz="8" w:color="auto"/>
            </w:tcBorders>
            <w:shd w:val="clear" w:color="auto" w:fill="DBDBDB"/>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4"/>
              </w:rPr>
              <w:t>Variance</w:t>
            </w:r>
          </w:p>
        </w:tc>
        <w:tc>
          <w:tcPr>
            <w:tcW w:w="300" w:type="dxa"/>
            <w:vAlign w:val="bottom"/>
          </w:tcPr>
          <w:p>
            <w:pPr>
              <w:spacing w:after="0"/>
              <w:rPr>
                <w:sz w:val="16"/>
                <w:szCs w:val="16"/>
                <w:color w:val="auto"/>
              </w:rPr>
            </w:pPr>
          </w:p>
        </w:tc>
      </w:tr>
      <w:tr>
        <w:trPr>
          <w:trHeight w:val="174"/>
        </w:trPr>
        <w:tc>
          <w:tcPr>
            <w:tcW w:w="28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600" w:type="dxa"/>
            <w:vAlign w:val="bottom"/>
            <w:gridSpan w:val="2"/>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0" w:type="dxa"/>
            <w:vAlign w:val="bottom"/>
          </w:tcPr>
          <w:p>
            <w:pPr>
              <w:jc w:val="right"/>
              <w:ind w:right="578"/>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5"/>
                <w:szCs w:val="15"/>
                <w:color w:val="auto"/>
              </w:rPr>
            </w:pPr>
          </w:p>
        </w:tc>
      </w:tr>
      <w:tr>
        <w:trPr>
          <w:trHeight w:val="202"/>
        </w:trPr>
        <w:tc>
          <w:tcPr>
            <w:tcW w:w="280" w:type="dxa"/>
            <w:vAlign w:val="bottom"/>
          </w:tcPr>
          <w:p>
            <w:pPr>
              <w:spacing w:after="0"/>
              <w:rPr>
                <w:sz w:val="17"/>
                <w:szCs w:val="17"/>
                <w:color w:val="auto"/>
              </w:rPr>
            </w:pPr>
          </w:p>
        </w:tc>
        <w:tc>
          <w:tcPr>
            <w:tcW w:w="3900" w:type="dxa"/>
            <w:vAlign w:val="bottom"/>
            <w:tcBorders>
              <w:bottom w:val="single" w:sz="8" w:color="DBDBDB"/>
            </w:tcBorders>
            <w:shd w:val="clear" w:color="auto" w:fill="DBDBDB"/>
          </w:tcPr>
          <w:p>
            <w:pPr>
              <w:spacing w:after="0"/>
              <w:rPr>
                <w:sz w:val="17"/>
                <w:szCs w:val="17"/>
                <w:color w:val="auto"/>
              </w:rPr>
            </w:pPr>
          </w:p>
        </w:tc>
        <w:tc>
          <w:tcPr>
            <w:tcW w:w="3240" w:type="dxa"/>
            <w:vAlign w:val="bottom"/>
            <w:tcBorders>
              <w:bottom w:val="single" w:sz="8" w:color="DBDBDB"/>
            </w:tcBorders>
            <w:shd w:val="clear" w:color="auto" w:fill="DBDBDB"/>
          </w:tcPr>
          <w:p>
            <w:pPr>
              <w:spacing w:after="0"/>
              <w:rPr>
                <w:sz w:val="17"/>
                <w:szCs w:val="17"/>
                <w:color w:val="auto"/>
              </w:rPr>
            </w:pPr>
          </w:p>
        </w:tc>
        <w:tc>
          <w:tcPr>
            <w:tcW w:w="13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center"/>
              <w:ind w:right="278"/>
              <w:spacing w:after="0"/>
              <w:rPr>
                <w:sz w:val="20"/>
                <w:szCs w:val="20"/>
                <w:color w:val="auto"/>
              </w:rPr>
            </w:pPr>
            <w:r>
              <w:rPr>
                <w:rFonts w:ascii="Times New Roman" w:cs="Times New Roman" w:eastAsia="Times New Roman" w:hAnsi="Times New Roman"/>
                <w:sz w:val="12"/>
                <w:szCs w:val="12"/>
                <w:b w:val="1"/>
                <w:bCs w:val="1"/>
                <w:color w:val="auto"/>
                <w:w w:val="94"/>
              </w:rPr>
              <w:t>(Restated)</w:t>
            </w:r>
          </w:p>
        </w:tc>
        <w:tc>
          <w:tcPr>
            <w:tcW w:w="1020" w:type="dxa"/>
            <w:vAlign w:val="bottom"/>
            <w:tcBorders>
              <w:bottom w:val="single" w:sz="8" w:color="DBDBDB"/>
            </w:tcBorders>
            <w:shd w:val="clear" w:color="auto" w:fill="DBDBDB"/>
          </w:tcPr>
          <w:p>
            <w:pPr>
              <w:spacing w:after="0"/>
              <w:rPr>
                <w:sz w:val="17"/>
                <w:szCs w:val="17"/>
                <w:color w:val="auto"/>
              </w:rPr>
            </w:pPr>
          </w:p>
        </w:tc>
        <w:tc>
          <w:tcPr>
            <w:tcW w:w="300" w:type="dxa"/>
            <w:vAlign w:val="bottom"/>
          </w:tcPr>
          <w:p>
            <w:pPr>
              <w:spacing w:after="0"/>
              <w:rPr>
                <w:sz w:val="17"/>
                <w:szCs w:val="17"/>
                <w:color w:val="auto"/>
              </w:rPr>
            </w:pPr>
          </w:p>
        </w:tc>
      </w:tr>
      <w:tr>
        <w:trPr>
          <w:trHeight w:val="172"/>
        </w:trPr>
        <w:tc>
          <w:tcPr>
            <w:tcW w:w="280" w:type="dxa"/>
            <w:vAlign w:val="bottom"/>
          </w:tcPr>
          <w:p>
            <w:pPr>
              <w:spacing w:after="0"/>
              <w:rPr>
                <w:sz w:val="14"/>
                <w:szCs w:val="14"/>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for)/provided by operating activities</w:t>
            </w:r>
          </w:p>
        </w:tc>
        <w:tc>
          <w:tcPr>
            <w:tcW w:w="3240" w:type="dxa"/>
            <w:vAlign w:val="bottom"/>
          </w:tcPr>
          <w:p>
            <w:pPr>
              <w:spacing w:after="0"/>
              <w:rPr>
                <w:sz w:val="14"/>
                <w:szCs w:val="14"/>
                <w:color w:val="auto"/>
              </w:rPr>
            </w:pPr>
          </w:p>
        </w:tc>
        <w:tc>
          <w:tcPr>
            <w:tcW w:w="136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rPr>
              <w:t>(169,662)</w:t>
            </w:r>
          </w:p>
        </w:tc>
        <w:tc>
          <w:tcPr>
            <w:tcW w:w="12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3"/>
                <w:szCs w:val="13"/>
                <w:color w:val="auto"/>
              </w:rPr>
              <w:t>(660,242)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490,580</w:t>
            </w:r>
          </w:p>
        </w:tc>
        <w:tc>
          <w:tcPr>
            <w:tcW w:w="300" w:type="dxa"/>
            <w:vAlign w:val="bottom"/>
          </w:tcPr>
          <w:p>
            <w:pPr>
              <w:spacing w:after="0"/>
              <w:rPr>
                <w:sz w:val="14"/>
                <w:szCs w:val="14"/>
                <w:color w:val="auto"/>
              </w:rPr>
            </w:pPr>
          </w:p>
        </w:tc>
      </w:tr>
      <w:tr>
        <w:trPr>
          <w:trHeight w:val="645"/>
        </w:trPr>
        <w:tc>
          <w:tcPr>
            <w:tcW w:w="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240" w:type="dxa"/>
            <w:vAlign w:val="bottom"/>
          </w:tcPr>
          <w:p>
            <w:pPr>
              <w:jc w:val="right"/>
              <w:ind w:right="1676"/>
              <w:spacing w:after="0"/>
              <w:rPr>
                <w:sz w:val="20"/>
                <w:szCs w:val="20"/>
                <w:color w:val="auto"/>
              </w:rPr>
            </w:pPr>
            <w:r>
              <w:rPr>
                <w:rFonts w:ascii="Times New Roman" w:cs="Times New Roman" w:eastAsia="Times New Roman" w:hAnsi="Times New Roman"/>
                <w:sz w:val="13"/>
                <w:szCs w:val="13"/>
                <w:color w:val="auto"/>
              </w:rPr>
              <w:t>7</w:t>
            </w:r>
          </w:p>
        </w:tc>
        <w:tc>
          <w:tcPr>
            <w:tcW w:w="1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77"/>
        </w:trPr>
        <w:tc>
          <w:tcPr>
            <w:tcW w:w="280" w:type="dxa"/>
            <w:vAlign w:val="bottom"/>
            <w:tcBorders>
              <w:bottom w:val="single" w:sz="8" w:color="9A9A9A"/>
            </w:tcBorders>
          </w:tcPr>
          <w:p>
            <w:pPr>
              <w:spacing w:after="0"/>
              <w:rPr>
                <w:sz w:val="6"/>
                <w:szCs w:val="6"/>
                <w:color w:val="auto"/>
              </w:rPr>
            </w:pPr>
          </w:p>
        </w:tc>
        <w:tc>
          <w:tcPr>
            <w:tcW w:w="3900" w:type="dxa"/>
            <w:vAlign w:val="bottom"/>
            <w:tcBorders>
              <w:bottom w:val="single" w:sz="8" w:color="9A9A9A"/>
            </w:tcBorders>
          </w:tcPr>
          <w:p>
            <w:pPr>
              <w:spacing w:after="0"/>
              <w:rPr>
                <w:sz w:val="6"/>
                <w:szCs w:val="6"/>
                <w:color w:val="auto"/>
              </w:rPr>
            </w:pPr>
          </w:p>
        </w:tc>
        <w:tc>
          <w:tcPr>
            <w:tcW w:w="324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-24130</wp:posOffset>
            </wp:positionV>
            <wp:extent cx="31750" cy="37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-24130</wp:posOffset>
            </wp:positionV>
            <wp:extent cx="31750"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733" w:right="299" w:bottom="1440" w:gutter="0" w:footer="0" w:header="0"/>
        </w:sectPr>
      </w:pPr>
    </w:p>
    <w:bookmarkStart w:id="9" w:name="page10"/>
    <w:bookmarkEnd w:id="9"/>
    <w:tbl>
      <w:tblPr>
        <w:tblLayout w:type="fixed"/>
        <w:tblInd w:w="280" w:type="dxa"/>
        <w:tblCellMar>
          <w:top w:w="0" w:type="dxa"/>
          <w:left w:w="0" w:type="dxa"/>
          <w:bottom w:w="0" w:type="dxa"/>
          <w:right w:w="0" w:type="dxa"/>
        </w:tblCellMar>
      </w:tblPr>
      <w:tr>
        <w:trPr>
          <w:trHeight w:val="192"/>
        </w:trPr>
        <w:tc>
          <w:tcPr>
            <w:tcW w:w="48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Cash used for investing activities</w:t>
            </w:r>
          </w:p>
        </w:tc>
        <w:tc>
          <w:tcPr>
            <w:tcW w:w="376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(355,085)</w:t>
            </w:r>
          </w:p>
        </w:tc>
        <w:tc>
          <w:tcPr>
            <w:tcW w:w="1220" w:type="dxa"/>
            <w:vAlign w:val="bottom"/>
            <w:tcBorders>
              <w:bottom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color w:val="auto"/>
              </w:rPr>
              <w:t>(279,168)</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(75,917)</w:t>
            </w:r>
          </w:p>
        </w:tc>
      </w:tr>
      <w:tr>
        <w:trPr>
          <w:trHeight w:val="182"/>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financing activities</w:t>
            </w:r>
          </w:p>
        </w:tc>
        <w:tc>
          <w:tcPr>
            <w:tcW w:w="376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rPr>
              <w:t>445,120</w:t>
            </w:r>
          </w:p>
        </w:tc>
        <w:tc>
          <w:tcPr>
            <w:tcW w:w="122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1,061,440</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(616,320)</w:t>
            </w:r>
          </w:p>
        </w:tc>
      </w:tr>
    </w:tbl>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(used for)/provided by operating activities</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Cash used for operating activities for the six months ended June 30, 2024 was $169.7 million, a decrease of $490.6 million compared to $660.2 million for the six months ended June 30, 2023. The change is primarily attributable to positive changes in working capital during the six months ended June 30, 2024.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used for inventories for the six months ended June 30, 2024 was a cash inflow of $163.5 million, a decrease of $352.7 million compared to cash outflow of $189.2 million for the six months ended June 30, 2023.</w:t>
      </w:r>
    </w:p>
    <w:p>
      <w:pPr>
        <w:spacing w:after="0"/>
        <w:rPr>
          <w:sz w:val="20"/>
          <w:szCs w:val="20"/>
          <w:color w:val="auto"/>
        </w:rPr>
      </w:pPr>
      <w:r>
        <w:rPr>
          <w:rFonts w:ascii="Times New Roman" w:cs="Times New Roman" w:eastAsia="Times New Roman" w:hAnsi="Times New Roman"/>
          <w:sz w:val="13"/>
          <w:szCs w:val="13"/>
          <w:color w:val="auto"/>
        </w:rPr>
        <w:t>This change is primarily due to greater vehicle sales relative to vehicles produced for the six months ended June 30, 2024 compared to the six months ended June 30, 2023.</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provided by changes in trade receivables, prepaid expenses, and other assets for the six months ended June 30, 2024 was a cash inflow of $115.6 million, an increase of $46.9 million compared to a cash inflow of</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$68.7 million for the six months ended June 30, 2023.This change is primarily due to a $45.2 million decrease in Trade receivables from related parties, reflecting higher collections from Volvo Cars in the six months ended June 30, 2024 compared to the six months ended June 30,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used for trade payables, accrued expenses, and other liabilities for the six months ended June 30, 2024 was cash inflow of $97.1 million, a decrease of $231.9 million compared to a cash outflow of $134.8 million</w:t>
      </w:r>
    </w:p>
    <w:p>
      <w:pPr>
        <w:spacing w:after="0" w:line="1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for the six months ended June 30, 2023. This change is primarily due to $229.0 million in lower settlements of trade payables to Volvo Cars for the six months ended June 30, 2024 compared to the six months ended June 30, 2023.</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used for contract liabilities for the six months ended June 30, 2024 was a cash inflow of $1.9 million, a decrease of $19.3 million compared to a cash inflow of $21.2 million for the six months ended June 30, 2023.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is primarily due to lower volumes of Polestar 2 sales.</w:t>
      </w:r>
    </w:p>
    <w:p>
      <w:pPr>
        <w:spacing w:after="0" w:line="39" w:lineRule="exact"/>
        <w:rPr>
          <w:sz w:val="20"/>
          <w:szCs w:val="20"/>
          <w:color w:val="auto"/>
        </w:rPr>
      </w:pPr>
    </w:p>
    <w:p>
      <w:pPr>
        <w:ind w:right="340"/>
        <w:spacing w:after="0" w:line="233" w:lineRule="auto"/>
        <w:rPr>
          <w:sz w:val="20"/>
          <w:szCs w:val="20"/>
          <w:color w:val="auto"/>
        </w:rPr>
      </w:pPr>
      <w:r>
        <w:rPr>
          <w:rFonts w:ascii="Times New Roman" w:cs="Times New Roman" w:eastAsia="Times New Roman" w:hAnsi="Times New Roman"/>
          <w:sz w:val="13"/>
          <w:szCs w:val="13"/>
          <w:color w:val="auto"/>
        </w:rPr>
        <w:t>Cash used to pay interest for the six months ended June 30, 2024 was $146.2 million, an increase of $97.5 million compared to $48.7 million for the six months ended June 30, 2023 . The change is primarily due to $89.1 million in higher interest paid to credit institutions related to working capital loans for the six months ended June 30, 2024 compared to the six months ended June 30,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Cash used for investing activities for the six months ended June 30, 2024 was $355.1 million, a increase of $75.9 million compared to $279.2 million for the six months ended June 30, 2023. The change is primarily related to a $41.0 million increase in Additions to property, plant, and equipment from a cash outflow of $42.9 million for the six months ended June 30, 2023 to a cash outflow of $83.9 million for the six months ended</w:t>
      </w:r>
    </w:p>
    <w:p>
      <w:pPr>
        <w:spacing w:after="0"/>
        <w:rPr>
          <w:sz w:val="20"/>
          <w:szCs w:val="20"/>
          <w:color w:val="auto"/>
        </w:rPr>
      </w:pPr>
      <w:r>
        <w:rPr>
          <w:rFonts w:ascii="Times New Roman" w:cs="Times New Roman" w:eastAsia="Times New Roman" w:hAnsi="Times New Roman"/>
          <w:sz w:val="13"/>
          <w:szCs w:val="13"/>
          <w:color w:val="auto"/>
        </w:rPr>
        <w:t>June 30, 2024. Polestar also injected $34.3 million into Polestar Times Technology for the six months ended June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Cash provided by financing activities for the six months ended June 30, 2024 was $445.1 million, a decrease of $616.3 million compared to $1,061.4 million for the six months ended June 30, 2023. The change was</w:t>
      </w:r>
    </w:p>
    <w:p>
      <w:pPr>
        <w:jc w:val="both"/>
        <w:spacing w:after="0" w:line="223" w:lineRule="auto"/>
        <w:rPr>
          <w:sz w:val="20"/>
          <w:szCs w:val="20"/>
          <w:color w:val="auto"/>
        </w:rPr>
      </w:pPr>
      <w:r>
        <w:rPr>
          <w:rFonts w:ascii="Times New Roman" w:cs="Times New Roman" w:eastAsia="Times New Roman" w:hAnsi="Times New Roman"/>
          <w:sz w:val="12"/>
          <w:szCs w:val="12"/>
          <w:color w:val="auto"/>
        </w:rPr>
        <w:t>primarily the result of decreased liquidity provided by draw-downs on short-term working capital facilities with Chinese and European banking partners coupled with increased principal repayments on maturing loans during the six months ended June 30, 2024. Polestar’s borrowings provided $1,345.3 million in gross cash proceeds during the period, of which $950.6 million was sourced from a syndicated multicurrency green trade facility, $134.2 million was sourced from short-term working capital facilities with Chinese banking partners, $143.2 million was sourced from a green trade revolving credit facility with a syndicate of European banks,</w:t>
      </w: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and $117.3 million was sourced from multiple low-value floorplan and sale-leaseback facilities, including the facility with Volvo Cars. These gross cash proceeds were partially offset by principal repayments of $867.2 million during the period, of which $212.5 million was used to settle short-term working capital facilities with Chinese banking partners, $553.5 million was used to settle amounts due on the green trade revolving credit facility, $101.3 million was used to settle amounts due on the low-value floorplan and sale-leaseback facilities, including the facility with Volvo Cars, and $12.5 million was used to settle amounts due on lease liabilities.</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Additionally, there was an increase in restricted deposits of $20.4 million related to the syndicated multicurrency green trade facility covenant requiring Polestar to keep cash restricted, equivalent to the interest expense of the current interest period.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Contractual obligations and commitments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Polestar is party to contractual obligations to make payments to third parties and related parties in the form of short-term credit facilities, sale leaseback arrangements, and various other leasing arrangements. Polestar also has certain capital commitments to purchase property, plant and equipment and intellectual property. The following table summarizes Polestar’s estimated future cash expenditures related to contractual obligations and commitments as of June 30, 2024:</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3980" w:type="dxa"/>
            <w:vAlign w:val="bottom"/>
            <w:shd w:val="clear" w:color="auto" w:fill="DBDBDB"/>
          </w:tcPr>
          <w:p>
            <w:pPr>
              <w:spacing w:after="0"/>
              <w:rPr>
                <w:sz w:val="16"/>
                <w:szCs w:val="16"/>
                <w:color w:val="auto"/>
              </w:rPr>
            </w:pPr>
          </w:p>
        </w:tc>
        <w:tc>
          <w:tcPr>
            <w:tcW w:w="1860" w:type="dxa"/>
            <w:vAlign w:val="bottom"/>
            <w:shd w:val="clear" w:color="auto" w:fill="DBDBDB"/>
          </w:tcPr>
          <w:p>
            <w:pPr>
              <w:spacing w:after="0"/>
              <w:rPr>
                <w:sz w:val="16"/>
                <w:szCs w:val="16"/>
                <w:color w:val="auto"/>
              </w:rPr>
            </w:pPr>
          </w:p>
        </w:tc>
        <w:tc>
          <w:tcPr>
            <w:tcW w:w="1340" w:type="dxa"/>
            <w:vAlign w:val="bottom"/>
            <w:tcBorders>
              <w:bottom w:val="single" w:sz="8" w:color="auto"/>
            </w:tcBorders>
            <w:shd w:val="clear" w:color="auto" w:fill="DBDBDB"/>
          </w:tcPr>
          <w:p>
            <w:pPr>
              <w:spacing w:after="0"/>
              <w:rPr>
                <w:sz w:val="16"/>
                <w:szCs w:val="16"/>
                <w:color w:val="auto"/>
              </w:rPr>
            </w:pPr>
          </w:p>
        </w:tc>
        <w:tc>
          <w:tcPr>
            <w:tcW w:w="2420" w:type="dxa"/>
            <w:vAlign w:val="bottom"/>
            <w:tcBorders>
              <w:bottom w:val="single" w:sz="8" w:color="auto"/>
            </w:tcBorders>
            <w:gridSpan w:val="2"/>
            <w:shd w:val="clear" w:color="auto" w:fill="DBDBDB"/>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Payments due by period</w:t>
            </w:r>
          </w:p>
        </w:tc>
        <w:tc>
          <w:tcPr>
            <w:tcW w:w="1020" w:type="dxa"/>
            <w:vAlign w:val="bottom"/>
            <w:tcBorders>
              <w:bottom w:val="single" w:sz="8" w:color="auto"/>
            </w:tcBorders>
            <w:shd w:val="clear" w:color="auto" w:fill="DBDBDB"/>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Contractual obligations and commitments</w:t>
            </w:r>
          </w:p>
        </w:tc>
        <w:tc>
          <w:tcPr>
            <w:tcW w:w="1860" w:type="dxa"/>
            <w:vAlign w:val="bottom"/>
          </w:tcPr>
          <w:p>
            <w:pPr>
              <w:spacing w:after="0"/>
              <w:rPr>
                <w:sz w:val="15"/>
                <w:szCs w:val="15"/>
                <w:color w:val="auto"/>
              </w:rPr>
            </w:pPr>
          </w:p>
        </w:tc>
        <w:tc>
          <w:tcPr>
            <w:tcW w:w="1340" w:type="dxa"/>
            <w:vAlign w:val="bottom"/>
            <w:vMerge w:val="restart"/>
          </w:tcPr>
          <w:p>
            <w:pPr>
              <w:jc w:val="right"/>
              <w:ind w:right="536"/>
              <w:spacing w:after="0"/>
              <w:rPr>
                <w:sz w:val="20"/>
                <w:szCs w:val="20"/>
                <w:color w:val="auto"/>
              </w:rPr>
            </w:pPr>
            <w:r>
              <w:rPr>
                <w:rFonts w:ascii="Times New Roman" w:cs="Times New Roman" w:eastAsia="Times New Roman" w:hAnsi="Times New Roman"/>
                <w:sz w:val="13"/>
                <w:szCs w:val="13"/>
                <w:color w:val="auto"/>
              </w:rPr>
              <w:t>Total</w:t>
            </w:r>
          </w:p>
        </w:tc>
        <w:tc>
          <w:tcPr>
            <w:tcW w:w="120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Less than</w:t>
            </w:r>
          </w:p>
        </w:tc>
        <w:tc>
          <w:tcPr>
            <w:tcW w:w="122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rPr>
              <w:t>Between</w:t>
            </w:r>
          </w:p>
        </w:tc>
        <w:tc>
          <w:tcPr>
            <w:tcW w:w="1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After 5</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3980" w:type="dxa"/>
            <w:vAlign w:val="bottom"/>
            <w:tcBorders>
              <w:bottom w:val="single" w:sz="8" w:color="DBDBDB"/>
            </w:tcBorders>
            <w:vMerge w:val="continue"/>
          </w:tcPr>
          <w:p>
            <w:pPr>
              <w:spacing w:after="0"/>
              <w:rPr>
                <w:sz w:val="15"/>
                <w:szCs w:val="15"/>
                <w:color w:val="auto"/>
              </w:rPr>
            </w:pPr>
          </w:p>
        </w:tc>
        <w:tc>
          <w:tcPr>
            <w:tcW w:w="1860" w:type="dxa"/>
            <w:vAlign w:val="bottom"/>
            <w:tcBorders>
              <w:bottom w:val="single" w:sz="8" w:color="DBDBDB"/>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2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rPr>
              <w:t>1 year</w:t>
            </w:r>
          </w:p>
        </w:tc>
        <w:tc>
          <w:tcPr>
            <w:tcW w:w="12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rPr>
              <w:t>1-5 years</w:t>
            </w:r>
          </w:p>
        </w:tc>
        <w:tc>
          <w:tcPr>
            <w:tcW w:w="10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rPr>
              <w:t>years</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3980" w:type="dxa"/>
            <w:vAlign w:val="bottom"/>
            <w:shd w:val="clear" w:color="auto" w:fill="DBDBDB"/>
          </w:tcPr>
          <w:p>
            <w:pPr>
              <w:spacing w:after="0"/>
              <w:rPr>
                <w:sz w:val="20"/>
                <w:szCs w:val="20"/>
                <w:color w:val="auto"/>
              </w:rPr>
            </w:pPr>
            <w:r>
              <w:rPr>
                <w:rFonts w:ascii="Times New Roman" w:cs="Times New Roman" w:eastAsia="Times New Roman" w:hAnsi="Times New Roman"/>
                <w:sz w:val="12"/>
                <w:szCs w:val="12"/>
                <w:color w:val="auto"/>
              </w:rPr>
              <w:t>Capital commitments</w:t>
            </w:r>
            <w:r>
              <w:rPr>
                <w:rFonts w:ascii="Times New Roman" w:cs="Times New Roman" w:eastAsia="Times New Roman" w:hAnsi="Times New Roman"/>
                <w:sz w:val="15"/>
                <w:szCs w:val="15"/>
                <w:color w:val="auto"/>
                <w:vertAlign w:val="superscript"/>
              </w:rPr>
              <w:t>1</w:t>
            </w:r>
          </w:p>
        </w:tc>
        <w:tc>
          <w:tcPr>
            <w:tcW w:w="3200" w:type="dxa"/>
            <w:vAlign w:val="bottom"/>
            <w:gridSpan w:val="2"/>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699,591</w:t>
            </w:r>
          </w:p>
        </w:tc>
        <w:tc>
          <w:tcPr>
            <w:tcW w:w="120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525,334</w:t>
            </w:r>
          </w:p>
        </w:tc>
        <w:tc>
          <w:tcPr>
            <w:tcW w:w="1220" w:type="dxa"/>
            <w:vAlign w:val="bottom"/>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rPr>
              <w:t>162,818</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11,439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Minimum purchase commitments</w:t>
            </w:r>
            <w:r>
              <w:rPr>
                <w:rFonts w:ascii="Times New Roman" w:cs="Times New Roman" w:eastAsia="Times New Roman" w:hAnsi="Times New Roman"/>
                <w:sz w:val="15"/>
                <w:szCs w:val="15"/>
                <w:color w:val="auto"/>
                <w:vertAlign w:val="superscript"/>
              </w:rPr>
              <w:t>2</w:t>
            </w:r>
          </w:p>
        </w:tc>
        <w:tc>
          <w:tcPr>
            <w:tcW w:w="320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440,374</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326,345</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106,696</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3980" w:type="dxa"/>
            <w:vAlign w:val="bottom"/>
            <w:shd w:val="clear" w:color="auto" w:fill="DBDBDB"/>
          </w:tcPr>
          <w:p>
            <w:pPr>
              <w:spacing w:after="0"/>
              <w:rPr>
                <w:sz w:val="20"/>
                <w:szCs w:val="20"/>
                <w:color w:val="auto"/>
              </w:rPr>
            </w:pPr>
            <w:r>
              <w:rPr>
                <w:rFonts w:ascii="Times New Roman" w:cs="Times New Roman" w:eastAsia="Times New Roman" w:hAnsi="Times New Roman"/>
                <w:sz w:val="12"/>
                <w:szCs w:val="12"/>
                <w:color w:val="auto"/>
              </w:rPr>
              <w:t>Credit facilities, including sale leasebacks and floor plans</w:t>
            </w:r>
            <w:r>
              <w:rPr>
                <w:rFonts w:ascii="Times New Roman" w:cs="Times New Roman" w:eastAsia="Times New Roman" w:hAnsi="Times New Roman"/>
                <w:sz w:val="15"/>
                <w:szCs w:val="15"/>
                <w:color w:val="auto"/>
                <w:vertAlign w:val="superscript"/>
              </w:rPr>
              <w:t>3</w:t>
            </w:r>
          </w:p>
        </w:tc>
        <w:tc>
          <w:tcPr>
            <w:tcW w:w="3200" w:type="dxa"/>
            <w:vAlign w:val="bottom"/>
            <w:gridSpan w:val="2"/>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2,484,108</w:t>
            </w:r>
          </w:p>
        </w:tc>
        <w:tc>
          <w:tcPr>
            <w:tcW w:w="120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1,536,819</w:t>
            </w:r>
          </w:p>
        </w:tc>
        <w:tc>
          <w:tcPr>
            <w:tcW w:w="1220" w:type="dxa"/>
            <w:vAlign w:val="bottom"/>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rPr>
              <w:t>947,289</w:t>
            </w: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2"/>
                <w:szCs w:val="12"/>
                <w:color w:val="auto"/>
              </w:rPr>
              <w:t>Other liabilities, including floor plans - related parties</w:t>
            </w:r>
            <w:r>
              <w:rPr>
                <w:rFonts w:ascii="Times New Roman" w:cs="Times New Roman" w:eastAsia="Times New Roman" w:hAnsi="Times New Roman"/>
                <w:sz w:val="15"/>
                <w:szCs w:val="15"/>
                <w:color w:val="auto"/>
                <w:vertAlign w:val="superscript"/>
              </w:rPr>
              <w:t>4</w:t>
            </w:r>
          </w:p>
        </w:tc>
        <w:tc>
          <w:tcPr>
            <w:tcW w:w="3200" w:type="dxa"/>
            <w:vAlign w:val="bottom"/>
            <w:gridSpan w:val="2"/>
          </w:tcPr>
          <w:p>
            <w:pPr>
              <w:jc w:val="right"/>
              <w:ind w:right="136"/>
              <w:spacing w:after="0"/>
              <w:rPr>
                <w:sz w:val="20"/>
                <w:szCs w:val="20"/>
                <w:color w:val="auto"/>
              </w:rPr>
            </w:pPr>
            <w:r>
              <w:rPr>
                <w:rFonts w:ascii="Times New Roman" w:cs="Times New Roman" w:eastAsia="Times New Roman" w:hAnsi="Times New Roman"/>
                <w:sz w:val="13"/>
                <w:szCs w:val="13"/>
                <w:color w:val="auto"/>
              </w:rPr>
              <w:t>1,460,096</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86,195</w:t>
            </w:r>
          </w:p>
        </w:tc>
        <w:tc>
          <w:tcPr>
            <w:tcW w:w="122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1,358,367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15,534</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9"/>
        </w:trPr>
        <w:tc>
          <w:tcPr>
            <w:tcW w:w="3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60" w:type="dxa"/>
            <w:vAlign w:val="bottom"/>
          </w:tcPr>
          <w:p>
            <w:pPr>
              <w:jc w:val="right"/>
              <w:ind w:right="436"/>
              <w:spacing w:after="0"/>
              <w:rPr>
                <w:sz w:val="20"/>
                <w:szCs w:val="20"/>
                <w:color w:val="auto"/>
              </w:rPr>
            </w:pPr>
            <w:r>
              <w:rPr>
                <w:rFonts w:ascii="Times New Roman" w:cs="Times New Roman" w:eastAsia="Times New Roman" w:hAnsi="Times New Roman"/>
                <w:sz w:val="13"/>
                <w:szCs w:val="13"/>
                <w:color w:val="auto"/>
              </w:rPr>
              <w:t>8</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40" w:type="dxa"/>
            <w:vAlign w:val="bottom"/>
            <w:tcBorders>
              <w:bottom w:val="single" w:sz="8" w:color="9A9A9A"/>
            </w:tcBorders>
          </w:tcPr>
          <w:p>
            <w:pPr>
              <w:spacing w:after="0"/>
              <w:rPr>
                <w:sz w:val="7"/>
                <w:szCs w:val="7"/>
                <w:color w:val="auto"/>
              </w:rPr>
            </w:pPr>
          </w:p>
        </w:tc>
        <w:tc>
          <w:tcPr>
            <w:tcW w:w="398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-24130</wp:posOffset>
            </wp:positionV>
            <wp:extent cx="3175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-24130</wp:posOffset>
            </wp:positionV>
            <wp:extent cx="3175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774" w:right="299" w:bottom="1440" w:gutter="0" w:footer="0" w:header="0"/>
        </w:sectPr>
      </w:pPr>
    </w:p>
    <w:bookmarkStart w:id="10" w:name="page11"/>
    <w:bookmarkEnd w:id="10"/>
    <w:tbl>
      <w:tblPr>
        <w:tblLayout w:type="fixed"/>
        <w:tblInd w:w="340" w:type="dxa"/>
        <w:tblCellMar>
          <w:top w:w="0" w:type="dxa"/>
          <w:left w:w="0" w:type="dxa"/>
          <w:bottom w:w="0" w:type="dxa"/>
          <w:right w:w="0" w:type="dxa"/>
        </w:tblCellMar>
      </w:tblPr>
      <w:tr>
        <w:trPr>
          <w:trHeight w:val="212"/>
        </w:trPr>
        <w:tc>
          <w:tcPr>
            <w:tcW w:w="5840" w:type="dxa"/>
            <w:vAlign w:val="bottom"/>
            <w:shd w:val="clear" w:color="auto" w:fill="DBDBDB"/>
          </w:tcPr>
          <w:p>
            <w:pPr>
              <w:spacing w:after="0"/>
              <w:rPr>
                <w:sz w:val="20"/>
                <w:szCs w:val="20"/>
                <w:color w:val="auto"/>
              </w:rPr>
            </w:pPr>
            <w:r>
              <w:rPr>
                <w:rFonts w:ascii="Times New Roman" w:cs="Times New Roman" w:eastAsia="Times New Roman" w:hAnsi="Times New Roman"/>
                <w:sz w:val="12"/>
                <w:szCs w:val="12"/>
                <w:color w:val="auto"/>
              </w:rPr>
              <w:t>Lease obligations including related parties</w:t>
            </w:r>
            <w:r>
              <w:rPr>
                <w:rFonts w:ascii="Times New Roman" w:cs="Times New Roman" w:eastAsia="Times New Roman" w:hAnsi="Times New Roman"/>
                <w:sz w:val="15"/>
                <w:szCs w:val="15"/>
                <w:color w:val="auto"/>
                <w:vertAlign w:val="superscript"/>
              </w:rPr>
              <w:t>5</w:t>
            </w:r>
          </w:p>
        </w:tc>
        <w:tc>
          <w:tcPr>
            <w:tcW w:w="3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131,465</w:t>
            </w:r>
          </w:p>
        </w:tc>
        <w:tc>
          <w:tcPr>
            <w:tcW w:w="3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34,990</w:t>
            </w:r>
          </w:p>
        </w:tc>
        <w:tc>
          <w:tcPr>
            <w:tcW w:w="38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84,440</w:t>
            </w:r>
          </w:p>
        </w:tc>
        <w:tc>
          <w:tcPr>
            <w:tcW w:w="460" w:type="dxa"/>
            <w:vAlign w:val="bottom"/>
            <w:tcBorders>
              <w:bottom w:val="single" w:sz="8" w:color="auto"/>
            </w:tcBorders>
            <w:shd w:val="clear" w:color="auto" w:fill="DBDBDB"/>
          </w:tcPr>
          <w:p>
            <w:pPr>
              <w:spacing w:after="0"/>
              <w:rPr>
                <w:sz w:val="18"/>
                <w:szCs w:val="18"/>
                <w:color w:val="auto"/>
              </w:rPr>
            </w:pPr>
          </w:p>
        </w:tc>
        <w:tc>
          <w:tcPr>
            <w:tcW w:w="7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12,035</w:t>
            </w:r>
          </w:p>
        </w:tc>
      </w:tr>
      <w:tr>
        <w:trPr>
          <w:trHeight w:val="172"/>
        </w:trPr>
        <w:tc>
          <w:tcPr>
            <w:tcW w:w="5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5,215,634</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2,509,683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2,659,610</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3926205</wp:posOffset>
            </wp:positionH>
            <wp:positionV relativeFrom="paragraph">
              <wp:posOffset>18415</wp:posOffset>
            </wp:positionV>
            <wp:extent cx="303022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30220" cy="6350"/>
                    </a:xfrm>
                    <a:prstGeom prst="rect">
                      <a:avLst/>
                    </a:prstGeom>
                    <a:noFill/>
                  </pic:spPr>
                </pic:pic>
              </a:graphicData>
            </a:graphic>
          </wp:anchor>
        </w:drawing>
      </w:r>
    </w:p>
    <w:p>
      <w:pPr>
        <w:spacing w:after="0" w:line="53" w:lineRule="exact"/>
        <w:rPr>
          <w:sz w:val="20"/>
          <w:szCs w:val="20"/>
          <w:color w:val="auto"/>
        </w:rPr>
      </w:pP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Capital commitments relate to Polestar's investment in PPE and intangible assets for the production of upcoming PS3 models, PS4, PS5 and PS6. Additionally, the remaining capital injections Polestar will provide Polestar Times Technology are included herein.</w:t>
      </w:r>
    </w:p>
    <w:p>
      <w:pPr>
        <w:ind w:left="460" w:right="60" w:hanging="232"/>
        <w:spacing w:after="0" w:line="237" w:lineRule="auto"/>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Minimum purchase commitments relate to contracts with certain suppliers including a non-cancellable commitment, an agreed minimum purchase volume, or an agreed minimum sales volume. In the event of a shortfall in purchases, a shortfall in sales, or Polestar ´s decision to terminate such contracts, these suppliers are entitled to compensation from Polestar.</w:t>
      </w: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Refer to Note 14 - Liabilities to credit institutions for further details on Polestar's credit facilities including sale leasebacks and floor plans.</w:t>
      </w:r>
    </w:p>
    <w:p>
      <w:pPr>
        <w:spacing w:after="0" w:line="13" w:lineRule="exact"/>
        <w:rPr>
          <w:rFonts w:ascii="Times New Roman" w:cs="Times New Roman" w:eastAsia="Times New Roman" w:hAnsi="Times New Roman"/>
          <w:sz w:val="10"/>
          <w:szCs w:val="10"/>
          <w:color w:val="auto"/>
        </w:rPr>
      </w:pP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Refer to Note 15 - Related party transactions for further details.</w:t>
      </w:r>
    </w:p>
    <w:p>
      <w:pPr>
        <w:spacing w:after="0" w:line="19" w:lineRule="exact"/>
        <w:rPr>
          <w:rFonts w:ascii="Times New Roman" w:cs="Times New Roman" w:eastAsia="Times New Roman" w:hAnsi="Times New Roman"/>
          <w:sz w:val="10"/>
          <w:szCs w:val="10"/>
          <w:color w:val="auto"/>
        </w:rPr>
      </w:pPr>
    </w:p>
    <w:p>
      <w:pPr>
        <w:ind w:left="460" w:hanging="232"/>
        <w:spacing w:after="0"/>
        <w:tabs>
          <w:tab w:leader="none" w:pos="460" w:val="left"/>
        </w:tabs>
        <w:numPr>
          <w:ilvl w:val="0"/>
          <w:numId w:val="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Refer to Note 6 - Leases for further details.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Other than the capital commitments mentioned in “Contractual obligations and commitments” in this “Operating and Financial Review and Prospectus,” Polestar does not maintain any off-balance sheet activities, arrangements, or relationships with unconsolidated entities (e.g., special purpose vehicles and structured finance entities) or persons that have a material current effect, or are reasonably likely to have a material future effect, on Polestar’s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 Non-GAAP Financial Measures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Polestar uses both generally accepted accounting principles (“GAAP,” i.e., IFRS) and non-GAAP (i.e., non-IFRS) financial measures to evaluate operating performance, internal comparisons to historical performance, and other strategic and financial decision-making purposes. Polestar believes non-GAAP financial measures are helpful to investors as they provide useful perspective on underlying business trends and assist in period-</w:t>
      </w:r>
    </w:p>
    <w:p>
      <w:pPr>
        <w:spacing w:after="0"/>
        <w:rPr>
          <w:sz w:val="20"/>
          <w:szCs w:val="20"/>
          <w:color w:val="auto"/>
        </w:rPr>
      </w:pPr>
      <w:r>
        <w:rPr>
          <w:rFonts w:ascii="Times New Roman" w:cs="Times New Roman" w:eastAsia="Times New Roman" w:hAnsi="Times New Roman"/>
          <w:sz w:val="13"/>
          <w:szCs w:val="13"/>
          <w:color w:val="auto"/>
        </w:rPr>
        <w:t>on-period comparisons. These measures also improve the ability of management and investors to assess and compare the financial performance and position of Polestar with those of other companies.</w:t>
      </w:r>
    </w:p>
    <w:p>
      <w:pPr>
        <w:spacing w:after="0" w:line="39"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Non-GAAP financial measures include adjusted EBITDA, adjusted net loss, and adjusted free cash flow.</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Adjusted EBITDA</w:t>
      </w:r>
    </w:p>
    <w:p>
      <w:pPr>
        <w:spacing w:after="0" w:line="5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Adjusted EBITDA is calculated as Net loss, adjusted for Fair value change - Earn-out rights, Fair value change - Class C Shares, interest income, interest expense, Income tax benefit (expense), and depreciation and amortization. Adjusted EBITDA is defined as EBITDA, adjusted for certain income and expenses which are significant in nature and that management considers not reflective of ongoing operational activities. This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measure is reviewed by management and is a relevant measure for understanding the underlying operating results and trends of the business prior to the impact of any adjusting items.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Adjusted Net Loss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Adjusted net loss is calculated as Net loss, adjusted to exclude Fair value change - Earn-out rights, Fair value change - Class C Shares. This measure represents Net loss, adjusted for certain income and expenses which</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are significant in nature and that management considers not reflective of ongoing operational activities. This measure is reviewed by management and is a relevant measure for understanding the underlying performance of Polestar's core business operations.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Adjusted Free Cash Flow</w:t>
      </w:r>
    </w:p>
    <w:p>
      <w:pPr>
        <w:spacing w:after="0" w:line="6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Adjusted free cash flow is calculated as Cash used for operating activities, adjusted to exclude cash flows used for property, plant and equipment and intangible assets. This measure is reviewed by management and is a relevant measure for understanding cash sourced from operating activities that is available to repay debts, fund capital expenditures, and spend on other strategic initiatives.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Reconciliation of GAAP and Non-GAAP Results</w:t>
      </w:r>
    </w:p>
    <w:p>
      <w:pPr>
        <w:spacing w:after="0" w:line="6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All figures presented in the tables below are in thousands of U.S. dollars unless otherwise stated. Additionally, certain 2023 figures have been restated. Refer to Note 18 - Restatement of prior period financial statements for details.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Adjusted EBITDA</w:t>
            </w:r>
          </w:p>
        </w:tc>
        <w:tc>
          <w:tcPr>
            <w:tcW w:w="5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7"/>
        </w:trPr>
        <w:tc>
          <w:tcPr>
            <w:tcW w:w="3700" w:type="dxa"/>
            <w:vAlign w:val="bottom"/>
            <w:tcBorders>
              <w:bottom w:val="single" w:sz="8" w:color="DBDBDB"/>
            </w:tcBorders>
            <w:shd w:val="clear" w:color="auto" w:fill="DBDBDB"/>
          </w:tcPr>
          <w:p>
            <w:pPr>
              <w:spacing w:after="0"/>
              <w:rPr>
                <w:sz w:val="18"/>
                <w:szCs w:val="18"/>
                <w:color w:val="auto"/>
              </w:rPr>
            </w:pPr>
          </w:p>
        </w:tc>
        <w:tc>
          <w:tcPr>
            <w:tcW w:w="5080" w:type="dxa"/>
            <w:vAlign w:val="bottom"/>
            <w:tcBorders>
              <w:bottom w:val="single" w:sz="8" w:color="DBDBDB"/>
            </w:tcBorders>
            <w:shd w:val="clear" w:color="auto" w:fill="DBDBDB"/>
          </w:tcPr>
          <w:p>
            <w:pPr>
              <w:spacing w:after="0"/>
              <w:rPr>
                <w:sz w:val="18"/>
                <w:szCs w:val="18"/>
                <w:color w:val="auto"/>
              </w:rPr>
            </w:pPr>
          </w:p>
        </w:tc>
        <w:tc>
          <w:tcPr>
            <w:tcW w:w="2520" w:type="dxa"/>
            <w:vAlign w:val="bottom"/>
            <w:tcBorders>
              <w:bottom w:val="single" w:sz="8" w:color="DBDBDB"/>
            </w:tcBorders>
            <w:gridSpan w:val="2"/>
            <w:shd w:val="clear" w:color="auto" w:fill="DBDBDB"/>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2"/>
        </w:trPr>
        <w:tc>
          <w:tcPr>
            <w:tcW w:w="3700" w:type="dxa"/>
            <w:vAlign w:val="bottom"/>
            <w:tcBorders>
              <w:bottom w:val="single" w:sz="8" w:color="DBDBDB"/>
            </w:tcBorders>
          </w:tcPr>
          <w:p>
            <w:pPr>
              <w:spacing w:after="0"/>
              <w:rPr>
                <w:sz w:val="14"/>
                <w:szCs w:val="14"/>
                <w:color w:val="auto"/>
              </w:rPr>
            </w:pPr>
          </w:p>
        </w:tc>
        <w:tc>
          <w:tcPr>
            <w:tcW w:w="5080" w:type="dxa"/>
            <w:vAlign w:val="bottom"/>
            <w:tcBorders>
              <w:bottom w:val="single" w:sz="8" w:color="DBDBDB"/>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2"/>
        </w:trPr>
        <w:tc>
          <w:tcPr>
            <w:tcW w:w="3700" w:type="dxa"/>
            <w:vAlign w:val="bottom"/>
            <w:tcBorders>
              <w:bottom w:val="single" w:sz="8" w:color="DBDBDB"/>
            </w:tcBorders>
            <w:shd w:val="clear" w:color="auto" w:fill="DBDBDB"/>
          </w:tcPr>
          <w:p>
            <w:pPr>
              <w:spacing w:after="0"/>
              <w:rPr>
                <w:sz w:val="16"/>
                <w:szCs w:val="16"/>
                <w:color w:val="auto"/>
              </w:rPr>
            </w:pPr>
          </w:p>
        </w:tc>
        <w:tc>
          <w:tcPr>
            <w:tcW w:w="508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ind w:right="317"/>
              <w:spacing w:after="0"/>
              <w:rPr>
                <w:sz w:val="20"/>
                <w:szCs w:val="20"/>
                <w:color w:val="auto"/>
              </w:rPr>
            </w:pPr>
            <w:r>
              <w:rPr>
                <w:rFonts w:ascii="Times New Roman" w:cs="Times New Roman" w:eastAsia="Times New Roman" w:hAnsi="Times New Roman"/>
                <w:sz w:val="12"/>
                <w:szCs w:val="12"/>
                <w:b w:val="1"/>
                <w:bCs w:val="1"/>
                <w:color w:val="auto"/>
              </w:rPr>
              <w:t>(Restated)</w:t>
            </w:r>
          </w:p>
        </w:tc>
      </w:tr>
      <w:tr>
        <w:trPr>
          <w:trHeight w:val="172"/>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080" w:type="dxa"/>
            <w:vAlign w:val="bottom"/>
          </w:tcPr>
          <w:p>
            <w:pPr>
              <w:spacing w:after="0"/>
              <w:rPr>
                <w:sz w:val="14"/>
                <w:szCs w:val="14"/>
                <w:color w:val="auto"/>
              </w:rPr>
            </w:pPr>
          </w:p>
        </w:tc>
        <w:tc>
          <w:tcPr>
            <w:tcW w:w="1420" w:type="dxa"/>
            <w:vAlign w:val="bottom"/>
            <w:tcBorders>
              <w:top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rPr>
              <w:t>(539,485)</w:t>
            </w:r>
          </w:p>
        </w:tc>
        <w:tc>
          <w:tcPr>
            <w:tcW w:w="110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(340,830)</w:t>
            </w:r>
          </w:p>
        </w:tc>
      </w:tr>
      <w:tr>
        <w:trPr>
          <w:trHeight w:val="29"/>
        </w:trPr>
        <w:tc>
          <w:tcPr>
            <w:tcW w:w="37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2"/>
        </w:trPr>
        <w:tc>
          <w:tcPr>
            <w:tcW w:w="37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6500" w:type="dxa"/>
            <w:vAlign w:val="bottom"/>
            <w:tcBorders>
              <w:bottom w:val="single" w:sz="8" w:color="DBDBDB"/>
            </w:tcBorders>
            <w:gridSpan w:val="2"/>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color w:val="auto"/>
              </w:rPr>
              <w:t>(139,638)</w:t>
            </w:r>
          </w:p>
        </w:tc>
        <w:tc>
          <w:tcPr>
            <w:tcW w:w="110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color w:val="auto"/>
              </w:rPr>
              <w:t>(232,995)</w:t>
            </w:r>
          </w:p>
        </w:tc>
      </w:tr>
      <w:tr>
        <w:trPr>
          <w:trHeight w:val="182"/>
        </w:trPr>
        <w:tc>
          <w:tcPr>
            <w:tcW w:w="3700" w:type="dxa"/>
            <w:vAlign w:val="bottom"/>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6500" w:type="dxa"/>
            <w:vAlign w:val="bottom"/>
            <w:gridSpan w:val="2"/>
          </w:tcPr>
          <w:p>
            <w:pPr>
              <w:jc w:val="right"/>
              <w:ind w:right="176"/>
              <w:spacing w:after="0"/>
              <w:rPr>
                <w:sz w:val="20"/>
                <w:szCs w:val="20"/>
                <w:color w:val="auto"/>
              </w:rPr>
            </w:pPr>
            <w:r>
              <w:rPr>
                <w:rFonts w:ascii="Times New Roman" w:cs="Times New Roman" w:eastAsia="Times New Roman" w:hAnsi="Times New Roman"/>
                <w:sz w:val="13"/>
                <w:szCs w:val="13"/>
                <w:color w:val="auto"/>
              </w:rPr>
              <w:t>(2,500)</w:t>
            </w:r>
          </w:p>
        </w:tc>
        <w:tc>
          <w:tcPr>
            <w:tcW w:w="110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(10,750)</w:t>
            </w:r>
          </w:p>
        </w:tc>
      </w:tr>
      <w:tr>
        <w:trPr>
          <w:trHeight w:val="29"/>
        </w:trPr>
        <w:tc>
          <w:tcPr>
            <w:tcW w:w="37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2"/>
        </w:trPr>
        <w:tc>
          <w:tcPr>
            <w:tcW w:w="37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6500" w:type="dxa"/>
            <w:vAlign w:val="bottom"/>
            <w:tcBorders>
              <w:bottom w:val="single" w:sz="8" w:color="DBDBDB"/>
            </w:tcBorders>
            <w:gridSpan w:val="2"/>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color w:val="auto"/>
              </w:rPr>
              <w:t>(5,606)</w:t>
            </w:r>
          </w:p>
        </w:tc>
        <w:tc>
          <w:tcPr>
            <w:tcW w:w="1100" w:type="dxa"/>
            <w:vAlign w:val="bottom"/>
            <w:tcBorders>
              <w:bottom w:val="single" w:sz="8" w:color="DBDBDB"/>
            </w:tcBorders>
            <w:shd w:val="clear" w:color="auto" w:fill="DBDBDB"/>
          </w:tcPr>
          <w:p>
            <w:pPr>
              <w:jc w:val="right"/>
              <w:ind w:right="17"/>
              <w:spacing w:after="0"/>
              <w:rPr>
                <w:sz w:val="20"/>
                <w:szCs w:val="20"/>
                <w:color w:val="auto"/>
              </w:rPr>
            </w:pPr>
            <w:r>
              <w:rPr>
                <w:rFonts w:ascii="Times New Roman" w:cs="Times New Roman" w:eastAsia="Times New Roman" w:hAnsi="Times New Roman"/>
                <w:sz w:val="13"/>
                <w:szCs w:val="13"/>
                <w:color w:val="auto"/>
              </w:rPr>
              <w:t>(12,489)</w:t>
            </w:r>
          </w:p>
        </w:tc>
      </w:tr>
      <w:tr>
        <w:trPr>
          <w:trHeight w:val="683"/>
        </w:trPr>
        <w:tc>
          <w:tcPr>
            <w:tcW w:w="3700" w:type="dxa"/>
            <w:vAlign w:val="bottom"/>
          </w:tcPr>
          <w:p>
            <w:pPr>
              <w:spacing w:after="0"/>
              <w:rPr>
                <w:sz w:val="24"/>
                <w:szCs w:val="24"/>
                <w:color w:val="auto"/>
              </w:rPr>
            </w:pPr>
          </w:p>
        </w:tc>
        <w:tc>
          <w:tcPr>
            <w:tcW w:w="5080" w:type="dxa"/>
            <w:vAlign w:val="bottom"/>
          </w:tcPr>
          <w:p>
            <w:pPr>
              <w:jc w:val="right"/>
              <w:ind w:right="3036"/>
              <w:spacing w:after="0"/>
              <w:rPr>
                <w:sz w:val="20"/>
                <w:szCs w:val="20"/>
                <w:color w:val="auto"/>
              </w:rPr>
            </w:pPr>
            <w:r>
              <w:rPr>
                <w:rFonts w:ascii="Times New Roman" w:cs="Times New Roman" w:eastAsia="Times New Roman" w:hAnsi="Times New Roman"/>
                <w:sz w:val="13"/>
                <w:szCs w:val="13"/>
                <w:color w:val="auto"/>
              </w:rPr>
              <w:t>9</w:t>
            </w: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87"/>
        </w:trPr>
        <w:tc>
          <w:tcPr>
            <w:tcW w:w="3700" w:type="dxa"/>
            <w:vAlign w:val="bottom"/>
            <w:tcBorders>
              <w:bottom w:val="single" w:sz="8" w:color="9A9A9A"/>
            </w:tcBorders>
          </w:tcPr>
          <w:p>
            <w:pPr>
              <w:spacing w:after="0"/>
              <w:rPr>
                <w:sz w:val="7"/>
                <w:szCs w:val="7"/>
                <w:color w:val="auto"/>
              </w:rPr>
            </w:pPr>
          </w:p>
        </w:tc>
        <w:tc>
          <w:tcPr>
            <w:tcW w:w="508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7150735</wp:posOffset>
            </wp:positionH>
            <wp:positionV relativeFrom="paragraph">
              <wp:posOffset>-24130</wp:posOffset>
            </wp:positionV>
            <wp:extent cx="3175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-24130</wp:posOffset>
            </wp:positionV>
            <wp:extent cx="3175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300"/>
          </w:cols>
          <w:pgMar w:left="300" w:top="774" w:right="299" w:bottom="1440" w:gutter="0" w:footer="0" w:header="0"/>
        </w:sectPr>
      </w:pPr>
    </w:p>
    <w:bookmarkStart w:id="11" w:name="page12"/>
    <w:bookmarkEnd w:id="11"/>
    <w:p>
      <w:pPr>
        <w:ind w:left="3"/>
        <w:spacing w:after="0"/>
        <w:rPr>
          <w:sz w:val="20"/>
          <w:szCs w:val="20"/>
          <w:color w:val="auto"/>
        </w:rPr>
      </w:pPr>
      <w:r>
        <w:rPr>
          <w:rFonts w:ascii="Times New Roman" w:cs="Times New Roman" w:eastAsia="Times New Roman" w:hAnsi="Times New Roman"/>
          <w:sz w:val="13"/>
          <w:szCs w:val="13"/>
          <w:color w:val="auto"/>
        </w:rPr>
        <w:t>Interest expenses</w:t>
      </w:r>
    </w:p>
    <w:p>
      <w:pPr>
        <w:spacing w:after="0" w:line="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Depreciation and amortization expense</w:t>
      </w:r>
    </w:p>
    <w:p>
      <w:pPr>
        <w:spacing w:after="0" w:line="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Adjusted EBITDA</w:t>
      </w:r>
    </w:p>
    <w:p>
      <w:pPr>
        <w:spacing w:after="0" w:line="18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Adjusted Net Loss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Net loss</w:t>
      </w:r>
    </w:p>
    <w:p>
      <w:pPr>
        <w:spacing w:after="0" w:line="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Fair value change - Earn-out rights</w:t>
      </w:r>
    </w:p>
    <w:p>
      <w:pPr>
        <w:spacing w:after="0" w:line="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Fair value change - Class C Shares</w:t>
      </w:r>
    </w:p>
    <w:p>
      <w:pPr>
        <w:spacing w:after="0" w:line="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Adjusted net loss</w:t>
      </w:r>
    </w:p>
    <w:p>
      <w:pPr>
        <w:spacing w:after="0" w:line="20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Adjusted Free Cash Flow</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Net cash used for operating activities</w:t>
      </w:r>
    </w:p>
    <w:p>
      <w:pPr>
        <w:spacing w:after="0" w:line="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Additions to property, plant and equipment</w:t>
      </w:r>
    </w:p>
    <w:p>
      <w:pPr>
        <w:spacing w:after="0" w:line="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Additions to intangible assets</w:t>
      </w:r>
    </w:p>
    <w:p>
      <w:pPr>
        <w:spacing w:after="0" w:line="6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Adjusted free cash flow</w:t>
      </w:r>
    </w:p>
    <w:p>
      <w:pPr>
        <w:spacing w:after="0" w:line="19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D. Critical accounting estimates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165,215</w:t>
            </w:r>
          </w:p>
        </w:tc>
        <w:tc>
          <w:tcPr>
            <w:tcW w:w="24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73,869</w:t>
            </w:r>
          </w:p>
        </w:tc>
      </w:tr>
      <w:tr>
        <w:trPr>
          <w:trHeight w:val="212"/>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17,003</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6,925</w:t>
            </w:r>
          </w:p>
        </w:tc>
      </w:tr>
      <w:tr>
        <w:trPr>
          <w:trHeight w:val="212"/>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22,371</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53,204</w:t>
            </w:r>
          </w:p>
        </w:tc>
      </w:tr>
      <w:tr>
        <w:trPr>
          <w:trHeight w:val="29"/>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(482,640)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(463,066)</w:t>
            </w:r>
          </w:p>
        </w:tc>
      </w:tr>
      <w:tr>
        <w:trPr>
          <w:trHeight w:val="29"/>
        </w:trPr>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r>
      <w:tr>
        <w:trPr>
          <w:trHeight w:val="461"/>
        </w:trPr>
        <w:tc>
          <w:tcPr>
            <w:tcW w:w="200" w:type="dxa"/>
            <w:vAlign w:val="bottom"/>
          </w:tcPr>
          <w:p>
            <w:pPr>
              <w:spacing w:after="0"/>
              <w:rPr>
                <w:sz w:val="24"/>
                <w:szCs w:val="24"/>
                <w:color w:val="auto"/>
              </w:rPr>
            </w:pPr>
          </w:p>
        </w:tc>
        <w:tc>
          <w:tcPr>
            <w:tcW w:w="232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29"/>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59"/>
        </w:trPr>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4"/>
              </w:rPr>
              <w:t>(Restated)</w:t>
            </w:r>
          </w:p>
        </w:tc>
      </w:tr>
      <w:tr>
        <w:trPr>
          <w:trHeight w:val="33"/>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(539,485)</w:t>
            </w:r>
          </w:p>
        </w:tc>
        <w:tc>
          <w:tcPr>
            <w:tcW w:w="24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(340,830)</w:t>
            </w:r>
          </w:p>
        </w:tc>
      </w:tr>
      <w:tr>
        <w:trPr>
          <w:trHeight w:val="212"/>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(232,995)</w:t>
            </w:r>
          </w:p>
        </w:tc>
      </w:tr>
      <w:tr>
        <w:trPr>
          <w:trHeight w:val="212"/>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(10,750)</w:t>
            </w:r>
          </w:p>
        </w:tc>
      </w:tr>
      <w:tr>
        <w:trPr>
          <w:trHeight w:val="29"/>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(681,623)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(584,575)</w:t>
            </w:r>
          </w:p>
        </w:tc>
      </w:tr>
      <w:tr>
        <w:trPr>
          <w:trHeight w:val="29"/>
        </w:trPr>
        <w:tc>
          <w:tcPr>
            <w:tcW w:w="20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3"/>
          </w:tcPr>
          <w:p>
            <w:pPr>
              <w:spacing w:after="0"/>
              <w:rPr>
                <w:sz w:val="2"/>
                <w:szCs w:val="2"/>
                <w:color w:val="auto"/>
              </w:rPr>
            </w:pPr>
          </w:p>
        </w:tc>
      </w:tr>
      <w:tr>
        <w:trPr>
          <w:trHeight w:val="489"/>
        </w:trPr>
        <w:tc>
          <w:tcPr>
            <w:tcW w:w="200" w:type="dxa"/>
            <w:vAlign w:val="bottom"/>
          </w:tcPr>
          <w:p>
            <w:pPr>
              <w:spacing w:after="0"/>
              <w:rPr>
                <w:sz w:val="24"/>
                <w:szCs w:val="24"/>
                <w:color w:val="auto"/>
              </w:rPr>
            </w:pPr>
          </w:p>
        </w:tc>
        <w:tc>
          <w:tcPr>
            <w:tcW w:w="2320" w:type="dxa"/>
            <w:vAlign w:val="bottom"/>
            <w:gridSpan w:val="3"/>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29"/>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9"/>
              </w:rPr>
              <w:t>2023</w:t>
            </w:r>
          </w:p>
        </w:tc>
      </w:tr>
      <w:tr>
        <w:trPr>
          <w:trHeight w:val="159"/>
        </w:trPr>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jc w:val="center"/>
              <w:ind w:right="157"/>
              <w:spacing w:after="0"/>
              <w:rPr>
                <w:sz w:val="20"/>
                <w:szCs w:val="20"/>
                <w:color w:val="auto"/>
              </w:rPr>
            </w:pPr>
            <w:r>
              <w:rPr>
                <w:rFonts w:ascii="Times New Roman" w:cs="Times New Roman" w:eastAsia="Times New Roman" w:hAnsi="Times New Roman"/>
                <w:sz w:val="12"/>
                <w:szCs w:val="12"/>
                <w:b w:val="1"/>
                <w:bCs w:val="1"/>
                <w:color w:val="auto"/>
                <w:w w:val="94"/>
              </w:rPr>
              <w:t>(Restated)</w:t>
            </w:r>
          </w:p>
        </w:tc>
      </w:tr>
      <w:tr>
        <w:trPr>
          <w:trHeight w:val="33"/>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(169,662)</w:t>
            </w:r>
          </w:p>
        </w:tc>
        <w:tc>
          <w:tcPr>
            <w:tcW w:w="240" w:type="dxa"/>
            <w:vAlign w:val="bottom"/>
          </w:tcPr>
          <w:p>
            <w:pPr>
              <w:spacing w:after="0"/>
              <w:rPr>
                <w:sz w:val="14"/>
                <w:szCs w:val="14"/>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(660,242)</w:t>
            </w:r>
          </w:p>
        </w:tc>
      </w:tr>
      <w:tr>
        <w:trPr>
          <w:trHeight w:val="212"/>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(83,884)</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(42,948)</w:t>
            </w:r>
          </w:p>
        </w:tc>
      </w:tr>
      <w:tr>
        <w:trPr>
          <w:trHeight w:val="212"/>
        </w:trPr>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(236,935)</w:t>
            </w:r>
          </w:p>
        </w:tc>
        <w:tc>
          <w:tcPr>
            <w:tcW w:w="240" w:type="dxa"/>
            <w:vAlign w:val="bottom"/>
          </w:tcPr>
          <w:p>
            <w:pPr>
              <w:spacing w:after="0"/>
              <w:rPr>
                <w:sz w:val="18"/>
                <w:szCs w:val="18"/>
                <w:color w:val="auto"/>
              </w:rPr>
            </w:pP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(237,930)</w:t>
            </w:r>
          </w:p>
        </w:tc>
      </w:tr>
      <w:tr>
        <w:trPr>
          <w:trHeight w:val="29"/>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(490,481)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(941,120)</w:t>
            </w:r>
          </w:p>
        </w:tc>
      </w:tr>
      <w:tr>
        <w:trPr>
          <w:trHeight w:val="29"/>
        </w:trPr>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-5576570</wp:posOffset>
            </wp:positionH>
            <wp:positionV relativeFrom="paragraph">
              <wp:posOffset>-2693035</wp:posOffset>
            </wp:positionV>
            <wp:extent cx="717169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1690" cy="134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-2424430</wp:posOffset>
            </wp:positionV>
            <wp:extent cx="7171690" cy="140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1690" cy="14033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-2094865</wp:posOffset>
            </wp:positionV>
            <wp:extent cx="717169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1690" cy="134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-1831975</wp:posOffset>
            </wp:positionV>
            <wp:extent cx="7171690"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1690" cy="12827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-1563370</wp:posOffset>
            </wp:positionV>
            <wp:extent cx="717169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1690" cy="134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-1294130</wp:posOffset>
            </wp:positionV>
            <wp:extent cx="7171690" cy="140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1690" cy="140335"/>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-946150</wp:posOffset>
            </wp:positionV>
            <wp:extent cx="717169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1690" cy="134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-683260</wp:posOffset>
            </wp:positionV>
            <wp:extent cx="7171690" cy="128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1690" cy="12827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-414655</wp:posOffset>
            </wp:positionV>
            <wp:extent cx="717169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690" cy="134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-146050</wp:posOffset>
            </wp:positionV>
            <wp:extent cx="7171690" cy="140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1690" cy="140335"/>
                    </a:xfrm>
                    <a:prstGeom prst="rect">
                      <a:avLst/>
                    </a:prstGeom>
                    <a:noFill/>
                  </pic:spPr>
                </pic:pic>
              </a:graphicData>
            </a:graphic>
          </wp:anchor>
        </w:drawing>
      </w:r>
    </w:p>
    <w:p>
      <w:pPr>
        <w:spacing w:after="0" w:line="361" w:lineRule="exact"/>
        <w:rPr>
          <w:sz w:val="20"/>
          <w:szCs w:val="20"/>
          <w:color w:val="auto"/>
        </w:rPr>
      </w:pPr>
    </w:p>
    <w:p>
      <w:pPr>
        <w:sectPr>
          <w:pgSz w:w="11900" w:h="16838" w:orient="portrait"/>
          <w:cols w:equalWidth="0" w:num="2">
            <w:col w:w="8063" w:space="720"/>
            <w:col w:w="2520"/>
          </w:cols>
          <w:pgMar w:left="297" w:top="714" w:right="299" w:bottom="1440" w:gutter="0" w:footer="0" w:header="0"/>
        </w:sectPr>
      </w:pPr>
    </w:p>
    <w:p>
      <w:pPr>
        <w:jc w:val="both"/>
        <w:ind w:left="3" w:right="20"/>
        <w:spacing w:after="0" w:line="233" w:lineRule="auto"/>
        <w:rPr>
          <w:sz w:val="20"/>
          <w:szCs w:val="20"/>
          <w:color w:val="auto"/>
        </w:rPr>
      </w:pPr>
      <w:r>
        <w:rPr>
          <w:rFonts w:ascii="Times New Roman" w:cs="Times New Roman" w:eastAsia="Times New Roman" w:hAnsi="Times New Roman"/>
          <w:sz w:val="13"/>
          <w:szCs w:val="13"/>
          <w:color w:val="auto"/>
        </w:rPr>
        <w:t>Polestar did not have any new accounting estimates applied during the six months ended June 30, 2024 that are critical to the portrayal of our financial condition and results of operations and that require significant, difficult, subjective, or complex judgements. See Form 20-F filed with the SEC on August 14, 2024, for critical accounting estimates for the year ended, December 31, 2023.</w:t>
      </w:r>
    </w:p>
    <w:p>
      <w:pPr>
        <w:spacing w:after="0" w:line="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E. Forward-looking statements</w:t>
      </w:r>
    </w:p>
    <w:p>
      <w:pPr>
        <w:spacing w:after="0" w:line="7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Certain statements in this discussion may be considered “forward-looking statements” as defined in the Private Securities Litigation Reform Act of 1995. Forward-looking statements generally relate to future events or</w:t>
      </w:r>
    </w:p>
    <w:p>
      <w:pPr>
        <w:jc w:val="both"/>
        <w:ind w:left="3" w:right="20"/>
        <w:spacing w:after="0" w:line="223" w:lineRule="auto"/>
        <w:rPr>
          <w:sz w:val="20"/>
          <w:szCs w:val="20"/>
          <w:color w:val="auto"/>
        </w:rPr>
      </w:pPr>
      <w:r>
        <w:rPr>
          <w:rFonts w:ascii="Times New Roman" w:cs="Times New Roman" w:eastAsia="Times New Roman" w:hAnsi="Times New Roman"/>
          <w:sz w:val="12"/>
          <w:szCs w:val="12"/>
          <w:color w:val="auto"/>
        </w:rPr>
        <w:t>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w:t>
      </w:r>
    </w:p>
    <w:p>
      <w:pPr>
        <w:jc w:val="both"/>
        <w:ind w:left="3" w:right="20"/>
        <w:spacing w:after="0" w:line="222" w:lineRule="auto"/>
        <w:rPr>
          <w:sz w:val="20"/>
          <w:szCs w:val="20"/>
          <w:color w:val="auto"/>
        </w:rPr>
      </w:pPr>
      <w:r>
        <w:rPr>
          <w:rFonts w:ascii="Times New Roman" w:cs="Times New Roman" w:eastAsia="Times New Roman" w:hAnsi="Times New Roman"/>
          <w:sz w:val="13"/>
          <w:szCs w:val="13"/>
          <w:color w:val="auto"/>
        </w:rPr>
        <w:t>them or similar terminology. Such forward-looking statements are subject to risks, uncertainties, and other factors which could cause actual results to differ materially from those expressed or implied by such forward looking statements.</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These forward-looking statements are based upon estimates and assumptions that, while considered reasonable by Polestar and its management, as the case may be, are inherently uncertain. Factors that may cause actual</w:t>
      </w:r>
    </w:p>
    <w:p>
      <w:pPr>
        <w:spacing w:after="0" w:line="11" w:lineRule="exact"/>
        <w:rPr>
          <w:sz w:val="20"/>
          <w:szCs w:val="20"/>
          <w:color w:val="auto"/>
        </w:rPr>
      </w:pPr>
    </w:p>
    <w:p>
      <w:pPr>
        <w:jc w:val="both"/>
        <w:ind w:left="3" w:right="20"/>
        <w:spacing w:after="0" w:line="223" w:lineRule="auto"/>
        <w:rPr>
          <w:sz w:val="20"/>
          <w:szCs w:val="20"/>
          <w:color w:val="auto"/>
        </w:rPr>
      </w:pPr>
      <w:r>
        <w:rPr>
          <w:rFonts w:ascii="Times New Roman" w:cs="Times New Roman" w:eastAsia="Times New Roman" w:hAnsi="Times New Roman"/>
          <w:sz w:val="12"/>
          <w:szCs w:val="12"/>
          <w:color w:val="auto"/>
        </w:rPr>
        <w:t>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w:t>
      </w:r>
    </w:p>
    <w:p>
      <w:pPr>
        <w:jc w:val="both"/>
        <w:ind w:left="3" w:right="20"/>
        <w:spacing w:after="0" w:line="223" w:lineRule="auto"/>
        <w:rPr>
          <w:sz w:val="20"/>
          <w:szCs w:val="20"/>
          <w:color w:val="auto"/>
        </w:rPr>
      </w:pPr>
      <w:r>
        <w:rPr>
          <w:rFonts w:ascii="Times New Roman" w:cs="Times New Roman" w:eastAsia="Times New Roman" w:hAnsi="Times New Roman"/>
          <w:sz w:val="12"/>
          <w:szCs w:val="12"/>
          <w:color w:val="auto"/>
        </w:rPr>
        <w:t>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w:t>
      </w:r>
    </w:p>
    <w:p>
      <w:pPr>
        <w:jc w:val="both"/>
        <w:ind w:left="3" w:right="20"/>
        <w:spacing w:after="0" w:line="217" w:lineRule="auto"/>
        <w:rPr>
          <w:sz w:val="20"/>
          <w:szCs w:val="20"/>
          <w:color w:val="auto"/>
        </w:rPr>
      </w:pPr>
      <w:r>
        <w:rPr>
          <w:rFonts w:ascii="Times New Roman" w:cs="Times New Roman" w:eastAsia="Times New Roman" w:hAnsi="Times New Roman"/>
          <w:sz w:val="12"/>
          <w:szCs w:val="12"/>
          <w:color w:val="auto"/>
        </w:rPr>
        <w:t>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w:t>
      </w:r>
    </w:p>
    <w:p>
      <w:pPr>
        <w:spacing w:after="0" w:line="1" w:lineRule="exact"/>
        <w:rPr>
          <w:sz w:val="20"/>
          <w:szCs w:val="20"/>
          <w:color w:val="auto"/>
        </w:rPr>
      </w:pPr>
    </w:p>
    <w:p>
      <w:pPr>
        <w:jc w:val="both"/>
        <w:ind w:left="3" w:hanging="3"/>
        <w:spacing w:after="0" w:line="215" w:lineRule="auto"/>
        <w:tabs>
          <w:tab w:leader="none" w:pos="187"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w:t>
      </w:r>
    </w:p>
    <w:p>
      <w:pPr>
        <w:spacing w:after="0" w:line="36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7197090" cy="37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3"/>
          </w:cols>
          <w:pgMar w:left="297" w:top="714" w:right="299" w:bottom="1440" w:gutter="0" w:footer="0" w:header="0"/>
          <w:type w:val="continuous"/>
        </w:sectPr>
      </w:pPr>
    </w:p>
    <w:bookmarkStart w:id="12" w:name="page13"/>
    <w:bookmarkEnd w:id="12"/>
    <w:p>
      <w:pPr>
        <w:jc w:val="both"/>
        <w:spacing w:after="0" w:line="238" w:lineRule="auto"/>
        <w:rPr>
          <w:sz w:val="20"/>
          <w:szCs w:val="20"/>
          <w:color w:val="auto"/>
        </w:rPr>
      </w:pPr>
      <w:r>
        <w:rPr>
          <w:rFonts w:ascii="Times New Roman" w:cs="Times New Roman" w:eastAsia="Times New Roman" w:hAnsi="Times New Roman"/>
          <w:sz w:val="12"/>
          <w:szCs w:val="12"/>
          <w:color w:val="auto"/>
        </w:rPr>
        <w:t>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w:t>
      </w:r>
    </w:p>
    <w:p>
      <w:pPr>
        <w:jc w:val="both"/>
        <w:spacing w:after="0" w:line="223" w:lineRule="auto"/>
        <w:rPr>
          <w:sz w:val="20"/>
          <w:szCs w:val="20"/>
          <w:color w:val="auto"/>
        </w:rPr>
      </w:pPr>
      <w:r>
        <w:rPr>
          <w:rFonts w:ascii="Times New Roman" w:cs="Times New Roman" w:eastAsia="Times New Roman" w:hAnsi="Times New Roman"/>
          <w:sz w:val="12"/>
          <w:szCs w:val="12"/>
          <w:color w:val="auto"/>
        </w:rPr>
        <w:t>market new products; (18) risks related to future market adoption of Polestar’s 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 (22) Polestar’s ability to raise additional funding; (23)</w:t>
      </w:r>
    </w:p>
    <w:p>
      <w:pPr>
        <w:jc w:val="both"/>
        <w:spacing w:after="0" w:line="205" w:lineRule="auto"/>
        <w:rPr>
          <w:sz w:val="20"/>
          <w:szCs w:val="20"/>
          <w:color w:val="auto"/>
        </w:rPr>
      </w:pPr>
      <w:r>
        <w:rPr>
          <w:rFonts w:ascii="Times New Roman" w:cs="Times New Roman" w:eastAsia="Times New Roman" w:hAnsi="Times New Roman"/>
          <w:sz w:val="13"/>
          <w:szCs w:val="13"/>
          <w:color w:val="auto"/>
        </w:rPr>
        <w:t>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United States Securities and Exchange Commission by Polestar. There may be additional risks that Polestar presently does not know or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Polestar currently believes are immaterial that could also cause actual results to differ from those contained in the forward-looking statements.</w:t>
      </w:r>
    </w:p>
    <w:p>
      <w:pPr>
        <w:spacing w:after="0" w:line="39"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Nothing in this discussion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statements, even if new information becomes available in the future, except as may be required by law.</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280"/>
          </w:cols>
          <w:pgMar w:left="300" w:top="733" w:right="31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Polestar Group</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 Condensed Consolidated Financial Statements as of June 30, 2024 and for</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the Six months ended June 30, 2024 and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54610</wp:posOffset>
            </wp:positionV>
            <wp:extent cx="7197090" cy="37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9019"/>
          </w:cols>
          <w:pgMar w:left="1440" w:top="1173"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68"/>
        </w:trPr>
        <w:tc>
          <w:tcPr>
            <w:tcW w:w="8940" w:type="dxa"/>
            <w:vAlign w:val="bottom"/>
          </w:tcPr>
          <w:p>
            <w:pPr>
              <w:ind w:left="4500"/>
              <w:spacing w:after="0"/>
              <w:rPr>
                <w:sz w:val="20"/>
                <w:szCs w:val="20"/>
                <w:color w:val="auto"/>
              </w:rPr>
            </w:pPr>
            <w:r>
              <w:rPr>
                <w:rFonts w:ascii="Times New Roman" w:cs="Times New Roman" w:eastAsia="Times New Roman" w:hAnsi="Times New Roman"/>
                <w:sz w:val="13"/>
                <w:szCs w:val="13"/>
                <w:b w:val="1"/>
                <w:bCs w:val="1"/>
                <w:color w:val="auto"/>
              </w:rPr>
              <w:t>INDEX TO FINANCIAL STATEMENTS</w:t>
            </w:r>
          </w:p>
        </w:tc>
        <w:tc>
          <w:tcPr>
            <w:tcW w:w="2340" w:type="dxa"/>
            <w:vAlign w:val="bottom"/>
          </w:tcPr>
          <w:p>
            <w:pPr>
              <w:spacing w:after="0"/>
              <w:rPr>
                <w:sz w:val="14"/>
                <w:szCs w:val="14"/>
                <w:color w:val="auto"/>
              </w:rPr>
            </w:pPr>
          </w:p>
        </w:tc>
      </w:tr>
      <w:tr>
        <w:trPr>
          <w:trHeight w:val="279"/>
        </w:trPr>
        <w:tc>
          <w:tcPr>
            <w:tcW w:w="8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Polestar Automotive Holding UK PLC</w:t>
            </w:r>
          </w:p>
        </w:tc>
        <w:tc>
          <w:tcPr>
            <w:tcW w:w="2340" w:type="dxa"/>
            <w:vAlign w:val="bottom"/>
          </w:tcPr>
          <w:p>
            <w:pPr>
              <w:spacing w:after="0"/>
              <w:rPr>
                <w:sz w:val="24"/>
                <w:szCs w:val="24"/>
                <w:color w:val="auto"/>
              </w:rPr>
            </w:pPr>
          </w:p>
        </w:tc>
      </w:tr>
      <w:tr>
        <w:trPr>
          <w:trHeight w:val="279"/>
        </w:trPr>
        <w:tc>
          <w:tcPr>
            <w:tcW w:w="8940" w:type="dxa"/>
            <w:vAlign w:val="bottom"/>
          </w:tcPr>
          <w:p>
            <w:pPr>
              <w:spacing w:after="0"/>
              <w:rPr>
                <w:sz w:val="20"/>
                <w:szCs w:val="20"/>
                <w:color w:val="auto"/>
              </w:rPr>
            </w:pPr>
            <w:r>
              <w:rPr>
                <w:rFonts w:ascii="Times New Roman" w:cs="Times New Roman" w:eastAsia="Times New Roman" w:hAnsi="Times New Roman"/>
                <w:sz w:val="13"/>
                <w:szCs w:val="13"/>
                <w:b w:val="1"/>
                <w:bCs w:val="1"/>
                <w:i w:val="1"/>
                <w:iCs w:val="1"/>
                <w:color w:val="auto"/>
              </w:rPr>
              <w:t>Unaudited Condensed Consolidated Financial Statements — For the Six months ended June 30, 2024 and 2023</w:t>
            </w:r>
          </w:p>
        </w:tc>
        <w:tc>
          <w:tcPr>
            <w:tcW w:w="2340" w:type="dxa"/>
            <w:vAlign w:val="bottom"/>
          </w:tcPr>
          <w:p>
            <w:pPr>
              <w:spacing w:after="0"/>
              <w:rPr>
                <w:sz w:val="24"/>
                <w:szCs w:val="24"/>
                <w:color w:val="auto"/>
              </w:rPr>
            </w:pPr>
          </w:p>
        </w:tc>
      </w:tr>
      <w:tr>
        <w:trPr>
          <w:trHeight w:val="231"/>
        </w:trPr>
        <w:tc>
          <w:tcPr>
            <w:tcW w:w="89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Loss and Comprehensive Loss for the Six months ended June 30, 2024 and 2023</w:t>
            </w:r>
          </w:p>
        </w:tc>
        <w:tc>
          <w:tcPr>
            <w:tcW w:w="234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88"/>
              </w:rPr>
              <w:t>F-3</w:t>
            </w: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Financial Position as of June 30, 2024 and December 31, 2023</w:t>
            </w:r>
          </w:p>
        </w:tc>
        <w:tc>
          <w:tcPr>
            <w:tcW w:w="234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88"/>
              </w:rPr>
              <w:t>F-4</w:t>
            </w: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Changes in Equity for the Six months ended June 30, 2024 and 2023</w:t>
            </w:r>
          </w:p>
        </w:tc>
        <w:tc>
          <w:tcPr>
            <w:tcW w:w="234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88"/>
              </w:rPr>
              <w:t>F-6</w:t>
            </w: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 for the Six months ended June 30, 2024 and 2023</w:t>
            </w:r>
          </w:p>
        </w:tc>
        <w:tc>
          <w:tcPr>
            <w:tcW w:w="234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88"/>
              </w:rPr>
              <w:t>F-7</w:t>
            </w:r>
          </w:p>
        </w:tc>
      </w:tr>
      <w:tr>
        <w:trPr>
          <w:trHeight w:val="212"/>
        </w:trPr>
        <w:tc>
          <w:tcPr>
            <w:tcW w:w="8940" w:type="dxa"/>
            <w:vAlign w:val="bottom"/>
          </w:tcPr>
          <w:p>
            <w:pPr>
              <w:spacing w:after="0"/>
              <w:rPr>
                <w:sz w:val="20"/>
                <w:szCs w:val="20"/>
                <w:color w:val="auto"/>
              </w:rPr>
            </w:pPr>
            <w:r>
              <w:rPr>
                <w:rFonts w:ascii="Times New Roman" w:cs="Times New Roman" w:eastAsia="Times New Roman" w:hAnsi="Times New Roman"/>
                <w:sz w:val="13"/>
                <w:szCs w:val="13"/>
                <w:color w:val="auto"/>
              </w:rPr>
              <w:t>Notes to Unaudited Condensed Consolidated Financial Statements</w:t>
            </w:r>
          </w:p>
        </w:tc>
        <w:tc>
          <w:tcPr>
            <w:tcW w:w="2340" w:type="dxa"/>
            <w:vAlign w:val="bottom"/>
          </w:tcPr>
          <w:p>
            <w:pPr>
              <w:ind w:left="2160"/>
              <w:spacing w:after="0"/>
              <w:rPr>
                <w:sz w:val="20"/>
                <w:szCs w:val="20"/>
                <w:color w:val="auto"/>
              </w:rPr>
            </w:pPr>
            <w:r>
              <w:rPr>
                <w:rFonts w:ascii="Times New Roman" w:cs="Times New Roman" w:eastAsia="Times New Roman" w:hAnsi="Times New Roman"/>
                <w:sz w:val="13"/>
                <w:szCs w:val="13"/>
                <w:color w:val="auto"/>
                <w:w w:val="88"/>
              </w:rPr>
              <w:t>F-8</w:t>
            </w: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586" w:right="319" w:bottom="1440" w:gutter="0" w:footer="0" w:header="0"/>
        </w:sectPr>
      </w:pPr>
    </w:p>
    <w:bookmarkStart w:id="15" w:name="page16"/>
    <w:bookmarkEnd w:id="15"/>
    <w:p>
      <w:pPr>
        <w:ind w:left="4880"/>
        <w:spacing w:after="0"/>
        <w:rPr>
          <w:sz w:val="20"/>
          <w:szCs w:val="20"/>
          <w:color w:val="auto"/>
        </w:rPr>
      </w:pPr>
      <w:r>
        <w:rPr>
          <w:rFonts w:ascii="Times New Roman" w:cs="Times New Roman" w:eastAsia="Times New Roman" w:hAnsi="Times New Roman"/>
          <w:sz w:val="13"/>
          <w:szCs w:val="13"/>
          <w:color w:val="auto"/>
        </w:rPr>
        <w:t>Polestar Automotive Holding UK PLC</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color w:val="auto"/>
        </w:rPr>
        <w:t>Unaudited Condensed Consolidated Statement of Loss and Comprehensive Loss</w:t>
      </w:r>
    </w:p>
    <w:p>
      <w:pPr>
        <w:spacing w:after="0" w:line="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color w:val="auto"/>
        </w:rPr>
        <w:t>(in thousands of U.S. dollars except per share data and unless otherwise stated)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Loss</w:t>
            </w:r>
          </w:p>
        </w:tc>
        <w:tc>
          <w:tcPr>
            <w:tcW w:w="520" w:type="dxa"/>
            <w:vAlign w:val="bottom"/>
            <w:tcBorders>
              <w:bottom w:val="single" w:sz="8" w:color="DBDBDB"/>
            </w:tcBorders>
            <w:shd w:val="clear" w:color="auto" w:fill="DBDBDB"/>
          </w:tcPr>
          <w:p>
            <w:pPr>
              <w:spacing w:after="0"/>
              <w:rPr>
                <w:sz w:val="18"/>
                <w:szCs w:val="18"/>
                <w:color w:val="auto"/>
              </w:rPr>
            </w:pPr>
          </w:p>
        </w:tc>
        <w:tc>
          <w:tcPr>
            <w:tcW w:w="2320" w:type="dxa"/>
            <w:vAlign w:val="bottom"/>
            <w:tcBorders>
              <w:bottom w:val="single" w:sz="8" w:color="DBDBDB"/>
            </w:tcBorders>
            <w:gridSpan w:val="2"/>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2"/>
        </w:trPr>
        <w:tc>
          <w:tcPr>
            <w:tcW w:w="7560" w:type="dxa"/>
            <w:vAlign w:val="bottom"/>
          </w:tcPr>
          <w:p>
            <w:pPr>
              <w:spacing w:after="0"/>
              <w:rPr>
                <w:sz w:val="14"/>
                <w:szCs w:val="14"/>
                <w:color w:val="auto"/>
              </w:rPr>
            </w:pPr>
          </w:p>
        </w:tc>
        <w:tc>
          <w:tcPr>
            <w:tcW w:w="52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280" w:type="dxa"/>
            <w:vAlign w:val="bottom"/>
            <w:tcBorders>
              <w:top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4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shd w:val="clear" w:color="auto" w:fill="DBDBDB"/>
          </w:tcPr>
          <w:p>
            <w:pPr>
              <w:spacing w:after="0"/>
              <w:rPr>
                <w:sz w:val="18"/>
                <w:szCs w:val="18"/>
                <w:color w:val="auto"/>
              </w:rPr>
            </w:pPr>
          </w:p>
        </w:tc>
        <w:tc>
          <w:tcPr>
            <w:tcW w:w="520" w:type="dxa"/>
            <w:vAlign w:val="bottom"/>
            <w:tcBorders>
              <w:bottom w:val="single" w:sz="8" w:color="auto"/>
            </w:tcBorders>
            <w:shd w:val="clear" w:color="auto" w:fill="DBDBDB"/>
          </w:tcPr>
          <w:p>
            <w:pPr>
              <w:spacing w:after="0"/>
              <w:rPr>
                <w:sz w:val="18"/>
                <w:szCs w:val="18"/>
                <w:color w:val="auto"/>
              </w:rPr>
            </w:pPr>
          </w:p>
        </w:tc>
        <w:tc>
          <w:tcPr>
            <w:tcW w:w="1280" w:type="dxa"/>
            <w:vAlign w:val="bottom"/>
            <w:tcBorders>
              <w:bottom w:val="single" w:sz="8" w:color="auto"/>
            </w:tcBorders>
            <w:shd w:val="clear" w:color="auto" w:fill="DBDBDB"/>
          </w:tcPr>
          <w:p>
            <w:pPr>
              <w:spacing w:after="0"/>
              <w:rPr>
                <w:sz w:val="18"/>
                <w:szCs w:val="18"/>
                <w:color w:val="auto"/>
              </w:rPr>
            </w:pPr>
          </w:p>
        </w:tc>
        <w:tc>
          <w:tcPr>
            <w:tcW w:w="1040" w:type="dxa"/>
            <w:vAlign w:val="bottom"/>
            <w:tcBorders>
              <w:bottom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r>
              <w:rPr>
                <w:rFonts w:ascii="Times New Roman" w:cs="Times New Roman" w:eastAsia="Times New Roman" w:hAnsi="Times New Roman"/>
                <w:sz w:val="16"/>
                <w:szCs w:val="16"/>
                <w:b w:val="1"/>
                <w:bCs w:val="1"/>
                <w:color w:val="auto"/>
                <w:vertAlign w:val="superscript"/>
              </w:rPr>
              <w:t>1</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3</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905,813</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1,237,635</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Cost of sales</w:t>
            </w:r>
          </w:p>
        </w:tc>
        <w:tc>
          <w:tcPr>
            <w:tcW w:w="52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(933,111)</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(1,216,020)</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Gross profit/(loss)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(27,298)</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21,615</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5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(437,840)</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(474,607)</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(23,345)</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(83,050)</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Other operating income, net</w:t>
            </w:r>
          </w:p>
        </w:tc>
        <w:tc>
          <w:tcPr>
            <w:tcW w:w="52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24,034</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38,559</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(464,449)</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(497,483)</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Finance income</w:t>
            </w:r>
          </w:p>
        </w:tc>
        <w:tc>
          <w:tcPr>
            <w:tcW w:w="52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5,606</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expense</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(201,427)</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(92,656)</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52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10</w:t>
            </w:r>
          </w:p>
        </w:tc>
        <w:tc>
          <w:tcPr>
            <w:tcW w:w="12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139,638</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10</w:t>
            </w:r>
          </w:p>
        </w:tc>
        <w:tc>
          <w:tcPr>
            <w:tcW w:w="128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rPr>
              <w:t>2,500</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Share of losses in associates</w:t>
            </w:r>
          </w:p>
        </w:tc>
        <w:tc>
          <w:tcPr>
            <w:tcW w:w="52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5</w:t>
            </w: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(4,350)</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(522,482)</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(333,905)</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52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(17,003)</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(6,925)</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(539,485)</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(340,830)</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per share (in U.S. dollars)</w:t>
            </w:r>
          </w:p>
        </w:tc>
        <w:tc>
          <w:tcPr>
            <w:tcW w:w="52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7</w:t>
            </w:r>
          </w:p>
        </w:tc>
        <w:tc>
          <w:tcPr>
            <w:tcW w:w="1280" w:type="dxa"/>
            <w:vAlign w:val="bottom"/>
            <w:tcBorders>
              <w:bottom w:val="single" w:sz="8" w:color="DBDBDB"/>
            </w:tcBorders>
            <w:shd w:val="clear" w:color="auto" w:fill="DBDBDB"/>
          </w:tcPr>
          <w:p>
            <w:pPr>
              <w:spacing w:after="0"/>
              <w:rPr>
                <w:sz w:val="14"/>
                <w:szCs w:val="14"/>
                <w:color w:val="auto"/>
              </w:rPr>
            </w:pPr>
          </w:p>
        </w:tc>
        <w:tc>
          <w:tcPr>
            <w:tcW w:w="1040" w:type="dxa"/>
            <w:vAlign w:val="bottom"/>
            <w:tcBorders>
              <w:bottom w:val="single" w:sz="8" w:color="DBDBDB"/>
            </w:tcBorders>
            <w:shd w:val="clear" w:color="auto" w:fill="DBDBDB"/>
          </w:tcPr>
          <w:p>
            <w:pPr>
              <w:spacing w:after="0"/>
              <w:rPr>
                <w:sz w:val="14"/>
                <w:szCs w:val="14"/>
                <w:color w:val="auto"/>
              </w:rPr>
            </w:pPr>
          </w:p>
        </w:tc>
      </w:tr>
      <w:tr>
        <w:trPr>
          <w:trHeight w:val="182"/>
        </w:trPr>
        <w:tc>
          <w:tcPr>
            <w:tcW w:w="7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A - Basic and Diluted</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(0.26)</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56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Class B - Basic and Diluted</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(0.26)</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(0.16)</w:t>
            </w:r>
          </w:p>
        </w:tc>
      </w:tr>
      <w:tr>
        <w:trPr>
          <w:trHeight w:val="154"/>
        </w:trPr>
        <w:tc>
          <w:tcPr>
            <w:tcW w:w="7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 of Comprehensive Loss</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r>
      <w:tr>
        <w:trPr>
          <w:trHeight w:val="154"/>
        </w:trPr>
        <w:tc>
          <w:tcPr>
            <w:tcW w:w="7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(539,485)</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(340,830)</w:t>
            </w:r>
          </w:p>
        </w:tc>
      </w:tr>
      <w:tr>
        <w:trPr>
          <w:trHeight w:val="18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comprehensive loss:</w:t>
            </w:r>
          </w:p>
        </w:tc>
        <w:tc>
          <w:tcPr>
            <w:tcW w:w="5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2"/>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Items that may be subsequently reclassified to the Consolidated Statement of Loss:</w:t>
            </w:r>
          </w:p>
        </w:tc>
        <w:tc>
          <w:tcPr>
            <w:tcW w:w="52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1040" w:type="dxa"/>
            <w:vAlign w:val="bottom"/>
            <w:tcBorders>
              <w:bottom w:val="single" w:sz="8" w:color="DBDBDB"/>
            </w:tcBorders>
            <w:shd w:val="clear" w:color="auto" w:fill="DBDBDB"/>
          </w:tcPr>
          <w:p>
            <w:pPr>
              <w:spacing w:after="0"/>
              <w:rPr>
                <w:sz w:val="16"/>
                <w:szCs w:val="16"/>
                <w:color w:val="auto"/>
              </w:rPr>
            </w:pPr>
          </w:p>
        </w:tc>
      </w:tr>
      <w:tr>
        <w:trPr>
          <w:trHeight w:val="182"/>
        </w:trPr>
        <w:tc>
          <w:tcPr>
            <w:tcW w:w="75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Exchange rate differences from translation of foreign operations</w:t>
            </w:r>
          </w:p>
        </w:tc>
        <w:tc>
          <w:tcPr>
            <w:tcW w:w="520" w:type="dxa"/>
            <w:vAlign w:val="bottom"/>
          </w:tcPr>
          <w:p>
            <w:pPr>
              <w:spacing w:after="0"/>
              <w:rPr>
                <w:sz w:val="15"/>
                <w:szCs w:val="15"/>
                <w:color w:val="auto"/>
              </w:rPr>
            </w:pPr>
          </w:p>
        </w:tc>
        <w:tc>
          <w:tcPr>
            <w:tcW w:w="128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(23,823)</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(27,658)</w:t>
            </w:r>
          </w:p>
        </w:tc>
      </w:tr>
      <w:tr>
        <w:trPr>
          <w:trHeight w:val="29"/>
        </w:trPr>
        <w:tc>
          <w:tcPr>
            <w:tcW w:w="7560" w:type="dxa"/>
            <w:vAlign w:val="bottom"/>
            <w:tcBorders>
              <w:bottom w:val="single" w:sz="8" w:color="DBDBDB"/>
            </w:tcBorders>
          </w:tcPr>
          <w:p>
            <w:pPr>
              <w:spacing w:after="0"/>
              <w:rPr>
                <w:sz w:val="2"/>
                <w:szCs w:val="2"/>
                <w:color w:val="auto"/>
              </w:rPr>
            </w:pPr>
          </w:p>
        </w:tc>
        <w:tc>
          <w:tcPr>
            <w:tcW w:w="520" w:type="dxa"/>
            <w:vAlign w:val="bottom"/>
            <w:tcBorders>
              <w:bottom w:val="single" w:sz="8" w:color="DBDBDB"/>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1"/>
        </w:trPr>
        <w:tc>
          <w:tcPr>
            <w:tcW w:w="75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 other comprehensive loss</w:t>
            </w:r>
          </w:p>
        </w:tc>
        <w:tc>
          <w:tcPr>
            <w:tcW w:w="520" w:type="dxa"/>
            <w:vAlign w:val="bottom"/>
            <w:tcBorders>
              <w:bottom w:val="single" w:sz="8" w:color="DBDBDB"/>
            </w:tcBorders>
            <w:shd w:val="clear" w:color="auto" w:fill="DBDBDB"/>
          </w:tcPr>
          <w:p>
            <w:pPr>
              <w:spacing w:after="0"/>
              <w:rPr>
                <w:sz w:val="17"/>
                <w:szCs w:val="17"/>
                <w:color w:val="auto"/>
              </w:rPr>
            </w:pPr>
          </w:p>
        </w:tc>
        <w:tc>
          <w:tcPr>
            <w:tcW w:w="128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(23,823)</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(27,658)</w:t>
            </w:r>
          </w:p>
        </w:tc>
      </w:tr>
      <w:tr>
        <w:trPr>
          <w:trHeight w:val="172"/>
        </w:trPr>
        <w:tc>
          <w:tcPr>
            <w:tcW w:w="7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520" w:type="dxa"/>
            <w:vAlign w:val="bottom"/>
          </w:tcPr>
          <w:p>
            <w:pPr>
              <w:spacing w:after="0"/>
              <w:rPr>
                <w:sz w:val="14"/>
                <w:szCs w:val="14"/>
                <w:color w:val="auto"/>
              </w:rPr>
            </w:pPr>
          </w:p>
        </w:tc>
        <w:tc>
          <w:tcPr>
            <w:tcW w:w="128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(563,308)</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(368,488)</w:t>
            </w:r>
          </w:p>
        </w:tc>
      </w:tr>
      <w:tr>
        <w:trPr>
          <w:trHeight w:val="29"/>
        </w:trPr>
        <w:tc>
          <w:tcPr>
            <w:tcW w:w="7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xml:space="preserve">1 - Refer to </w:t>
      </w:r>
      <w:r>
        <w:rPr>
          <w:rFonts w:ascii="Times New Roman" w:cs="Times New Roman" w:eastAsia="Times New Roman" w:hAnsi="Times New Roman"/>
          <w:sz w:val="10"/>
          <w:szCs w:val="10"/>
          <w:i w:val="1"/>
          <w:iCs w:val="1"/>
          <w:color w:val="auto"/>
        </w:rPr>
        <w:t>Note 18 - Restatement of prior period financial statements</w:t>
      </w:r>
      <w:r>
        <w:rPr>
          <w:rFonts w:ascii="Times New Roman" w:cs="Times New Roman" w:eastAsia="Times New Roman" w:hAnsi="Times New Roman"/>
          <w:sz w:val="10"/>
          <w:szCs w:val="10"/>
          <w:color w:val="auto"/>
        </w:rPr>
        <w:t xml:space="preserve"> for reconciliations between originally reported and as revised amounts.</w:t>
      </w:r>
    </w:p>
    <w:p>
      <w:pPr>
        <w:spacing w:after="0" w:line="15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840"/>
          </w:cols>
          <w:pgMar w:left="300" w:top="579" w:right="759" w:bottom="1440" w:gutter="0" w:footer="0" w:header="0"/>
        </w:sectPr>
      </w:pPr>
    </w:p>
    <w:bookmarkStart w:id="16" w:name="page17"/>
    <w:bookmarkEnd w:id="16"/>
    <w:p>
      <w:pPr>
        <w:ind w:left="4360"/>
        <w:spacing w:after="0"/>
        <w:rPr>
          <w:sz w:val="20"/>
          <w:szCs w:val="20"/>
          <w:color w:val="auto"/>
        </w:rPr>
      </w:pPr>
      <w:r>
        <w:rPr>
          <w:rFonts w:ascii="Times New Roman" w:cs="Times New Roman" w:eastAsia="Times New Roman" w:hAnsi="Times New Roman"/>
          <w:sz w:val="13"/>
          <w:szCs w:val="13"/>
          <w:color w:val="auto"/>
        </w:rPr>
        <w:t>Polestar Automotive Holding UK PLC</w:t>
      </w:r>
    </w:p>
    <w:p>
      <w:pPr>
        <w:ind w:left="3380"/>
        <w:spacing w:after="0" w:line="231" w:lineRule="auto"/>
        <w:rPr>
          <w:sz w:val="20"/>
          <w:szCs w:val="20"/>
          <w:color w:val="auto"/>
        </w:rPr>
      </w:pPr>
      <w:r>
        <w:rPr>
          <w:rFonts w:ascii="Times New Roman" w:cs="Times New Roman" w:eastAsia="Times New Roman" w:hAnsi="Times New Roman"/>
          <w:sz w:val="13"/>
          <w:szCs w:val="13"/>
          <w:color w:val="auto"/>
        </w:rPr>
        <w:t>Unaudited Condensed Consolidated Statement of Financial Position</w:t>
      </w:r>
    </w:p>
    <w:p>
      <w:pPr>
        <w:jc w:val="center"/>
        <w:ind w:right="20"/>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16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June 30, 2024</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2023</w:t>
            </w:r>
          </w:p>
        </w:tc>
      </w:tr>
      <w:tr>
        <w:trPr>
          <w:trHeight w:val="162"/>
        </w:trPr>
        <w:tc>
          <w:tcPr>
            <w:tcW w:w="72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74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Intangible assets and goodwill</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8</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1,458,199</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1,412,729</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Property, plant, and equipment</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6, 9</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547,098</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316,867</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Vehicles under operating leases</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6</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69,178</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67,931</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assets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27,581</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7,212</w:t>
            </w:r>
          </w:p>
        </w:tc>
      </w:tr>
      <w:tr>
        <w:trPr>
          <w:trHeight w:val="182"/>
        </w:trPr>
        <w:tc>
          <w:tcPr>
            <w:tcW w:w="72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Deferred tax asset</w:t>
            </w:r>
          </w:p>
        </w:tc>
        <w:tc>
          <w:tcPr>
            <w:tcW w:w="74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31,759</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43,041</w:t>
            </w:r>
          </w:p>
        </w:tc>
      </w:tr>
      <w:tr>
        <w:trPr>
          <w:trHeight w:val="29"/>
        </w:trPr>
        <w:tc>
          <w:tcPr>
            <w:tcW w:w="7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2"/>
        </w:trPr>
        <w:tc>
          <w:tcPr>
            <w:tcW w:w="72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investments</w:t>
            </w:r>
          </w:p>
        </w:tc>
        <w:tc>
          <w:tcPr>
            <w:tcW w:w="7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10</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2,414</w:t>
            </w:r>
          </w:p>
        </w:tc>
      </w:tr>
      <w:tr>
        <w:trPr>
          <w:trHeight w:val="20"/>
        </w:trPr>
        <w:tc>
          <w:tcPr>
            <w:tcW w:w="7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non-current assets</w:t>
            </w:r>
          </w:p>
        </w:tc>
        <w:tc>
          <w:tcPr>
            <w:tcW w:w="3340" w:type="dxa"/>
            <w:vAlign w:val="bottom"/>
          </w:tcPr>
          <w:p>
            <w:pPr>
              <w:spacing w:after="0"/>
              <w:rPr>
                <w:sz w:val="14"/>
                <w:szCs w:val="14"/>
                <w:color w:val="auto"/>
              </w:rPr>
            </w:pP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2,136,100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1,850,194</w:t>
            </w:r>
          </w:p>
        </w:tc>
      </w:tr>
      <w:tr>
        <w:trPr>
          <w:trHeight w:val="29"/>
        </w:trPr>
        <w:tc>
          <w:tcPr>
            <w:tcW w:w="4600" w:type="dxa"/>
            <w:vAlign w:val="bottom"/>
            <w:tcBorders>
              <w:bottom w:val="single" w:sz="8" w:color="DBDBDB"/>
            </w:tcBorders>
          </w:tcPr>
          <w:p>
            <w:pPr>
              <w:spacing w:after="0"/>
              <w:rPr>
                <w:sz w:val="2"/>
                <w:szCs w:val="2"/>
                <w:color w:val="auto"/>
              </w:rPr>
            </w:pPr>
          </w:p>
        </w:tc>
        <w:tc>
          <w:tcPr>
            <w:tcW w:w="334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2"/>
        </w:trPr>
        <w:tc>
          <w:tcPr>
            <w:tcW w:w="46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3340" w:type="dxa"/>
            <w:vAlign w:val="bottom"/>
            <w:tcBorders>
              <w:bottom w:val="single" w:sz="8" w:color="DBDBDB"/>
            </w:tcBorders>
            <w:shd w:val="clear" w:color="auto" w:fill="DBDBDB"/>
          </w:tcPr>
          <w:p>
            <w:pPr>
              <w:spacing w:after="0"/>
              <w:rPr>
                <w:sz w:val="14"/>
                <w:szCs w:val="14"/>
                <w:color w:val="auto"/>
              </w:rPr>
            </w:pPr>
          </w:p>
        </w:tc>
        <w:tc>
          <w:tcPr>
            <w:tcW w:w="14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3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668,911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768,927</w:t>
            </w:r>
          </w:p>
        </w:tc>
      </w:tr>
      <w:tr>
        <w:trPr>
          <w:trHeight w:val="29"/>
        </w:trPr>
        <w:tc>
          <w:tcPr>
            <w:tcW w:w="4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receivables</w:t>
            </w:r>
          </w:p>
        </w:tc>
        <w:tc>
          <w:tcPr>
            <w:tcW w:w="3340" w:type="dxa"/>
            <w:vAlign w:val="bottom"/>
            <w:tcBorders>
              <w:bottom w:val="single" w:sz="8" w:color="DBDBDB"/>
            </w:tcBorders>
            <w:shd w:val="clear" w:color="auto" w:fill="DBDBDB"/>
          </w:tcPr>
          <w:p>
            <w:pPr>
              <w:ind w:left="2680"/>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145,823</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126,205</w:t>
            </w: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 receivables - related parties</w:t>
            </w:r>
          </w:p>
        </w:tc>
        <w:tc>
          <w:tcPr>
            <w:tcW w:w="33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10, 15</w:t>
            </w: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38,242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61,026</w:t>
            </w:r>
          </w:p>
        </w:tc>
      </w:tr>
      <w:tr>
        <w:trPr>
          <w:trHeight w:val="29"/>
        </w:trPr>
        <w:tc>
          <w:tcPr>
            <w:tcW w:w="4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3340" w:type="dxa"/>
            <w:vAlign w:val="bottom"/>
            <w:tcBorders>
              <w:bottom w:val="single" w:sz="8" w:color="DBDBDB"/>
            </w:tcBorders>
            <w:shd w:val="clear" w:color="auto" w:fill="DBDBDB"/>
          </w:tcPr>
          <w:p>
            <w:pPr>
              <w:ind w:left="2680"/>
              <w:spacing w:after="0"/>
              <w:rPr>
                <w:sz w:val="20"/>
                <w:szCs w:val="20"/>
                <w:color w:val="auto"/>
              </w:rPr>
            </w:pPr>
            <w:r>
              <w:rPr>
                <w:rFonts w:ascii="Times New Roman" w:cs="Times New Roman" w:eastAsia="Times New Roman" w:hAnsi="Times New Roman"/>
                <w:sz w:val="13"/>
                <w:szCs w:val="13"/>
                <w:color w:val="auto"/>
              </w:rPr>
              <w:t>10, 15</w:t>
            </w:r>
          </w:p>
        </w:tc>
        <w:tc>
          <w:tcPr>
            <w:tcW w:w="142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34,135</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152,605</w:t>
            </w: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Inventories</w:t>
            </w:r>
          </w:p>
        </w:tc>
        <w:tc>
          <w:tcPr>
            <w:tcW w:w="33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12</w:t>
            </w: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726,017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939,359</w:t>
            </w:r>
          </w:p>
        </w:tc>
      </w:tr>
      <w:tr>
        <w:trPr>
          <w:trHeight w:val="29"/>
        </w:trPr>
        <w:tc>
          <w:tcPr>
            <w:tcW w:w="4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tax assets</w:t>
            </w:r>
          </w:p>
        </w:tc>
        <w:tc>
          <w:tcPr>
            <w:tcW w:w="334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14,261</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9,270</w:t>
            </w:r>
          </w:p>
        </w:tc>
      </w:tr>
      <w:tr>
        <w:trPr>
          <w:trHeight w:val="182"/>
        </w:trPr>
        <w:tc>
          <w:tcPr>
            <w:tcW w:w="46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current assets</w:t>
            </w:r>
          </w:p>
        </w:tc>
        <w:tc>
          <w:tcPr>
            <w:tcW w:w="334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210,248</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204,142</w:t>
            </w:r>
          </w:p>
        </w:tc>
      </w:tr>
      <w:tr>
        <w:trPr>
          <w:trHeight w:val="29"/>
        </w:trPr>
        <w:tc>
          <w:tcPr>
            <w:tcW w:w="46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460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current assets - related parties</w:t>
            </w:r>
          </w:p>
        </w:tc>
        <w:tc>
          <w:tcPr>
            <w:tcW w:w="3340" w:type="dxa"/>
            <w:vAlign w:val="bottom"/>
            <w:tcBorders>
              <w:bottom w:val="single" w:sz="8" w:color="DBDBDB"/>
            </w:tcBorders>
            <w:shd w:val="clear" w:color="auto" w:fill="DBDBDB"/>
          </w:tcPr>
          <w:p>
            <w:pPr>
              <w:ind w:left="2680"/>
              <w:spacing w:after="0"/>
              <w:rPr>
                <w:sz w:val="20"/>
                <w:szCs w:val="20"/>
                <w:color w:val="auto"/>
              </w:rPr>
            </w:pPr>
            <w:r>
              <w:rPr>
                <w:rFonts w:ascii="Times New Roman" w:cs="Times New Roman" w:eastAsia="Times New Roman" w:hAnsi="Times New Roman"/>
                <w:sz w:val="13"/>
                <w:szCs w:val="13"/>
                <w:color w:val="auto"/>
              </w:rPr>
              <w:t>10, 15</w:t>
            </w:r>
          </w:p>
        </w:tc>
        <w:tc>
          <w:tcPr>
            <w:tcW w:w="142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2,904</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9,576</w:t>
            </w:r>
          </w:p>
        </w:tc>
      </w:tr>
      <w:tr>
        <w:trPr>
          <w:trHeight w:val="20"/>
        </w:trPr>
        <w:tc>
          <w:tcPr>
            <w:tcW w:w="46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700" w:type="dxa"/>
            <w:vAlign w:val="bottom"/>
          </w:tcPr>
          <w:p>
            <w:pPr>
              <w:spacing w:after="0"/>
              <w:rPr>
                <w:sz w:val="14"/>
                <w:szCs w:val="14"/>
                <w:color w:val="auto"/>
              </w:rPr>
            </w:pP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1,840,541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2,271,110</w:t>
            </w:r>
          </w:p>
        </w:tc>
      </w:tr>
      <w:tr>
        <w:trPr>
          <w:trHeight w:val="29"/>
        </w:trPr>
        <w:tc>
          <w:tcPr>
            <w:tcW w:w="5240" w:type="dxa"/>
            <w:vAlign w:val="bottom"/>
            <w:tcBorders>
              <w:bottom w:val="single" w:sz="8" w:color="DBDBDB"/>
            </w:tcBorders>
          </w:tcPr>
          <w:p>
            <w:pPr>
              <w:spacing w:after="0"/>
              <w:rPr>
                <w:sz w:val="2"/>
                <w:szCs w:val="2"/>
                <w:color w:val="auto"/>
              </w:rPr>
            </w:pPr>
          </w:p>
        </w:tc>
        <w:tc>
          <w:tcPr>
            <w:tcW w:w="270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52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700" w:type="dxa"/>
            <w:vAlign w:val="bottom"/>
            <w:tcBorders>
              <w:bottom w:val="single" w:sz="8" w:color="DBDBDB"/>
            </w:tcBorders>
            <w:shd w:val="clear" w:color="auto" w:fill="DBDBDB"/>
          </w:tcPr>
          <w:p>
            <w:pPr>
              <w:spacing w:after="0"/>
              <w:rPr>
                <w:sz w:val="17"/>
                <w:szCs w:val="17"/>
                <w:color w:val="auto"/>
              </w:rPr>
            </w:pPr>
          </w:p>
        </w:tc>
        <w:tc>
          <w:tcPr>
            <w:tcW w:w="142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3,976,641</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4,121,304</w:t>
            </w:r>
          </w:p>
        </w:tc>
      </w:tr>
      <w:tr>
        <w:trPr>
          <w:trHeight w:val="162"/>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7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Share capital</w:t>
            </w:r>
          </w:p>
        </w:tc>
        <w:tc>
          <w:tcPr>
            <w:tcW w:w="270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(21,169)</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(21,168)</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contributed capital</w:t>
            </w:r>
          </w:p>
        </w:tc>
        <w:tc>
          <w:tcPr>
            <w:tcW w:w="2700" w:type="dxa"/>
            <w:vAlign w:val="bottom"/>
          </w:tcPr>
          <w:p>
            <w:pPr>
              <w:spacing w:after="0"/>
              <w:rPr>
                <w:sz w:val="15"/>
                <w:szCs w:val="15"/>
                <w:color w:val="auto"/>
              </w:rPr>
            </w:pP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(3,621,261)</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(3,615,187)</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Foreign currency translation reserve</w:t>
            </w:r>
          </w:p>
        </w:tc>
        <w:tc>
          <w:tcPr>
            <w:tcW w:w="270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49,833</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26,010</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Accumulated deficit</w:t>
            </w:r>
          </w:p>
        </w:tc>
        <w:tc>
          <w:tcPr>
            <w:tcW w:w="2700" w:type="dxa"/>
            <w:vAlign w:val="bottom"/>
          </w:tcPr>
          <w:p>
            <w:pPr>
              <w:spacing w:after="0"/>
              <w:rPr>
                <w:sz w:val="15"/>
                <w:szCs w:val="15"/>
                <w:color w:val="auto"/>
              </w:rPr>
            </w:pPr>
          </w:p>
        </w:tc>
        <w:tc>
          <w:tcPr>
            <w:tcW w:w="1420" w:type="dxa"/>
            <w:vAlign w:val="bottom"/>
          </w:tcPr>
          <w:p>
            <w:pPr>
              <w:jc w:val="right"/>
              <w:ind w:right="256"/>
              <w:spacing w:after="0"/>
              <w:rPr>
                <w:sz w:val="20"/>
                <w:szCs w:val="20"/>
                <w:color w:val="auto"/>
              </w:rPr>
            </w:pPr>
            <w:r>
              <w:rPr>
                <w:rFonts w:ascii="Times New Roman" w:cs="Times New Roman" w:eastAsia="Times New Roman" w:hAnsi="Times New Roman"/>
                <w:sz w:val="13"/>
                <w:szCs w:val="13"/>
                <w:color w:val="auto"/>
              </w:rPr>
              <w:t>5,412,129</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4,872,644</w:t>
            </w:r>
          </w:p>
        </w:tc>
      </w:tr>
      <w:tr>
        <w:trPr>
          <w:trHeight w:val="29"/>
        </w:trPr>
        <w:tc>
          <w:tcPr>
            <w:tcW w:w="5240" w:type="dxa"/>
            <w:vAlign w:val="bottom"/>
            <w:tcBorders>
              <w:bottom w:val="single" w:sz="8" w:color="DBDBDB"/>
            </w:tcBorders>
          </w:tcPr>
          <w:p>
            <w:pPr>
              <w:spacing w:after="0"/>
              <w:rPr>
                <w:sz w:val="2"/>
                <w:szCs w:val="2"/>
                <w:color w:val="auto"/>
              </w:rPr>
            </w:pPr>
          </w:p>
        </w:tc>
        <w:tc>
          <w:tcPr>
            <w:tcW w:w="270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1"/>
        </w:trPr>
        <w:tc>
          <w:tcPr>
            <w:tcW w:w="52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13</w:t>
            </w:r>
          </w:p>
        </w:tc>
        <w:tc>
          <w:tcPr>
            <w:tcW w:w="142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1,819,532</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1,262,299</w:t>
            </w:r>
          </w:p>
        </w:tc>
      </w:tr>
      <w:tr>
        <w:trPr>
          <w:trHeight w:val="162"/>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270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270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spacing w:after="0"/>
              <w:rPr>
                <w:sz w:val="16"/>
                <w:szCs w:val="16"/>
                <w:color w:val="auto"/>
              </w:rPr>
            </w:pP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Non-current contract liabilities</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3</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(62,097)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(63,063)</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Deferred tax liabilities</w:t>
            </w:r>
          </w:p>
        </w:tc>
        <w:tc>
          <w:tcPr>
            <w:tcW w:w="2700" w:type="dxa"/>
            <w:vAlign w:val="bottom"/>
            <w:tcBorders>
              <w:bottom w:val="single" w:sz="8" w:color="DBDBDB"/>
            </w:tcBorders>
            <w:shd w:val="clear" w:color="auto" w:fill="DBDBDB"/>
          </w:tcPr>
          <w:p>
            <w:pPr>
              <w:spacing w:after="0"/>
              <w:rPr>
                <w:sz w:val="16"/>
                <w:szCs w:val="16"/>
                <w:color w:val="auto"/>
              </w:rPr>
            </w:pP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(3,530)</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(3,335)</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provisions</w:t>
            </w:r>
          </w:p>
        </w:tc>
        <w:tc>
          <w:tcPr>
            <w:tcW w:w="2700" w:type="dxa"/>
            <w:vAlign w:val="bottom"/>
          </w:tcPr>
          <w:p>
            <w:pPr>
              <w:spacing w:after="0"/>
              <w:rPr>
                <w:sz w:val="15"/>
                <w:szCs w:val="15"/>
                <w:color w:val="auto"/>
              </w:rPr>
            </w:pP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(97,772)</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(104,681)</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(48,119)</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(73,149)</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Earn-out liability</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10, 11</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(15,764)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(155,402)</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Non-current liabilities to credit institutions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10, 14</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(947,289)</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non-current interest-bearing liabilities</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6, 10</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(43,248)</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(54,439)</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non-current interest-bearing liabilities - related parties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15</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(1,384,056)</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(1,409,244)</w:t>
            </w:r>
          </w:p>
        </w:tc>
      </w:tr>
      <w:tr>
        <w:trPr>
          <w:trHeight w:val="172"/>
        </w:trPr>
        <w:tc>
          <w:tcPr>
            <w:tcW w:w="5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non-current liabilities</w:t>
            </w:r>
          </w:p>
        </w:tc>
        <w:tc>
          <w:tcPr>
            <w:tcW w:w="2700" w:type="dxa"/>
            <w:vAlign w:val="bottom"/>
          </w:tcPr>
          <w:p>
            <w:pPr>
              <w:spacing w:after="0"/>
              <w:rPr>
                <w:sz w:val="14"/>
                <w:szCs w:val="14"/>
                <w:color w:val="auto"/>
              </w:rPr>
            </w:pPr>
          </w:p>
        </w:tc>
        <w:tc>
          <w:tcPr>
            <w:tcW w:w="142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(2,601,875)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(1,863,313)</w:t>
            </w:r>
          </w:p>
        </w:tc>
      </w:tr>
      <w:tr>
        <w:trPr>
          <w:trHeight w:val="29"/>
        </w:trPr>
        <w:tc>
          <w:tcPr>
            <w:tcW w:w="5240" w:type="dxa"/>
            <w:vAlign w:val="bottom"/>
            <w:tcBorders>
              <w:bottom w:val="single" w:sz="8" w:color="DBDBDB"/>
            </w:tcBorders>
          </w:tcPr>
          <w:p>
            <w:pPr>
              <w:spacing w:after="0"/>
              <w:rPr>
                <w:sz w:val="2"/>
                <w:szCs w:val="2"/>
                <w:color w:val="auto"/>
              </w:rPr>
            </w:pPr>
          </w:p>
        </w:tc>
        <w:tc>
          <w:tcPr>
            <w:tcW w:w="270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72"/>
        </w:trPr>
        <w:tc>
          <w:tcPr>
            <w:tcW w:w="52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700" w:type="dxa"/>
            <w:vAlign w:val="bottom"/>
            <w:tcBorders>
              <w:bottom w:val="single" w:sz="8" w:color="DBDBDB"/>
            </w:tcBorders>
            <w:shd w:val="clear" w:color="auto" w:fill="DBDBDB"/>
          </w:tcPr>
          <w:p>
            <w:pPr>
              <w:spacing w:after="0"/>
              <w:rPr>
                <w:sz w:val="14"/>
                <w:szCs w:val="14"/>
                <w:color w:val="auto"/>
              </w:rPr>
            </w:pPr>
          </w:p>
        </w:tc>
        <w:tc>
          <w:tcPr>
            <w:tcW w:w="1420" w:type="dxa"/>
            <w:vAlign w:val="bottom"/>
            <w:tcBorders>
              <w:bottom w:val="single" w:sz="8" w:color="DBDBDB"/>
            </w:tcBorders>
            <w:shd w:val="clear" w:color="auto" w:fill="DBDBDB"/>
          </w:tcPr>
          <w:p>
            <w:pPr>
              <w:spacing w:after="0"/>
              <w:rPr>
                <w:sz w:val="14"/>
                <w:szCs w:val="14"/>
                <w:color w:val="auto"/>
              </w:rPr>
            </w:pPr>
          </w:p>
        </w:tc>
        <w:tc>
          <w:tcPr>
            <w:tcW w:w="900" w:type="dxa"/>
            <w:vAlign w:val="bottom"/>
            <w:tcBorders>
              <w:bottom w:val="single" w:sz="8" w:color="DBDBDB"/>
            </w:tcBorders>
            <w:shd w:val="clear" w:color="auto" w:fill="DBDBDB"/>
          </w:tcPr>
          <w:p>
            <w:pPr>
              <w:spacing w:after="0"/>
              <w:rPr>
                <w:sz w:val="14"/>
                <w:szCs w:val="14"/>
                <w:color w:val="auto"/>
              </w:rPr>
            </w:pP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Trade payables</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(80,967)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(92,441)</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payables - related parties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10, 15</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(401,416)</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(275,704)</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Accrued expenses - related parties</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10, 15</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(208,296)</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(18,694)</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(16,415)</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provisions</w:t>
            </w:r>
          </w:p>
        </w:tc>
        <w:tc>
          <w:tcPr>
            <w:tcW w:w="2700" w:type="dxa"/>
            <w:vAlign w:val="bottom"/>
          </w:tcPr>
          <w:p>
            <w:pPr>
              <w:spacing w:after="0"/>
              <w:rPr>
                <w:sz w:val="15"/>
                <w:szCs w:val="15"/>
                <w:color w:val="auto"/>
              </w:rPr>
            </w:pP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(87,097)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(94,887)</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liabilities to credit institutions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10, 14</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(1,536,819)</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(2,023,582)</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Current tax liabilities</w:t>
            </w:r>
          </w:p>
        </w:tc>
        <w:tc>
          <w:tcPr>
            <w:tcW w:w="2700" w:type="dxa"/>
            <w:vAlign w:val="bottom"/>
          </w:tcPr>
          <w:p>
            <w:pPr>
              <w:spacing w:after="0"/>
              <w:rPr>
                <w:sz w:val="15"/>
                <w:szCs w:val="15"/>
                <w:color w:val="auto"/>
              </w:rPr>
            </w:pP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(7,149)</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(12,812)</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Interest-bearing current liabilities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6, 10</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(16,857)</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(19,547)</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Interest-bearing current liabilities - related parties</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10, 15</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(102,264)</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(68,332)</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Current contract liabilities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3</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(109,975)</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(112,062)</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Class C Shares liability</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10, 11</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(3,500)</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w:t>
            </w:r>
          </w:p>
        </w:tc>
      </w:tr>
      <w:tr>
        <w:trPr>
          <w:trHeight w:val="29"/>
        </w:trPr>
        <w:tc>
          <w:tcPr>
            <w:tcW w:w="5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5240" w:type="dxa"/>
            <w:vAlign w:val="bottom"/>
            <w:tcBorders>
              <w:bottom w:val="single" w:sz="8" w:color="DBDBDB"/>
            </w:tcBorders>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700" w:type="dxa"/>
            <w:vAlign w:val="bottom"/>
            <w:tcBorders>
              <w:bottom w:val="single" w:sz="8" w:color="DBDBDB"/>
            </w:tcBorders>
            <w:shd w:val="clear" w:color="auto" w:fill="DBDBDB"/>
          </w:tcPr>
          <w:p>
            <w:pPr>
              <w:ind w:left="2040"/>
              <w:spacing w:after="0"/>
              <w:rPr>
                <w:sz w:val="20"/>
                <w:szCs w:val="20"/>
                <w:color w:val="auto"/>
              </w:rPr>
            </w:pPr>
            <w:r>
              <w:rPr>
                <w:rFonts w:ascii="Times New Roman" w:cs="Times New Roman" w:eastAsia="Times New Roman" w:hAnsi="Times New Roman"/>
                <w:sz w:val="13"/>
                <w:szCs w:val="13"/>
                <w:color w:val="auto"/>
              </w:rPr>
              <w:t>10</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(599,887)</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(347,902)</w:t>
            </w:r>
          </w:p>
        </w:tc>
      </w:tr>
      <w:tr>
        <w:trPr>
          <w:trHeight w:val="182"/>
        </w:trPr>
        <w:tc>
          <w:tcPr>
            <w:tcW w:w="52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Other current liabilities - related parties</w:t>
            </w:r>
          </w:p>
        </w:tc>
        <w:tc>
          <w:tcPr>
            <w:tcW w:w="27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10, 15</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(21,377)</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r>
      <w:tr>
        <w:trPr>
          <w:trHeight w:val="29"/>
        </w:trPr>
        <w:tc>
          <w:tcPr>
            <w:tcW w:w="5240" w:type="dxa"/>
            <w:vAlign w:val="bottom"/>
            <w:tcBorders>
              <w:bottom w:val="single" w:sz="8" w:color="DBDBDB"/>
            </w:tcBorders>
          </w:tcPr>
          <w:p>
            <w:pPr>
              <w:spacing w:after="0"/>
              <w:rPr>
                <w:sz w:val="2"/>
                <w:szCs w:val="2"/>
                <w:color w:val="auto"/>
              </w:rPr>
            </w:pPr>
          </w:p>
        </w:tc>
        <w:tc>
          <w:tcPr>
            <w:tcW w:w="270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2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700" w:type="dxa"/>
            <w:vAlign w:val="bottom"/>
            <w:tcBorders>
              <w:bottom w:val="single" w:sz="8" w:color="DBDBDB"/>
            </w:tcBorders>
            <w:shd w:val="clear" w:color="auto" w:fill="DBDBDB"/>
          </w:tcPr>
          <w:p>
            <w:pPr>
              <w:spacing w:after="0"/>
              <w:rPr>
                <w:sz w:val="15"/>
                <w:szCs w:val="15"/>
                <w:color w:val="auto"/>
              </w:rPr>
            </w:pP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(3,194,298)</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(3,520,290)</w:t>
            </w:r>
          </w:p>
        </w:tc>
      </w:tr>
      <w:tr>
        <w:trPr>
          <w:trHeight w:val="20"/>
        </w:trPr>
        <w:tc>
          <w:tcPr>
            <w:tcW w:w="52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60325</wp:posOffset>
            </wp:positionV>
            <wp:extent cx="7197090" cy="374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260"/>
          </w:cols>
          <w:pgMar w:left="820" w:top="568" w:right="8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8"/>
        </w:trPr>
        <w:tc>
          <w:tcPr>
            <w:tcW w:w="79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142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(5,796,173)</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(5,383,603)</w:t>
            </w:r>
          </w:p>
        </w:tc>
      </w:tr>
      <w:tr>
        <w:trPr>
          <w:trHeight w:val="29"/>
        </w:trPr>
        <w:tc>
          <w:tcPr>
            <w:tcW w:w="7940" w:type="dxa"/>
            <w:vAlign w:val="bottom"/>
            <w:tcBorders>
              <w:bottom w:val="single" w:sz="8" w:color="DBDBDB"/>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79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equity and liabilities</w:t>
            </w:r>
          </w:p>
        </w:tc>
        <w:tc>
          <w:tcPr>
            <w:tcW w:w="142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(3,976,641)</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(4,121,304)</w:t>
            </w:r>
          </w:p>
        </w:tc>
      </w:tr>
      <w:tr>
        <w:trPr>
          <w:trHeight w:val="20"/>
        </w:trPr>
        <w:tc>
          <w:tcPr>
            <w:tcW w:w="79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5564505</wp:posOffset>
            </wp:positionH>
            <wp:positionV relativeFrom="page">
              <wp:posOffset>394335</wp:posOffset>
            </wp:positionV>
            <wp:extent cx="146621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6215" cy="635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60325</wp:posOffset>
            </wp:positionV>
            <wp:extent cx="7197090" cy="37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260"/>
          </w:cols>
          <w:pgMar w:left="820" w:top="644" w:right="819" w:bottom="1440" w:gutter="0" w:footer="0" w:header="0"/>
        </w:sectPr>
      </w:pPr>
    </w:p>
    <w:bookmarkStart w:id="18" w:name="page19"/>
    <w:bookmarkEnd w:id="18"/>
    <w:p>
      <w:pPr>
        <w:ind w:left="4820"/>
        <w:spacing w:after="0"/>
        <w:rPr>
          <w:sz w:val="20"/>
          <w:szCs w:val="20"/>
          <w:color w:val="auto"/>
        </w:rPr>
      </w:pPr>
      <w:r>
        <w:rPr>
          <w:rFonts w:ascii="Times New Roman" w:cs="Times New Roman" w:eastAsia="Times New Roman" w:hAnsi="Times New Roman"/>
          <w:sz w:val="13"/>
          <w:szCs w:val="13"/>
          <w:color w:val="auto"/>
        </w:rPr>
        <w:t>Polestar Automotive Holding UK PLC</w:t>
      </w:r>
    </w:p>
    <w:p>
      <w:pPr>
        <w:ind w:left="3840"/>
        <w:spacing w:after="0" w:line="231" w:lineRule="auto"/>
        <w:rPr>
          <w:sz w:val="20"/>
          <w:szCs w:val="20"/>
          <w:color w:val="auto"/>
        </w:rPr>
      </w:pPr>
      <w:r>
        <w:rPr>
          <w:rFonts w:ascii="Times New Roman" w:cs="Times New Roman" w:eastAsia="Times New Roman" w:hAnsi="Times New Roman"/>
          <w:sz w:val="13"/>
          <w:szCs w:val="13"/>
          <w:color w:val="auto"/>
        </w:rPr>
        <w:t>Unaudited Condensed Consolidated Statement of Changes in Equity</w:t>
      </w:r>
    </w:p>
    <w:p>
      <w:pPr>
        <w:jc w:val="center"/>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124460</wp:posOffset>
            </wp:positionV>
            <wp:extent cx="4013200" cy="19977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013200" cy="199771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40" w:type="dxa"/>
            <w:vAlign w:val="bottom"/>
            <w:shd w:val="clear" w:color="auto" w:fill="DBDBDB"/>
          </w:tcPr>
          <w:p>
            <w:pPr>
              <w:spacing w:after="0"/>
              <w:rPr>
                <w:sz w:val="13"/>
                <w:szCs w:val="13"/>
                <w:color w:val="auto"/>
              </w:rPr>
            </w:pPr>
          </w:p>
        </w:tc>
        <w:tc>
          <w:tcPr>
            <w:tcW w:w="1300" w:type="dxa"/>
            <w:vAlign w:val="bottom"/>
            <w:shd w:val="clear" w:color="auto" w:fill="DBDBDB"/>
          </w:tcPr>
          <w:p>
            <w:pPr>
              <w:spacing w:after="0"/>
              <w:rPr>
                <w:sz w:val="13"/>
                <w:szCs w:val="13"/>
                <w:color w:val="auto"/>
              </w:rPr>
            </w:pPr>
          </w:p>
        </w:tc>
        <w:tc>
          <w:tcPr>
            <w:tcW w:w="122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Other contributed</w:t>
            </w:r>
          </w:p>
        </w:tc>
        <w:tc>
          <w:tcPr>
            <w:tcW w:w="1260" w:type="dxa"/>
            <w:vAlign w:val="bottom"/>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Currency translation</w:t>
            </w:r>
          </w:p>
        </w:tc>
        <w:tc>
          <w:tcPr>
            <w:tcW w:w="1500" w:type="dxa"/>
            <w:vAlign w:val="bottom"/>
            <w:shd w:val="clear" w:color="auto" w:fill="DBDBDB"/>
          </w:tcPr>
          <w:p>
            <w:pPr>
              <w:spacing w:after="0"/>
              <w:rPr>
                <w:sz w:val="13"/>
                <w:szCs w:val="13"/>
                <w:color w:val="auto"/>
              </w:rPr>
            </w:pPr>
          </w:p>
        </w:tc>
        <w:tc>
          <w:tcPr>
            <w:tcW w:w="1040" w:type="dxa"/>
            <w:vAlign w:val="bottom"/>
            <w:shd w:val="clear" w:color="auto" w:fill="DBDBDB"/>
          </w:tcPr>
          <w:p>
            <w:pPr>
              <w:spacing w:after="0"/>
              <w:rPr>
                <w:sz w:val="13"/>
                <w:szCs w:val="13"/>
                <w:color w:val="auto"/>
              </w:rPr>
            </w:pPr>
          </w:p>
        </w:tc>
      </w:tr>
      <w:tr>
        <w:trPr>
          <w:trHeight w:val="178"/>
        </w:trPr>
        <w:tc>
          <w:tcPr>
            <w:tcW w:w="4840" w:type="dxa"/>
            <w:vAlign w:val="bottom"/>
            <w:shd w:val="clear" w:color="auto" w:fill="DBDBDB"/>
          </w:tcPr>
          <w:p>
            <w:pPr>
              <w:ind w:left="444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300" w:type="dxa"/>
            <w:vAlign w:val="bottom"/>
            <w:tcBorders>
              <w:bottom w:val="single" w:sz="8" w:color="auto"/>
            </w:tcBorders>
            <w:shd w:val="clear" w:color="auto" w:fill="DBDBDB"/>
          </w:tcPr>
          <w:p>
            <w:pPr>
              <w:ind w:left="260"/>
              <w:spacing w:after="0"/>
              <w:rPr>
                <w:sz w:val="20"/>
                <w:szCs w:val="20"/>
                <w:color w:val="auto"/>
              </w:rPr>
            </w:pPr>
            <w:r>
              <w:rPr>
                <w:rFonts w:ascii="Times New Roman" w:cs="Times New Roman" w:eastAsia="Times New Roman" w:hAnsi="Times New Roman"/>
                <w:sz w:val="13"/>
                <w:szCs w:val="13"/>
                <w:b w:val="1"/>
                <w:bCs w:val="1"/>
                <w:color w:val="auto"/>
              </w:rPr>
              <w:t>Share capital</w:t>
            </w:r>
          </w:p>
        </w:tc>
        <w:tc>
          <w:tcPr>
            <w:tcW w:w="122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60" w:type="dxa"/>
            <w:vAlign w:val="bottom"/>
            <w:tcBorders>
              <w:bottom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reserve</w:t>
            </w:r>
          </w:p>
        </w:tc>
        <w:tc>
          <w:tcPr>
            <w:tcW w:w="1500" w:type="dxa"/>
            <w:vAlign w:val="bottom"/>
            <w:tcBorders>
              <w:bottom w:val="single" w:sz="8" w:color="auto"/>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040" w:type="dxa"/>
            <w:vAlign w:val="bottom"/>
            <w:tcBorders>
              <w:bottom w:val="single" w:sz="8" w:color="auto"/>
            </w:tcBorders>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January 1, 2023 - (Restated)</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(21,165)</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(3,584,232)</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15,773</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3,677,813</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88,189</w:t>
            </w:r>
          </w:p>
        </w:tc>
      </w:tr>
      <w:tr>
        <w:trPr>
          <w:trHeight w:val="29"/>
        </w:trPr>
        <w:tc>
          <w:tcPr>
            <w:tcW w:w="4840" w:type="dxa"/>
            <w:vAlign w:val="bottom"/>
            <w:tcBorders>
              <w:bottom w:val="single" w:sz="8" w:color="DBDBDB"/>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loss - (Restated)</w:t>
            </w:r>
          </w:p>
        </w:tc>
        <w:tc>
          <w:tcPr>
            <w:tcW w:w="1300" w:type="dxa"/>
            <w:vAlign w:val="bottom"/>
            <w:tcBorders>
              <w:bottom w:val="single" w:sz="8" w:color="DBDBDB"/>
            </w:tcBorders>
            <w:shd w:val="clear" w:color="auto" w:fill="DBDBDB"/>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DBDBDB"/>
            </w:tcBorders>
            <w:shd w:val="clear" w:color="auto" w:fill="DBDBDB"/>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50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340,830</w:t>
            </w:r>
          </w:p>
        </w:tc>
        <w:tc>
          <w:tcPr>
            <w:tcW w:w="10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340,830</w:t>
            </w:r>
          </w:p>
        </w:tc>
      </w:tr>
      <w:tr>
        <w:trPr>
          <w:trHeight w:val="18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 (Restated)</w:t>
            </w:r>
          </w:p>
        </w:tc>
        <w:tc>
          <w:tcPr>
            <w:tcW w:w="13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27,658</w:t>
            </w:r>
          </w:p>
        </w:tc>
        <w:tc>
          <w:tcPr>
            <w:tcW w:w="150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27,658</w:t>
            </w:r>
          </w:p>
        </w:tc>
      </w:tr>
    </w:tbl>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 - (Restated)</w:t>
            </w: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tcBorders>
              <w:bottom w:val="single" w:sz="8" w:color="DBDBDB"/>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Borders>
              <w:bottom w:val="single" w:sz="8" w:color="DBDBDB"/>
            </w:tcBorders>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27,658</w:t>
            </w:r>
          </w:p>
        </w:tc>
        <w:tc>
          <w:tcPr>
            <w:tcW w:w="128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340,830</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368,488</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Equity-settled share-based payment</w:t>
            </w:r>
          </w:p>
        </w:tc>
        <w:tc>
          <w:tcPr>
            <w:tcW w:w="15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color w:val="auto"/>
              </w:rPr>
              <w:t>(2)</w:t>
            </w:r>
          </w:p>
        </w:tc>
        <w:tc>
          <w:tcPr>
            <w:tcW w:w="136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color w:val="auto"/>
              </w:rPr>
              <w:t>(2,656)</w:t>
            </w:r>
          </w:p>
        </w:tc>
        <w:tc>
          <w:tcPr>
            <w:tcW w:w="11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(2,658)</w:t>
            </w:r>
          </w:p>
        </w:tc>
      </w:tr>
      <w:tr>
        <w:trPr>
          <w:trHeight w:val="29"/>
        </w:trPr>
        <w:tc>
          <w:tcPr>
            <w:tcW w:w="484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2023 - (Restated)</w:t>
            </w:r>
          </w:p>
        </w:tc>
        <w:tc>
          <w:tcPr>
            <w:tcW w:w="156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(21,167)</w:t>
            </w:r>
          </w:p>
        </w:tc>
        <w:tc>
          <w:tcPr>
            <w:tcW w:w="1360" w:type="dxa"/>
            <w:vAlign w:val="bottom"/>
            <w:tcBorders>
              <w:bottom w:val="single" w:sz="8" w:color="DBDBDB"/>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(3,586,888)</w:t>
            </w:r>
          </w:p>
        </w:tc>
        <w:tc>
          <w:tcPr>
            <w:tcW w:w="1180" w:type="dxa"/>
            <w:vAlign w:val="bottom"/>
            <w:tcBorders>
              <w:bottom w:val="single" w:sz="8" w:color="DBDBDB"/>
            </w:tcBorders>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43,431</w:t>
            </w:r>
          </w:p>
        </w:tc>
        <w:tc>
          <w:tcPr>
            <w:tcW w:w="128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4,018,643</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454,019</w:t>
            </w:r>
          </w:p>
        </w:tc>
      </w:tr>
      <w:tr>
        <w:trPr>
          <w:trHeight w:val="134"/>
        </w:trPr>
        <w:tc>
          <w:tcPr>
            <w:tcW w:w="4840" w:type="dxa"/>
            <w:vAlign w:val="bottom"/>
            <w:tcBorders>
              <w:bottom w:val="single" w:sz="8" w:color="DBDBDB"/>
            </w:tcBorders>
          </w:tcPr>
          <w:p>
            <w:pPr>
              <w:spacing w:after="0"/>
              <w:rPr>
                <w:sz w:val="11"/>
                <w:szCs w:val="11"/>
                <w:color w:val="auto"/>
              </w:rPr>
            </w:pPr>
          </w:p>
        </w:tc>
        <w:tc>
          <w:tcPr>
            <w:tcW w:w="1560" w:type="dxa"/>
            <w:vAlign w:val="bottom"/>
            <w:tcBorders>
              <w:top w:val="single" w:sz="8" w:color="auto"/>
              <w:bottom w:val="single" w:sz="8" w:color="auto"/>
            </w:tcBorders>
          </w:tcPr>
          <w:p>
            <w:pPr>
              <w:spacing w:after="0"/>
              <w:rPr>
                <w:sz w:val="11"/>
                <w:szCs w:val="11"/>
                <w:color w:val="auto"/>
              </w:rPr>
            </w:pPr>
          </w:p>
        </w:tc>
        <w:tc>
          <w:tcPr>
            <w:tcW w:w="1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r>
      <w:tr>
        <w:trPr>
          <w:trHeight w:val="20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56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(21,168)</w:t>
            </w:r>
          </w:p>
        </w:tc>
        <w:tc>
          <w:tcPr>
            <w:tcW w:w="1360" w:type="dxa"/>
            <w:vAlign w:val="bottom"/>
            <w:tcBorders>
              <w:bottom w:val="single" w:sz="8" w:color="DBDBDB"/>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color w:val="auto"/>
              </w:rPr>
              <w:t>(3,615,187)</w:t>
            </w:r>
          </w:p>
        </w:tc>
        <w:tc>
          <w:tcPr>
            <w:tcW w:w="1180" w:type="dxa"/>
            <w:vAlign w:val="bottom"/>
            <w:tcBorders>
              <w:bottom w:val="single" w:sz="8" w:color="DBDBDB"/>
            </w:tcBorders>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color w:val="auto"/>
              </w:rPr>
              <w:t>26,010</w:t>
            </w:r>
          </w:p>
        </w:tc>
        <w:tc>
          <w:tcPr>
            <w:tcW w:w="128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color w:val="auto"/>
              </w:rPr>
              <w:t>4,872,644</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1,262,299</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5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color w:val="auto"/>
              </w:rPr>
              <w:t>539,485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539,485</w:t>
            </w:r>
          </w:p>
        </w:tc>
      </w:tr>
      <w:tr>
        <w:trPr>
          <w:trHeight w:val="29"/>
        </w:trPr>
        <w:tc>
          <w:tcPr>
            <w:tcW w:w="4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2"/>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560" w:type="dxa"/>
            <w:vAlign w:val="bottom"/>
            <w:tcBorders>
              <w:bottom w:val="single" w:sz="8" w:color="DBDBDB"/>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DBDBDB"/>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DBDBDB"/>
            </w:tcBorders>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color w:val="auto"/>
              </w:rPr>
              <w:t>23,823</w:t>
            </w:r>
          </w:p>
        </w:tc>
        <w:tc>
          <w:tcPr>
            <w:tcW w:w="128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23,823</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loss</w:t>
            </w:r>
          </w:p>
        </w:tc>
        <w:tc>
          <w:tcPr>
            <w:tcW w:w="156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23,823</w:t>
            </w:r>
          </w:p>
        </w:tc>
        <w:tc>
          <w:tcPr>
            <w:tcW w:w="12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539,485</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563,308</w:t>
            </w:r>
          </w:p>
        </w:tc>
      </w:tr>
      <w:tr>
        <w:trPr>
          <w:trHeight w:val="29"/>
        </w:trPr>
        <w:tc>
          <w:tcPr>
            <w:tcW w:w="4840" w:type="dxa"/>
            <w:vAlign w:val="bottom"/>
            <w:tcBorders>
              <w:bottom w:val="single" w:sz="8" w:color="DBDBDB"/>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1"/>
        </w:trPr>
        <w:tc>
          <w:tcPr>
            <w:tcW w:w="4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Equity-settled share-based payment</w:t>
            </w:r>
          </w:p>
        </w:tc>
        <w:tc>
          <w:tcPr>
            <w:tcW w:w="156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color w:val="auto"/>
              </w:rPr>
              <w:t>(1)</w:t>
            </w:r>
          </w:p>
        </w:tc>
        <w:tc>
          <w:tcPr>
            <w:tcW w:w="1360" w:type="dxa"/>
            <w:vAlign w:val="bottom"/>
            <w:tcBorders>
              <w:bottom w:val="single" w:sz="8" w:color="DBDBDB"/>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color w:val="auto"/>
              </w:rPr>
              <w:t>(6,074)</w:t>
            </w:r>
          </w:p>
        </w:tc>
        <w:tc>
          <w:tcPr>
            <w:tcW w:w="1180" w:type="dxa"/>
            <w:vAlign w:val="bottom"/>
            <w:tcBorders>
              <w:bottom w:val="single" w:sz="8" w:color="DBDBDB"/>
            </w:tcBorders>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(6,075)</w:t>
            </w:r>
          </w:p>
        </w:tc>
      </w:tr>
      <w:tr>
        <w:trPr>
          <w:trHeight w:val="172"/>
        </w:trPr>
        <w:tc>
          <w:tcPr>
            <w:tcW w:w="4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56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(21,169)</w:t>
            </w:r>
          </w:p>
        </w:tc>
        <w:tc>
          <w:tcPr>
            <w:tcW w:w="136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(3,621,261)</w:t>
            </w:r>
          </w:p>
        </w:tc>
        <w:tc>
          <w:tcPr>
            <w:tcW w:w="11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49,833</w:t>
            </w:r>
          </w:p>
        </w:tc>
        <w:tc>
          <w:tcPr>
            <w:tcW w:w="128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5,412,129</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1,819,532</w:t>
            </w:r>
          </w:p>
        </w:tc>
      </w:tr>
    </w:tbl>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60325</wp:posOffset>
            </wp:positionV>
            <wp:extent cx="7197090" cy="374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160"/>
          </w:cols>
          <w:pgMar w:left="360" w:top="568" w:right="379" w:bottom="1440" w:gutter="0" w:footer="0" w:header="0"/>
        </w:sectPr>
      </w:pPr>
    </w:p>
    <w:bookmarkStart w:id="19" w:name="page20"/>
    <w:bookmarkEnd w:id="19"/>
    <w:p>
      <w:pPr>
        <w:ind w:left="4640"/>
        <w:spacing w:after="0"/>
        <w:rPr>
          <w:sz w:val="20"/>
          <w:szCs w:val="20"/>
          <w:color w:val="auto"/>
        </w:rPr>
      </w:pPr>
      <w:r>
        <w:rPr>
          <w:rFonts w:ascii="Times New Roman" w:cs="Times New Roman" w:eastAsia="Times New Roman" w:hAnsi="Times New Roman"/>
          <w:sz w:val="13"/>
          <w:szCs w:val="13"/>
          <w:color w:val="auto"/>
        </w:rPr>
        <w:t>Polestar Automotive Holding UK PLC</w:t>
      </w:r>
    </w:p>
    <w:p>
      <w:pPr>
        <w:jc w:val="right"/>
        <w:ind w:right="1139"/>
        <w:spacing w:after="0"/>
        <w:rPr>
          <w:sz w:val="20"/>
          <w:szCs w:val="20"/>
          <w:color w:val="auto"/>
        </w:rPr>
      </w:pPr>
      <w:r>
        <w:rPr>
          <w:rFonts w:ascii="Times New Roman" w:cs="Times New Roman" w:eastAsia="Times New Roman" w:hAnsi="Times New Roman"/>
          <w:sz w:val="13"/>
          <w:szCs w:val="13"/>
          <w:color w:val="auto"/>
        </w:rPr>
        <w:t>Unaudited Condensed Consolidated Statement of Cash Flows</w:t>
      </w:r>
    </w:p>
    <w:p>
      <w:pPr>
        <w:spacing w:after="0" w:line="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3"/>
          <w:szCs w:val="13"/>
          <w:color w:val="auto"/>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119380</wp:posOffset>
            </wp:positionV>
            <wp:extent cx="4930775" cy="134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0775" cy="134620"/>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394335</wp:posOffset>
            </wp:positionV>
            <wp:extent cx="4930775" cy="134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30480</wp:posOffset>
            </wp:positionV>
            <wp:extent cx="4930775" cy="134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Net loss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Adjustments to reconcile net loss to net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Depreciation and amortization expense</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Warranty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Impairment of inventory</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Finance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Finance expense</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Fair value change - Earn-out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Fair value change - Class C Shares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Share of losses in associates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Loss on derecognition and disposal of property, plant, and equipment and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Other provisions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Unrealized exchange gain on 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Other non-cash expense and income</w:t>
      </w:r>
    </w:p>
    <w:p>
      <w:pPr>
        <w:spacing w:after="0" w:line="6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30480</wp:posOffset>
            </wp:positionV>
            <wp:extent cx="4930775"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Inventories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Trade receivables, prepaid expenses, and other assets</w:t>
      </w:r>
    </w:p>
    <w:p>
      <w:pPr>
        <w:spacing w:after="0" w:line="6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3"/>
          <w:szCs w:val="13"/>
          <w:color w:val="auto"/>
        </w:rPr>
        <w:t>Trade payables, 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Interest received</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Interest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Taxes paid</w:t>
      </w:r>
    </w:p>
    <w:p>
      <w:pPr>
        <w:spacing w:after="0" w:line="6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36830</wp:posOffset>
            </wp:positionV>
            <wp:extent cx="4930775"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p>
      <w:pPr>
        <w:spacing w:after="0" w:line="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Additions to intangible assets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Additions to investment in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Proceeds from sale of property, plant, and equipment</w:t>
      </w:r>
    </w:p>
    <w:p>
      <w:pPr>
        <w:spacing w:after="0" w:line="6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36830</wp:posOffset>
            </wp:positionV>
            <wp:extent cx="4930775" cy="134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5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p>
      <w:pPr>
        <w:spacing w:after="0" w:line="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Change in restricted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Proceeds from short-term borrowings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Proceeds from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30775" cy="134620"/>
                    </a:xfrm>
                    <a:prstGeom prst="rect">
                      <a:avLst/>
                    </a:prstGeom>
                    <a:noFill/>
                  </pic:spPr>
                </pic:pic>
              </a:graphicData>
            </a:graphic>
          </wp:anchor>
        </w:drawing>
      </w:r>
    </w:p>
    <w:p>
      <w:pPr>
        <w:spacing w:after="0" w:line="4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Repayments of borrowings</w:t>
      </w:r>
    </w:p>
    <w:p>
      <w:pPr>
        <w:spacing w:after="0" w:line="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Repayments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29210</wp:posOffset>
            </wp:positionV>
            <wp:extent cx="4930775" cy="1403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0775" cy="140335"/>
                    </a:xfrm>
                    <a:prstGeom prst="rect">
                      <a:avLst/>
                    </a:prstGeom>
                    <a:noFill/>
                  </pic:spPr>
                </pic:pic>
              </a:graphicData>
            </a:graphic>
          </wp:anchor>
        </w:drawing>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p>
      <w:pPr>
        <w:spacing w:after="0" w:line="7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35560</wp:posOffset>
            </wp:positionV>
            <wp:extent cx="4930775" cy="140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30775" cy="140335"/>
                    </a:xfrm>
                    <a:prstGeom prst="rect">
                      <a:avLst/>
                    </a:prstGeom>
                    <a:noFill/>
                  </pic:spPr>
                </pic:pic>
              </a:graphicData>
            </a:graphic>
          </wp:anchor>
        </w:drawing>
      </w:r>
    </w:p>
    <w:p>
      <w:pPr>
        <w:spacing w:after="0" w:line="5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Net (decrease) increase in cash and cash equivalents</w:t>
      </w:r>
    </w:p>
    <w:p>
      <w:pPr>
        <w:spacing w:after="0" w:line="7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and cash equivalents at the beginning of the period</w:t>
      </w:r>
    </w:p>
    <w:p>
      <w:pPr>
        <w:spacing w:after="0" w:line="8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the period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 xml:space="preserve">1 - Refer to </w:t>
      </w:r>
      <w:r>
        <w:rPr>
          <w:rFonts w:ascii="Times New Roman" w:cs="Times New Roman" w:eastAsia="Times New Roman" w:hAnsi="Times New Roman"/>
          <w:sz w:val="10"/>
          <w:szCs w:val="10"/>
          <w:i w:val="1"/>
          <w:iCs w:val="1"/>
          <w:color w:val="auto"/>
        </w:rPr>
        <w:t>Note 18 - Restatement of prior period financial statements</w:t>
      </w:r>
      <w:r>
        <w:rPr>
          <w:rFonts w:ascii="Times New Roman" w:cs="Times New Roman" w:eastAsia="Times New Roman" w:hAnsi="Times New Roman"/>
          <w:sz w:val="10"/>
          <w:szCs w:val="10"/>
          <w:color w:val="auto"/>
        </w:rPr>
        <w:t xml:space="preserve"> for reconciliations between originally reported and as revised amounts.</w:t>
      </w:r>
    </w:p>
    <w:p>
      <w:pPr>
        <w:spacing w:after="0" w:line="1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3"/>
          <w:szCs w:val="13"/>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159"/>
          </w:cols>
          <w:pgMar w:left="300" w:top="568"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1 - Overview and basis of preparation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 information</w:t>
      </w:r>
    </w:p>
    <w:p>
      <w:pPr>
        <w:spacing w:after="0" w:line="64"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Polestar Automotive Holding UK PLC (the “Parent”), together with its subsidiaries, hereafter referred to as “Polestar," “Polestar Group,” and the “Group," is a limited company incorporated in the United Kingdom. Polestar Group operates principally in the automotive industry, engaging in research and development, branding and marketing, and the commercialization and selling of battery electric vehicles, and related technology solutions. Polestar Group's current lineup of battery electric vehicles consists of the Polestar 2 ("PS2"), a premium fast-back sedan, the Polestar 3 ("PS3"), a luxury aero sport-utility vehicle, the Polestar 4 ("PS4"), a</w:t>
      </w:r>
    </w:p>
    <w:p>
      <w:pPr>
        <w:jc w:val="both"/>
        <w:ind w:right="20"/>
        <w:spacing w:after="0" w:line="233" w:lineRule="auto"/>
        <w:rPr>
          <w:sz w:val="20"/>
          <w:szCs w:val="20"/>
          <w:color w:val="auto"/>
        </w:rPr>
      </w:pPr>
      <w:r>
        <w:rPr>
          <w:rFonts w:ascii="Times New Roman" w:cs="Times New Roman" w:eastAsia="Times New Roman" w:hAnsi="Times New Roman"/>
          <w:sz w:val="12"/>
          <w:szCs w:val="12"/>
          <w:color w:val="auto"/>
        </w:rPr>
        <w:t>premium sport utility vehicle, the Polestar 5 ("PS5"), a luxury sport grand-touring sedan, and the Polestar 6 ("PS6"), a luxury roadster. As of June 30, 2024, the PS2, PS3, and PS4 are in production while the remaining vehicles are under development. Operating sustainably is a critical priority of the Group; targeting climate neutrality by 2040, creating a climate neutral car (cradle-to-gate) by 2030, and halving the emission intensity per car sold by 2030. Polestar Group has a presence in 27 markets across Europe, North America, and Asia. Polestar Group has its management headquarters located at Assar Gabrielssons väg 9, 41878 Göteborg, Sweden.</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June 30, 2024, related parties owned 81.8% of the Group. The remaining 18.2% of the Group was owned by external investors.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Basis of preparation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Unaudited Condensed Consolidated Financial Statements in this interim report of Polestar Group are prepared in accordance International Accounting Standards (“IAS”) 34, </w:t>
      </w:r>
      <w:r>
        <w:rPr>
          <w:rFonts w:ascii="Times New Roman" w:cs="Times New Roman" w:eastAsia="Times New Roman" w:hAnsi="Times New Roman"/>
          <w:sz w:val="12"/>
          <w:szCs w:val="12"/>
          <w:i w:val="1"/>
          <w:iCs w:val="1"/>
          <w:color w:val="auto"/>
        </w:rPr>
        <w:t>Interim Financial Reporting</w:t>
      </w:r>
      <w:r>
        <w:rPr>
          <w:rFonts w:ascii="Times New Roman" w:cs="Times New Roman" w:eastAsia="Times New Roman" w:hAnsi="Times New Roman"/>
          <w:sz w:val="12"/>
          <w:szCs w:val="12"/>
          <w:color w:val="auto"/>
        </w:rPr>
        <w:t xml:space="preserve"> (“IAS 34”),</w:t>
      </w:r>
    </w:p>
    <w:p>
      <w:pPr>
        <w:spacing w:after="0" w:line="13"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3"/>
          <w:szCs w:val="13"/>
          <w:color w:val="auto"/>
        </w:rPr>
        <w:t>as adopted by the International Accounting Standards Board (“IASB”) and UK-adopted international accounting standards. The Unaudited Condensed Consolidated Financial Statements have been prepared on the historical cost basis, except for the revaluation of certain financial instruments that are measured at fair values at the end of each reporting period, as explained in the accounting policies below. For group financial reporting purposes, Polestar Group companies apply the same accounting principles, irrespective of national legislation, as defined in the Group accounting directives. Such accounting principals have been applied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consistently for all periods, unless otherwise stated.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This interim report is prepared in the presentation currency, U.S. Dollar (“USD”). All amounts are stated in thousands of USD (“TUSD”), unless otherwise stated.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Periods discussed prior to June 23, 2022 represent the operations of Polestar Automotive Holding Limited and its consolidated subsidiaries.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Going concern</w:t>
      </w:r>
    </w:p>
    <w:p>
      <w:pPr>
        <w:spacing w:after="0" w:line="55"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Polestar Group’s Unaudited Condensed Consolidated Financial Statements have been prepared on a basis that assumes Polestar Group will continue as a going concern and the ordinary course of business will continue in alignment with management’s 2024-2028 business plan.</w:t>
      </w:r>
    </w:p>
    <w:p>
      <w:pPr>
        <w:spacing w:after="0" w:line="46"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3"/>
          <w:szCs w:val="13"/>
          <w:color w:val="auto"/>
        </w:rPr>
        <w:t>Management assessed Polestar Group’s ability to continue as a going concern and evaluated whether there are certain events or conditions, considered in the aggregate, that may cast substantial doubt about Polestar’s ability to continue as a going concern. All information available to management, including cash flow forecasts, liquidity forecasts, and internal risk assessments, pertaining to the twelve-month period after the issuance date of these Unaudited Condensed Consolidated Financial Statements was used in performing this assessment.</w:t>
      </w:r>
    </w:p>
    <w:p>
      <w:pPr>
        <w:spacing w:after="0" w:line="47"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As a result of scaling up commercialization and continued capital expenditures related to the PS2, PS3, PS4, PS5, and PS6, managing the Company’s liquidity profile and funding needs remains one of management’s key priorities. If Polestar is not able to raise the necessary funds through operations, equity raises, debt financing, or other means, the Group may be required to delay, limit, reduce, or, in the worst case, terminate research and development and commercialization efforts. Since inception, Polestar Group has generated recurring net losses and negative operating and investing cash flows. Net losses for the six months ended June 30, 2024 and</w:t>
      </w:r>
    </w:p>
    <w:p>
      <w:pPr>
        <w:jc w:val="both"/>
        <w:ind w:right="20"/>
        <w:spacing w:after="0" w:line="233" w:lineRule="auto"/>
        <w:rPr>
          <w:sz w:val="20"/>
          <w:szCs w:val="20"/>
          <w:color w:val="auto"/>
        </w:rPr>
      </w:pPr>
      <w:r>
        <w:rPr>
          <w:rFonts w:ascii="Times New Roman" w:cs="Times New Roman" w:eastAsia="Times New Roman" w:hAnsi="Times New Roman"/>
          <w:sz w:val="12"/>
          <w:szCs w:val="12"/>
          <w:color w:val="auto"/>
        </w:rPr>
        <w:t>2023 amounted to $539,485 and $340,830, respectively. Negative operating and investing cash flows for the six months ended June 30, 2024 and 2023 amounted to $524,747 and $939,410, respectively. Management’s 2024-2028 business plan indicates that Polestar will generate negative operating cash flows in the near future and positive operating cash flows starting the second half of 2025; investing cash flows of Polestar will continue to be negative in the near and long-term future due to the nature of Polestar’s business. Securing financing to support operating and development activities represents an ongoing challenge for Polestar Group.</w:t>
      </w:r>
    </w:p>
    <w:p>
      <w:pPr>
        <w:spacing w:after="0" w:line="4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Polestar Group primarily finances its operations through short-term working capital loan arrangements with credit institutions (i.e., 12 months or less), contributions from shareholders, extended trade credit from related parties, and long-term financing arrangements with related parties. Management’s 2024-2028 business plan indicates that Polestar Group depends on additional financing that is expected to be funded via a combination of new short-term working capital loan arrangements, long-term loan arrangements, shareholder loans with related parties, and executing capital market transactions through offerings of debt and/or equity. The timely</w:t>
      </w:r>
    </w:p>
    <w:p>
      <w:pPr>
        <w:jc w:val="both"/>
        <w:spacing w:after="0" w:line="215" w:lineRule="auto"/>
        <w:rPr>
          <w:sz w:val="20"/>
          <w:szCs w:val="20"/>
          <w:color w:val="auto"/>
        </w:rPr>
      </w:pPr>
      <w:r>
        <w:rPr>
          <w:rFonts w:ascii="Times New Roman" w:cs="Times New Roman" w:eastAsia="Times New Roman" w:hAnsi="Times New Roman"/>
          <w:sz w:val="13"/>
          <w:szCs w:val="13"/>
          <w:color w:val="auto"/>
        </w:rPr>
        <w:t>realization of these financing endeavors is crucial for Polestar Group’s ability to continue as a going concern. If Polestar is unable to obtain financing from these sources or if such financing is not sufficient to cover forecasted operating and investing cash flow needs, Polestar Group will need to seek additional funding through other means (e.g., issuing new shares of equity or issuing bonds). Management has no certainty that Polestar Group will be successful in securing the funds necessary to continue operating and development activities as planned.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During the six months ended June 30, 2024, Polestar demonstrated efforts towards achieving liquidity targets in management's 2024-2028 business plan by:</w:t>
      </w:r>
    </w:p>
    <w:p>
      <w:pPr>
        <w:spacing w:after="0" w:line="72" w:lineRule="exact"/>
        <w:rPr>
          <w:sz w:val="20"/>
          <w:szCs w:val="20"/>
          <w:color w:val="auto"/>
        </w:rPr>
      </w:pPr>
    </w:p>
    <w:p>
      <w:pPr>
        <w:ind w:left="460" w:hanging="232"/>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Securing long-term financing support from credit institutions; and</w:t>
      </w:r>
    </w:p>
    <w:p>
      <w:pPr>
        <w:spacing w:after="0" w:line="5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Entering into multiple short-term working capital loan arrangements with banking partners in China.</w:t>
      </w:r>
    </w:p>
    <w:p>
      <w:pPr>
        <w:spacing w:after="0" w:line="51"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3"/>
          <w:szCs w:val="13"/>
          <w:color w:val="auto"/>
        </w:rPr>
        <w:t>Polestar is party to financing instruments during the 12 months following the reporting period that contain financial covenants with which Polestar must comply. A failure to comply with such covenants may result in an event of default that could have material</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1" w:name="page22"/>
    <w:bookmarkEnd w:id="21"/>
    <w:p>
      <w:pPr>
        <w:jc w:val="center"/>
        <w:ind w:right="-2"/>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left="3" w:right="20"/>
        <w:spacing w:after="0" w:line="233" w:lineRule="auto"/>
        <w:rPr>
          <w:sz w:val="20"/>
          <w:szCs w:val="20"/>
          <w:color w:val="auto"/>
        </w:rPr>
      </w:pPr>
      <w:r>
        <w:rPr>
          <w:rFonts w:ascii="Times New Roman" w:cs="Times New Roman" w:eastAsia="Times New Roman" w:hAnsi="Times New Roman"/>
          <w:sz w:val="13"/>
          <w:szCs w:val="13"/>
          <w:color w:val="auto"/>
        </w:rPr>
        <w:t>adverse effects on the business. Due to the factors discussed above, there is material uncertainty as to whether Polestar will be able to comply with all covenants in future periods. Remedies to an event of default include proactively applying for a covenant waiver prior to such event of default occurring.</w:t>
      </w:r>
    </w:p>
    <w:p>
      <w:pPr>
        <w:spacing w:after="0" w:line="46" w:lineRule="exact"/>
        <w:rPr>
          <w:sz w:val="20"/>
          <w:szCs w:val="20"/>
          <w:color w:val="auto"/>
        </w:rPr>
      </w:pPr>
    </w:p>
    <w:p>
      <w:pPr>
        <w:jc w:val="both"/>
        <w:ind w:left="3"/>
        <w:spacing w:after="0" w:line="222" w:lineRule="auto"/>
        <w:rPr>
          <w:sz w:val="20"/>
          <w:szCs w:val="20"/>
          <w:color w:val="auto"/>
        </w:rPr>
      </w:pPr>
      <w:r>
        <w:rPr>
          <w:rFonts w:ascii="Times New Roman" w:cs="Times New Roman" w:eastAsia="Times New Roman" w:hAnsi="Times New Roman"/>
          <w:sz w:val="13"/>
          <w:szCs w:val="13"/>
          <w:color w:val="auto"/>
        </w:rPr>
        <w:t>Based on these circumstances, management reasonably expects there to be sufficient liquidity in the twelve-month period after the issuance date of these Unaudited Condensed Consolidated Financial Statements in order for Polestar to meet its cash flow requirements, but there is substantial doubt about Polestar’s ability to continue as a going concern. There are ongoing efforts in place to mitigate the uncertainty. The Unaudited Condensed Consolidated Financial Statements do not include any adjustments to factor for the going concern uncertainty.</w:t>
      </w:r>
    </w:p>
    <w:p>
      <w:pPr>
        <w:spacing w:after="0" w:line="1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 2 - Significant accounting policies and judgements</w:t>
      </w:r>
    </w:p>
    <w:p>
      <w:pPr>
        <w:spacing w:after="0" w:line="12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Adoption of new and revised standards</w:t>
      </w:r>
    </w:p>
    <w:p>
      <w:pPr>
        <w:spacing w:after="0" w:line="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Effects of new and amended IFRS</w:t>
      </w:r>
    </w:p>
    <w:p>
      <w:pPr>
        <w:spacing w:after="0" w:line="64" w:lineRule="exact"/>
        <w:rPr>
          <w:sz w:val="20"/>
          <w:szCs w:val="20"/>
          <w:color w:val="auto"/>
        </w:rPr>
      </w:pPr>
    </w:p>
    <w:p>
      <w:pPr>
        <w:jc w:val="both"/>
        <w:ind w:left="3" w:right="20"/>
        <w:spacing w:after="0" w:line="231" w:lineRule="auto"/>
        <w:rPr>
          <w:sz w:val="20"/>
          <w:szCs w:val="20"/>
          <w:color w:val="auto"/>
        </w:rPr>
      </w:pPr>
      <w:r>
        <w:rPr>
          <w:rFonts w:ascii="Times New Roman" w:cs="Times New Roman" w:eastAsia="Times New Roman" w:hAnsi="Times New Roman"/>
          <w:sz w:val="12"/>
          <w:szCs w:val="12"/>
          <w:color w:val="auto"/>
        </w:rPr>
        <w:t xml:space="preserve">Management has concluded the adoption of new standards and amendments effective from January 1, 2024 did not have a material impact on the Group’s Unaudited Condensed Consolidated Financial Statements. For a detailed assessment of the Group’s adoption of new and revised standards, refer to </w:t>
      </w:r>
      <w:r>
        <w:rPr>
          <w:rFonts w:ascii="Times New Roman" w:cs="Times New Roman" w:eastAsia="Times New Roman" w:hAnsi="Times New Roman"/>
          <w:sz w:val="12"/>
          <w:szCs w:val="12"/>
          <w:i w:val="1"/>
          <w:iCs w:val="1"/>
          <w:color w:val="auto"/>
        </w:rPr>
        <w:t>Note 2 - Significant accounting policies and judgements</w:t>
      </w:r>
      <w:r>
        <w:rPr>
          <w:rFonts w:ascii="Times New Roman" w:cs="Times New Roman" w:eastAsia="Times New Roman" w:hAnsi="Times New Roman"/>
          <w:sz w:val="12"/>
          <w:szCs w:val="12"/>
          <w:color w:val="auto"/>
        </w:rPr>
        <w:t xml:space="preserve"> of the Consolidated Financial Statements for Polestar Automotive Holding Limited, as of December 31, 2023 and 2022, and for the three years ended December 31, 2023 that were included in the Form 20-F filed with the United States Securities and Exchange Commission (“SEC”) on August</w:t>
      </w:r>
    </w:p>
    <w:p>
      <w:pPr>
        <w:ind w:left="3"/>
        <w:spacing w:after="0"/>
        <w:rPr>
          <w:sz w:val="20"/>
          <w:szCs w:val="20"/>
          <w:color w:val="auto"/>
        </w:rPr>
      </w:pPr>
      <w:r>
        <w:rPr>
          <w:rFonts w:ascii="Times New Roman" w:cs="Times New Roman" w:eastAsia="Times New Roman" w:hAnsi="Times New Roman"/>
          <w:sz w:val="13"/>
          <w:szCs w:val="13"/>
          <w:color w:val="auto"/>
        </w:rPr>
        <w:t>14, 2024.</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i w:val="1"/>
          <w:iCs w:val="1"/>
          <w:color w:val="auto"/>
        </w:rPr>
        <w:t>New and amended IFRS issued by not yet effective</w:t>
      </w:r>
    </w:p>
    <w:p>
      <w:pPr>
        <w:spacing w:after="0" w:line="55" w:lineRule="exact"/>
        <w:rPr>
          <w:sz w:val="20"/>
          <w:szCs w:val="20"/>
          <w:color w:val="auto"/>
        </w:rPr>
      </w:pPr>
    </w:p>
    <w:p>
      <w:pPr>
        <w:jc w:val="both"/>
        <w:ind w:left="3" w:right="20"/>
        <w:spacing w:after="0" w:line="243" w:lineRule="auto"/>
        <w:rPr>
          <w:sz w:val="20"/>
          <w:szCs w:val="20"/>
          <w:color w:val="auto"/>
        </w:rPr>
      </w:pPr>
      <w:r>
        <w:rPr>
          <w:rFonts w:ascii="Times New Roman" w:cs="Times New Roman" w:eastAsia="Times New Roman" w:hAnsi="Times New Roman"/>
          <w:sz w:val="13"/>
          <w:szCs w:val="13"/>
          <w:color w:val="auto"/>
        </w:rPr>
        <w:t>Management has concluded the adoption of any of the below accounting pronouncements, that were issued but not effective during the six months ended June 30, 2024, will not have a material impact on the Group’s financial statements, unless otherwise noted.</w:t>
      </w:r>
    </w:p>
    <w:p>
      <w:pPr>
        <w:spacing w:after="0" w:line="32"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12"/>
          <w:szCs w:val="12"/>
          <w:color w:val="auto"/>
        </w:rPr>
        <w:t xml:space="preserve">In April 2024, the IASB issued IFRS 18, </w:t>
      </w:r>
      <w:r>
        <w:rPr>
          <w:rFonts w:ascii="Times New Roman" w:cs="Times New Roman" w:eastAsia="Times New Roman" w:hAnsi="Times New Roman"/>
          <w:sz w:val="12"/>
          <w:szCs w:val="12"/>
          <w:i w:val="1"/>
          <w:iCs w:val="1"/>
          <w:color w:val="auto"/>
        </w:rPr>
        <w:t>Presentation and Disclosure in Financial Statements</w:t>
      </w:r>
      <w:r>
        <w:rPr>
          <w:rFonts w:ascii="Times New Roman" w:cs="Times New Roman" w:eastAsia="Times New Roman" w:hAnsi="Times New Roman"/>
          <w:sz w:val="12"/>
          <w:szCs w:val="12"/>
          <w:color w:val="auto"/>
        </w:rPr>
        <w:t xml:space="preserve"> ("IFRS 18"), which outlines the requirements for the presentation and disclosure of information in financial statements. It includes the requirement to classify income and expenses into three new categories: operating, investing, and financing. IFRS 18 will replace IAS 1 and will be effective for annual periods beginning on or after January 1,</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2027.</w:t>
      </w:r>
    </w:p>
    <w:p>
      <w:pPr>
        <w:spacing w:after="0" w:line="37" w:lineRule="exact"/>
        <w:rPr>
          <w:sz w:val="20"/>
          <w:szCs w:val="20"/>
          <w:color w:val="auto"/>
        </w:rPr>
      </w:pPr>
    </w:p>
    <w:p>
      <w:pPr>
        <w:jc w:val="both"/>
        <w:ind w:left="3" w:right="20"/>
        <w:spacing w:after="0" w:line="235" w:lineRule="auto"/>
        <w:rPr>
          <w:sz w:val="20"/>
          <w:szCs w:val="20"/>
          <w:color w:val="auto"/>
        </w:rPr>
      </w:pPr>
      <w:r>
        <w:rPr>
          <w:rFonts w:ascii="Times New Roman" w:cs="Times New Roman" w:eastAsia="Times New Roman" w:hAnsi="Times New Roman"/>
          <w:sz w:val="13"/>
          <w:szCs w:val="13"/>
          <w:color w:val="auto"/>
        </w:rPr>
        <w:t xml:space="preserve">In May 2024, the IASB issued IFRS 19, </w:t>
      </w:r>
      <w:r>
        <w:rPr>
          <w:rFonts w:ascii="Times New Roman" w:cs="Times New Roman" w:eastAsia="Times New Roman" w:hAnsi="Times New Roman"/>
          <w:sz w:val="13"/>
          <w:szCs w:val="13"/>
          <w:i w:val="1"/>
          <w:iCs w:val="1"/>
          <w:color w:val="auto"/>
        </w:rPr>
        <w:t>Subsidiaries without Public Accountability: Disclosures</w:t>
      </w:r>
      <w:r>
        <w:rPr>
          <w:rFonts w:ascii="Times New Roman" w:cs="Times New Roman" w:eastAsia="Times New Roman" w:hAnsi="Times New Roman"/>
          <w:sz w:val="13"/>
          <w:szCs w:val="13"/>
          <w:color w:val="auto"/>
        </w:rPr>
        <w:t xml:space="preserve"> ("IFRS 19"), which specifies reduced disclosure requirements that eligible entities can apply instead of the disclosure requirements in other IFRS accounting standards. This standard for annual periods is effective beginning on or after January 1, 2027.</w:t>
      </w:r>
    </w:p>
    <w:p>
      <w:pPr>
        <w:spacing w:after="0" w:line="44"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13"/>
          <w:szCs w:val="13"/>
          <w:color w:val="auto"/>
        </w:rPr>
        <w:t xml:space="preserve">In May 2024, the IASB issued amendments to IFRS 7, </w:t>
      </w:r>
      <w:r>
        <w:rPr>
          <w:rFonts w:ascii="Times New Roman" w:cs="Times New Roman" w:eastAsia="Times New Roman" w:hAnsi="Times New Roman"/>
          <w:sz w:val="13"/>
          <w:szCs w:val="13"/>
          <w:i w:val="1"/>
          <w:iCs w:val="1"/>
          <w:color w:val="auto"/>
        </w:rPr>
        <w:t>Financial Instruments: Disclosures</w:t>
      </w:r>
      <w:r>
        <w:rPr>
          <w:rFonts w:ascii="Times New Roman" w:cs="Times New Roman" w:eastAsia="Times New Roman" w:hAnsi="Times New Roman"/>
          <w:sz w:val="13"/>
          <w:szCs w:val="13"/>
          <w:color w:val="auto"/>
        </w:rPr>
        <w:t xml:space="preserve"> ("IFRS 7"), and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xml:space="preserve"> ("IFRS 9"), which clarify certain elements of recognition, derecognition, classification, measurement, and disclosure of financial instruments. The amendments are effective for annual periods beginning on or after January 1, 2026.</w:t>
      </w:r>
    </w:p>
    <w:p>
      <w:pPr>
        <w:spacing w:after="0" w:line="1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Presentation, basis of consolidation, segment reporting, and foreign currency</w:t>
      </w:r>
    </w:p>
    <w:p>
      <w:pPr>
        <w:spacing w:after="0" w:line="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 xml:space="preserve">For a detailed description of the Group’s presentation, basis of consolidation, segment reporting, and foreign currency, including currency risk, refer to </w:t>
      </w:r>
      <w:r>
        <w:rPr>
          <w:rFonts w:ascii="Times New Roman" w:cs="Times New Roman" w:eastAsia="Times New Roman" w:hAnsi="Times New Roman"/>
          <w:sz w:val="12"/>
          <w:szCs w:val="12"/>
          <w:i w:val="1"/>
          <w:iCs w:val="1"/>
          <w:color w:val="auto"/>
        </w:rPr>
        <w:t>Note 2 - Significant accounting policies and judgements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Note 3</w:t>
      </w:r>
    </w:p>
    <w:p>
      <w:pPr>
        <w:spacing w:after="0" w:line="3" w:lineRule="exact"/>
        <w:rPr>
          <w:sz w:val="20"/>
          <w:szCs w:val="20"/>
          <w:color w:val="auto"/>
        </w:rPr>
      </w:pPr>
    </w:p>
    <w:p>
      <w:pPr>
        <w:ind w:left="3" w:right="20" w:hanging="3"/>
        <w:spacing w:after="0" w:line="222" w:lineRule="auto"/>
        <w:tabs>
          <w:tab w:leader="none" w:pos="78" w:val="left"/>
        </w:tabs>
        <w:numPr>
          <w:ilvl w:val="0"/>
          <w:numId w:val="5"/>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Financial risk management </w:t>
      </w:r>
      <w:r>
        <w:rPr>
          <w:rFonts w:ascii="Times New Roman" w:cs="Times New Roman" w:eastAsia="Times New Roman" w:hAnsi="Times New Roman"/>
          <w:sz w:val="13"/>
          <w:szCs w:val="13"/>
          <w:color w:val="auto"/>
        </w:rPr>
        <w:t>of the Consolidated Financial Statements for Polestar Automotive Holding UK PLC, as of December 31, 2023 and 2022, and for the three years ended December 31, 2023, that were included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the Form 20-F filed with the SEC on August 14, 2024. There are no changes for the periods presented in these Unaudited Condensed Consolidated Financial Statements.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Restatement</w:t>
      </w:r>
    </w:p>
    <w:p>
      <w:pPr>
        <w:spacing w:after="0" w:line="55"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12"/>
          <w:szCs w:val="12"/>
          <w:color w:val="auto"/>
        </w:rPr>
        <w:t>During the year ended December 31, 2023, management identified various misstatements in our previously issued 2021 and 2022 annual financial statements. In these Unaudited Condensed Consolidated Financial Statements, comparative information related to the six months ended June 30, 2023 has been restated to align its presentation with the revisions during 2023 and correct for the carryforward impacts of the misstatements</w:t>
      </w:r>
    </w:p>
    <w:p>
      <w:pPr>
        <w:ind w:left="3"/>
        <w:spacing w:after="0"/>
        <w:rPr>
          <w:sz w:val="20"/>
          <w:szCs w:val="20"/>
          <w:color w:val="auto"/>
        </w:rPr>
      </w:pPr>
      <w:r>
        <w:rPr>
          <w:rFonts w:ascii="Times New Roman" w:cs="Times New Roman" w:eastAsia="Times New Roman" w:hAnsi="Times New Roman"/>
          <w:sz w:val="13"/>
          <w:szCs w:val="13"/>
          <w:color w:val="auto"/>
        </w:rPr>
        <w:t>in our previously issued 2021 and 2022 annual financial statements.</w:t>
      </w:r>
    </w:p>
    <w:p>
      <w:pPr>
        <w:spacing w:after="0" w:line="39" w:lineRule="exact"/>
        <w:rPr>
          <w:sz w:val="20"/>
          <w:szCs w:val="20"/>
          <w:color w:val="auto"/>
        </w:rPr>
      </w:pPr>
    </w:p>
    <w:p>
      <w:pPr>
        <w:jc w:val="both"/>
        <w:ind w:left="3" w:right="20"/>
        <w:spacing w:after="0" w:line="233" w:lineRule="auto"/>
        <w:rPr>
          <w:sz w:val="20"/>
          <w:szCs w:val="20"/>
          <w:color w:val="auto"/>
        </w:rPr>
      </w:pPr>
      <w:r>
        <w:rPr>
          <w:rFonts w:ascii="Times New Roman" w:cs="Times New Roman" w:eastAsia="Times New Roman" w:hAnsi="Times New Roman"/>
          <w:sz w:val="13"/>
          <w:szCs w:val="13"/>
          <w:color w:val="auto"/>
        </w:rPr>
        <w:t>The prior period errors relate primarily to (i) accounting for inventories, including the accounting treatment of certain launch costs, capitalizable expenses into inventory and valuation adjustments for internal use cars, (ii) accounting for accruals and deferrals, (iii) capitalization of expenses, (iv) other errors relating to reclassifications between financial statement captions and (v) deferred taxes and income taxes.</w:t>
      </w:r>
    </w:p>
    <w:p>
      <w:pPr>
        <w:spacing w:after="0" w:line="46" w:lineRule="exact"/>
        <w:rPr>
          <w:sz w:val="20"/>
          <w:szCs w:val="20"/>
          <w:color w:val="auto"/>
        </w:rPr>
      </w:pPr>
    </w:p>
    <w:p>
      <w:pPr>
        <w:jc w:val="both"/>
        <w:ind w:left="3" w:right="20"/>
        <w:spacing w:after="0" w:line="217" w:lineRule="auto"/>
        <w:rPr>
          <w:sz w:val="20"/>
          <w:szCs w:val="20"/>
          <w:color w:val="auto"/>
        </w:rPr>
      </w:pPr>
      <w:r>
        <w:rPr>
          <w:rFonts w:ascii="Times New Roman" w:cs="Times New Roman" w:eastAsia="Times New Roman" w:hAnsi="Times New Roman"/>
          <w:sz w:val="13"/>
          <w:szCs w:val="13"/>
          <w:color w:val="auto"/>
        </w:rPr>
        <w:t>Management has assessed the materiality of the misstatements on the Unaudited Condensed Consolidated Financial Statements as of June 30, 2023, and for the six months ended June 30, 2023, in accordance with the SEC Staff Accounting Bulletin (“SAB”) Topic 1.M, Materiality. Based on this, management concluded that the prior period financial statements should be corrected, even though such revision previously was and continues to be immaterial to the prior period financial statements. Accordingly, these misstatements have been corrected, including the previously recorded out of period adjustments, for all periods presented by revising the accompanying condensed consolidated financial statements.</w:t>
      </w:r>
    </w:p>
    <w:p>
      <w:pPr>
        <w:spacing w:after="0" w:line="44" w:lineRule="exact"/>
        <w:rPr>
          <w:sz w:val="20"/>
          <w:szCs w:val="20"/>
          <w:color w:val="auto"/>
        </w:rPr>
      </w:pPr>
    </w:p>
    <w:p>
      <w:pPr>
        <w:jc w:val="both"/>
        <w:ind w:left="3" w:right="20"/>
        <w:spacing w:after="0" w:line="235" w:lineRule="auto"/>
        <w:rPr>
          <w:sz w:val="20"/>
          <w:szCs w:val="20"/>
          <w:color w:val="auto"/>
        </w:rPr>
      </w:pPr>
      <w:r>
        <w:rPr>
          <w:rFonts w:ascii="Times New Roman" w:cs="Times New Roman" w:eastAsia="Times New Roman" w:hAnsi="Times New Roman"/>
          <w:sz w:val="13"/>
          <w:szCs w:val="13"/>
          <w:color w:val="auto"/>
        </w:rPr>
        <w:t xml:space="preserve">The accompanying notes to the Unaudited Condensed Consolidated Financial Statements reflect the impact of these revisions. Refer to </w:t>
      </w:r>
      <w:r>
        <w:rPr>
          <w:rFonts w:ascii="Times New Roman" w:cs="Times New Roman" w:eastAsia="Times New Roman" w:hAnsi="Times New Roman"/>
          <w:sz w:val="13"/>
          <w:szCs w:val="13"/>
          <w:i w:val="1"/>
          <w:iCs w:val="1"/>
          <w:color w:val="auto"/>
        </w:rPr>
        <w:t>Note 18 - Restatement of prior period financial statements</w:t>
      </w:r>
      <w:r>
        <w:rPr>
          <w:rFonts w:ascii="Times New Roman" w:cs="Times New Roman" w:eastAsia="Times New Roman" w:hAnsi="Times New Roman"/>
          <w:sz w:val="13"/>
          <w:szCs w:val="13"/>
          <w:color w:val="auto"/>
        </w:rPr>
        <w:t xml:space="preserve"> for reconciliations between originally reported and as revised interim amounts.</w:t>
      </w:r>
    </w:p>
    <w:p>
      <w:pPr>
        <w:spacing w:after="0" w:line="1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Accounting policies and use of estimates and judgements</w:t>
      </w:r>
    </w:p>
    <w:p>
      <w:pPr>
        <w:spacing w:after="0" w:line="62"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13"/>
          <w:szCs w:val="13"/>
          <w:color w:val="auto"/>
        </w:rPr>
        <w:t xml:space="preserve">Polestar Group continues to apply the same accounting policies, methods, estimates, and judgements as described in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of the Consolidated Financial Statements for Polestar Automotive Holding UK PLC, as of December 31, 2023 and 2022, and for the three years ended December 31, 2023, that were included in the Form 20-F filed with</w:t>
      </w:r>
    </w:p>
    <w:p>
      <w:pPr>
        <w:spacing w:after="0" w:line="2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197090" cy="3746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3"/>
          </w:cols>
          <w:pgMar w:left="297" w:top="120" w:right="29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the SEC on August 14, 2024. Management reviews its estimates and judgements on a continuous basis; changes in accounting estimates are recognized in the period in which the estimates are revised, and prospectively thereafter. Actual results could differ materially from those estimates using different assumptions or under different conditions. The Group did not have any events or new instruments requiring the application of new</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critical estimates and judgements during the six months ended June 30, 2024. However, the latest inputs to existing instruments requiring critical estimates and judgements utilized by the Group during the six months ended June 30, 2024 are detailed below. Additions to the Group's accounting policies and methods due to new events that occurred during the six months ended June 30, 2024 are included below as well.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Earnings per share</w:t>
      </w:r>
    </w:p>
    <w:p>
      <w:pPr>
        <w:spacing w:after="0" w:line="64"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Basic earnings per share is calculated by dividing the net loss for the period by the weighted average number of Class A Shares and Class B Shares outstanding during the period. Diluted earnings per share is calculated by adjusting the net income for the period and the weighted average number of Class A Shares and Class B Shares outstanding for the effect of dilutive potential ordinary shares (“POSs”) outstanding during the period (i.e., Class A Shares and/or Class B Shares that the Group is obligated to issue, or might issue under certain circumstances, in accordance with various contractual arrangements). The Group’s POSs are classified based</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on the nature of their instrument or arrangement and then the earnings per incremental share (“EPIS”) is calculated for each class of POS to determine if they are dilutive or anti-dilutive. Anti-dilutive POSs are excluded from the calculation of dilutive earnings per share.</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EPIS is calculated as (1) the consequential effect on profit or loss from the assumed conversion of the class of POS (i.e., the numerator adjustment) divided by (2) the weighted average number of outstanding POSs for the class (i.e., the denominator adjustment). The EPIS denominator adjustment depends on the class of POS. The Group’s classes of POSs and their related EPIS denominator adjustment methods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6"/>
              </w:rPr>
              <w:t>POS Class</w:t>
            </w:r>
          </w:p>
        </w:tc>
        <w:tc>
          <w:tcPr>
            <w:tcW w:w="61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8"/>
              </w:rPr>
              <w:t>EPIS Denominator Adjustment Method</w:t>
            </w:r>
          </w:p>
        </w:tc>
        <w:tc>
          <w:tcPr>
            <w:tcW w:w="0" w:type="dxa"/>
            <w:vAlign w:val="bottom"/>
          </w:tcPr>
          <w:p>
            <w:pPr>
              <w:spacing w:after="0"/>
              <w:rPr>
                <w:sz w:val="1"/>
                <w:szCs w:val="1"/>
                <w:color w:val="auto"/>
              </w:rPr>
            </w:pPr>
          </w:p>
        </w:tc>
      </w:tr>
      <w:tr>
        <w:trPr>
          <w:trHeight w:val="212"/>
        </w:trPr>
        <w:tc>
          <w:tcPr>
            <w:tcW w:w="5200" w:type="dxa"/>
            <w:vAlign w:val="bottom"/>
          </w:tcPr>
          <w:p>
            <w:pPr>
              <w:jc w:val="center"/>
              <w:ind w:left="376"/>
              <w:spacing w:after="0"/>
              <w:rPr>
                <w:sz w:val="20"/>
                <w:szCs w:val="20"/>
                <w:color w:val="auto"/>
              </w:rPr>
            </w:pPr>
            <w:r>
              <w:rPr>
                <w:rFonts w:ascii="Times New Roman" w:cs="Times New Roman" w:eastAsia="Times New Roman" w:hAnsi="Times New Roman"/>
                <w:sz w:val="13"/>
                <w:szCs w:val="13"/>
                <w:color w:val="auto"/>
                <w:w w:val="97"/>
              </w:rPr>
              <w:t>Unvested equity-settled RSUs and RSAs</w:t>
            </w:r>
            <w:r>
              <w:rPr>
                <w:rFonts w:ascii="Times New Roman" w:cs="Times New Roman" w:eastAsia="Times New Roman" w:hAnsi="Times New Roman"/>
                <w:sz w:val="16"/>
                <w:szCs w:val="16"/>
                <w:color w:val="auto"/>
                <w:w w:val="97"/>
                <w:vertAlign w:val="superscript"/>
              </w:rPr>
              <w:t>1</w:t>
            </w:r>
          </w:p>
        </w:tc>
        <w:tc>
          <w:tcPr>
            <w:tcW w:w="610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7"/>
              </w:rPr>
              <w:t>Treasury share</w:t>
            </w:r>
            <w:r>
              <w:rPr>
                <w:rFonts w:ascii="Times New Roman" w:cs="Times New Roman" w:eastAsia="Times New Roman" w:hAnsi="Times New Roman"/>
                <w:sz w:val="16"/>
                <w:szCs w:val="16"/>
                <w:color w:val="auto"/>
                <w:w w:val="97"/>
                <w:vertAlign w:val="superscript"/>
              </w:rPr>
              <w:t>2</w:t>
            </w:r>
          </w:p>
        </w:tc>
        <w:tc>
          <w:tcPr>
            <w:tcW w:w="0" w:type="dxa"/>
            <w:vAlign w:val="bottom"/>
          </w:tcPr>
          <w:p>
            <w:pPr>
              <w:spacing w:after="0"/>
              <w:rPr>
                <w:sz w:val="1"/>
                <w:szCs w:val="1"/>
                <w:color w:val="auto"/>
              </w:rPr>
            </w:pPr>
          </w:p>
        </w:tc>
      </w:tr>
      <w:tr>
        <w:trPr>
          <w:trHeight w:val="192"/>
        </w:trPr>
        <w:tc>
          <w:tcPr>
            <w:tcW w:w="52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7"/>
              </w:rPr>
              <w:t>Class C Shares</w:t>
            </w:r>
          </w:p>
        </w:tc>
        <w:tc>
          <w:tcPr>
            <w:tcW w:w="6100" w:type="dxa"/>
            <w:vAlign w:val="bottom"/>
            <w:tcBorders>
              <w:bottom w:val="single" w:sz="8" w:color="DBDBDB"/>
            </w:tcBorders>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6"/>
              </w:rPr>
              <w:t>Treasury share</w:t>
            </w:r>
          </w:p>
        </w:tc>
        <w:tc>
          <w:tcPr>
            <w:tcW w:w="0" w:type="dxa"/>
            <w:vAlign w:val="bottom"/>
          </w:tcPr>
          <w:p>
            <w:pPr>
              <w:spacing w:after="0"/>
              <w:rPr>
                <w:sz w:val="1"/>
                <w:szCs w:val="1"/>
                <w:color w:val="auto"/>
              </w:rPr>
            </w:pPr>
          </w:p>
        </w:tc>
      </w:tr>
      <w:tr>
        <w:trPr>
          <w:trHeight w:val="182"/>
        </w:trPr>
        <w:tc>
          <w:tcPr>
            <w:tcW w:w="5200" w:type="dxa"/>
            <w:vAlign w:val="bottom"/>
          </w:tcPr>
          <w:p>
            <w:pPr>
              <w:jc w:val="center"/>
              <w:ind w:left="376"/>
              <w:spacing w:after="0"/>
              <w:rPr>
                <w:sz w:val="20"/>
                <w:szCs w:val="20"/>
                <w:color w:val="auto"/>
              </w:rPr>
            </w:pPr>
            <w:r>
              <w:rPr>
                <w:rFonts w:ascii="Times New Roman" w:cs="Times New Roman" w:eastAsia="Times New Roman" w:hAnsi="Times New Roman"/>
                <w:sz w:val="13"/>
                <w:szCs w:val="13"/>
                <w:color w:val="auto"/>
                <w:w w:val="99"/>
              </w:rPr>
              <w:t>Earn-out Rights and PSUs</w:t>
            </w:r>
          </w:p>
        </w:tc>
        <w:tc>
          <w:tcPr>
            <w:tcW w:w="6100" w:type="dxa"/>
            <w:vAlign w:val="bottom"/>
          </w:tcPr>
          <w:p>
            <w:pPr>
              <w:jc w:val="center"/>
              <w:ind w:left="356"/>
              <w:spacing w:after="0"/>
              <w:rPr>
                <w:sz w:val="20"/>
                <w:szCs w:val="20"/>
                <w:color w:val="auto"/>
              </w:rPr>
            </w:pPr>
            <w:r>
              <w:rPr>
                <w:rFonts w:ascii="Times New Roman" w:cs="Times New Roman" w:eastAsia="Times New Roman" w:hAnsi="Times New Roman"/>
                <w:sz w:val="13"/>
                <w:szCs w:val="13"/>
                <w:color w:val="auto"/>
                <w:w w:val="98"/>
              </w:rPr>
              <w:t>The number of shares issuable if the reporting date were the end of the contingency period</w:t>
            </w:r>
          </w:p>
        </w:tc>
        <w:tc>
          <w:tcPr>
            <w:tcW w:w="0" w:type="dxa"/>
            <w:vAlign w:val="bottom"/>
          </w:tcPr>
          <w:p>
            <w:pPr>
              <w:spacing w:after="0"/>
              <w:rPr>
                <w:sz w:val="1"/>
                <w:szCs w:val="1"/>
                <w:color w:val="auto"/>
              </w:rPr>
            </w:pPr>
          </w:p>
        </w:tc>
      </w:tr>
      <w:tr>
        <w:trPr>
          <w:trHeight w:val="29"/>
        </w:trPr>
        <w:tc>
          <w:tcPr>
            <w:tcW w:w="52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200" w:type="dxa"/>
            <w:vAlign w:val="bottom"/>
            <w:vMerge w:val="restart"/>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8"/>
              </w:rPr>
              <w:t>Convertible Credit Facilities with Volvo Cars and Geely</w:t>
            </w:r>
          </w:p>
        </w:tc>
        <w:tc>
          <w:tcPr>
            <w:tcW w:w="6100" w:type="dxa"/>
            <w:vAlign w:val="bottom"/>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8"/>
              </w:rPr>
              <w:t>If the instrument is converted, the number of shares issued on the</w:t>
            </w:r>
          </w:p>
        </w:tc>
        <w:tc>
          <w:tcPr>
            <w:tcW w:w="0" w:type="dxa"/>
            <w:vAlign w:val="bottom"/>
          </w:tcPr>
          <w:p>
            <w:pPr>
              <w:spacing w:after="0"/>
              <w:rPr>
                <w:sz w:val="1"/>
                <w:szCs w:val="1"/>
                <w:color w:val="auto"/>
              </w:rPr>
            </w:pPr>
          </w:p>
        </w:tc>
      </w:tr>
      <w:tr>
        <w:trPr>
          <w:trHeight w:val="87"/>
        </w:trPr>
        <w:tc>
          <w:tcPr>
            <w:tcW w:w="5200" w:type="dxa"/>
            <w:vAlign w:val="bottom"/>
            <w:vMerge w:val="continue"/>
            <w:shd w:val="clear" w:color="auto" w:fill="DBDBDB"/>
          </w:tcPr>
          <w:p>
            <w:pPr>
              <w:spacing w:after="0"/>
              <w:rPr>
                <w:sz w:val="7"/>
                <w:szCs w:val="7"/>
                <w:color w:val="auto"/>
              </w:rPr>
            </w:pPr>
          </w:p>
        </w:tc>
        <w:tc>
          <w:tcPr>
            <w:tcW w:w="6100" w:type="dxa"/>
            <w:vAlign w:val="bottom"/>
            <w:vMerge w:val="restart"/>
            <w:shd w:val="clear" w:color="auto" w:fill="DBDBDB"/>
          </w:tcPr>
          <w:p>
            <w:pPr>
              <w:jc w:val="center"/>
              <w:ind w:left="376"/>
              <w:spacing w:after="0"/>
              <w:rPr>
                <w:sz w:val="20"/>
                <w:szCs w:val="20"/>
                <w:color w:val="auto"/>
              </w:rPr>
            </w:pPr>
            <w:r>
              <w:rPr>
                <w:rFonts w:ascii="Times New Roman" w:cs="Times New Roman" w:eastAsia="Times New Roman" w:hAnsi="Times New Roman"/>
                <w:sz w:val="13"/>
                <w:szCs w:val="13"/>
                <w:color w:val="auto"/>
                <w:w w:val="98"/>
              </w:rPr>
              <w:t>date of the conversion</w:t>
            </w:r>
          </w:p>
        </w:tc>
        <w:tc>
          <w:tcPr>
            <w:tcW w:w="0" w:type="dxa"/>
            <w:vAlign w:val="bottom"/>
          </w:tcPr>
          <w:p>
            <w:pPr>
              <w:spacing w:after="0"/>
              <w:rPr>
                <w:sz w:val="1"/>
                <w:szCs w:val="1"/>
                <w:color w:val="auto"/>
              </w:rPr>
            </w:pPr>
          </w:p>
        </w:tc>
      </w:tr>
      <w:tr>
        <w:trPr>
          <w:trHeight w:val="87"/>
        </w:trPr>
        <w:tc>
          <w:tcPr>
            <w:tcW w:w="5200" w:type="dxa"/>
            <w:vAlign w:val="bottom"/>
            <w:shd w:val="clear" w:color="auto" w:fill="DBDBDB"/>
          </w:tcPr>
          <w:p>
            <w:pPr>
              <w:spacing w:after="0"/>
              <w:rPr>
                <w:sz w:val="7"/>
                <w:szCs w:val="7"/>
                <w:color w:val="auto"/>
              </w:rPr>
            </w:pPr>
          </w:p>
        </w:tc>
        <w:tc>
          <w:tcPr>
            <w:tcW w:w="6100" w:type="dxa"/>
            <w:vAlign w:val="bottom"/>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5200" w:type="dxa"/>
            <w:vAlign w:val="bottom"/>
            <w:shd w:val="clear" w:color="auto" w:fill="DBDBDB"/>
          </w:tcPr>
          <w:p>
            <w:pPr>
              <w:spacing w:after="0"/>
              <w:rPr>
                <w:sz w:val="2"/>
                <w:szCs w:val="2"/>
                <w:color w:val="auto"/>
              </w:rPr>
            </w:pPr>
          </w:p>
        </w:tc>
        <w:tc>
          <w:tcPr>
            <w:tcW w:w="61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 Restricted Stock Awards ("RSAs") are related to the Group's employee stock purchase plan implemented in January 2024.</w:t>
      </w:r>
    </w:p>
    <w:p>
      <w:pPr>
        <w:spacing w:after="0" w:line="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8"/>
          <w:szCs w:val="8"/>
          <w:color w:val="auto"/>
        </w:rPr>
        <w:t xml:space="preserve">2 - The treasury share method prescribed by IAS 33, </w:t>
      </w:r>
      <w:r>
        <w:rPr>
          <w:rFonts w:ascii="Times New Roman" w:cs="Times New Roman" w:eastAsia="Times New Roman" w:hAnsi="Times New Roman"/>
          <w:sz w:val="8"/>
          <w:szCs w:val="8"/>
          <w:i w:val="1"/>
          <w:iCs w:val="1"/>
          <w:color w:val="auto"/>
        </w:rPr>
        <w:t>Earnings Per Share</w:t>
      </w:r>
      <w:r>
        <w:rPr>
          <w:rFonts w:ascii="Times New Roman" w:cs="Times New Roman" w:eastAsia="Times New Roman" w:hAnsi="Times New Roman"/>
          <w:sz w:val="8"/>
          <w:szCs w:val="8"/>
          <w:color w:val="auto"/>
        </w:rPr>
        <w:t xml:space="preserve"> (“IAS 33”), includes only the bonus element as the EPIS denominator adjustment. The bonus element is the difference between the number of ordinary shares that would be issued at the exercise of the options and the number of ordinary shares deemed to be repurchased at the average market price.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Financial instruments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Trade receivables factoring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 situations where Polestar Group enters into an arrangement to sell trade receivables to a third party (i.e., a factor) at a discount, the sale is accounted for in accordance with IFRS 9, </w:t>
      </w:r>
      <w:r>
        <w:rPr>
          <w:rFonts w:ascii="Times New Roman" w:cs="Times New Roman" w:eastAsia="Times New Roman" w:hAnsi="Times New Roman"/>
          <w:sz w:val="13"/>
          <w:szCs w:val="13"/>
          <w:i w:val="1"/>
          <w:iCs w:val="1"/>
          <w:color w:val="auto"/>
        </w:rPr>
        <w:t>Financial Instruments</w:t>
      </w:r>
      <w:r>
        <w:rPr>
          <w:rFonts w:ascii="Times New Roman" w:cs="Times New Roman" w:eastAsia="Times New Roman" w:hAnsi="Times New Roman"/>
          <w:sz w:val="13"/>
          <w:szCs w:val="13"/>
          <w:color w:val="auto"/>
        </w:rPr>
        <w:t xml:space="preserve"> ("IFRS 9")</w:t>
      </w:r>
      <w:r>
        <w:rPr>
          <w:rFonts w:ascii="Times New Roman" w:cs="Times New Roman" w:eastAsia="Times New Roman" w:hAnsi="Times New Roman"/>
          <w:sz w:val="13"/>
          <w:szCs w:val="13"/>
          <w:i w:val="1"/>
          <w:iCs w:val="1"/>
          <w:color w:val="auto"/>
        </w:rPr>
        <w:t>.</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Polestar Group evaluates whether these transactions are with or without recourse and applies the derecognition criteria in IFRS 9 to determine if substantially all the risks and rewards of the trade receivables have been transferred to the factor.</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For arrangements without recourse, where substantially all risks and rewards have been transferred in exchange for cash, the trade receivables are derecognized. For arrangements with recourse, where substantially all risks and rewards have not been transferred, the trade receivables are not derecognized, and the cash received from the purchaser is accounted for as secured borrowing.</w:t>
      </w:r>
    </w:p>
    <w:p>
      <w:pPr>
        <w:spacing w:after="0" w:line="34"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Cash flows from factoring without recourse of trade receivables are classified as cash flows from operating activities in the Unaudited Condensed Consolidated Statement of Cash Flows while cash flows from factoring with recourse are classified as cash flows from financing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Fair value measurement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Class C-2 Shares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Class C-2 Shares represents a derivative financial instrument that is carried at fair value through profit and loss (“FVTPL”) by reference to Level 2 measurement inputs because an observable price for the Class C-1</w:t>
      </w:r>
    </w:p>
    <w:p>
      <w:pPr>
        <w:spacing w:after="0" w:line="1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2"/>
          <w:szCs w:val="12"/>
          <w:color w:val="auto"/>
        </w:rPr>
        <w:t>Shares, which are almost identical instruments, is available in the active market. Class C Shares are presented in current liabilities within the Unaudited Condensed Consolidated Statement of Financial Position as they can be exercised by the holder at any time. The related liability is measured at fair value, with any changes in fair value recognized in earnings. The fair value of the Class C-2 Shares is determined using a binomial lattice option pricing model in a risk-neutral framework whereby the future prices of the Class A Shares are calculated assuming a geometric Brownian motion (“GBM”). For each future price, the Class C-2 payoff amount is calculated based on the contractual terms of the Class C-2 Shares, including assumptions for optimal early exercise and redemption, and then discounted at the term-matched risk-free rate. The final fair value of the Class</w:t>
      </w:r>
    </w:p>
    <w:p>
      <w:pPr>
        <w:spacing w:after="0" w:line="2"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3"/>
          <w:szCs w:val="13"/>
          <w:color w:val="auto"/>
        </w:rPr>
        <w:t xml:space="preserve">C-2 Shares is calculated as the probability-weighted present value over all modeled future payoff amounts. As of June 30, 2024, the fair value of the Class C-2 Shares was determined to equal $630 by leveraging the closing price of the Class C-1 Shares on the Nasdaq of $0.79 per share, an implied volatility of 225%, a risk-free rate of 4.47%, a dividend yield of 0%, and a 1,000 time-steps for the binomial lattice option pricing model. Refer to </w:t>
      </w:r>
      <w:r>
        <w:rPr>
          <w:rFonts w:ascii="Times New Roman" w:cs="Times New Roman" w:eastAsia="Times New Roman" w:hAnsi="Times New Roman"/>
          <w:sz w:val="13"/>
          <w:szCs w:val="13"/>
          <w:i w:val="1"/>
          <w:iCs w:val="1"/>
          <w:color w:val="auto"/>
        </w:rPr>
        <w:t>Note 11 - Reverse recapitalization</w:t>
      </w:r>
      <w:r>
        <w:rPr>
          <w:rFonts w:ascii="Times New Roman" w:cs="Times New Roman" w:eastAsia="Times New Roman" w:hAnsi="Times New Roman"/>
          <w:sz w:val="13"/>
          <w:szCs w:val="13"/>
          <w:color w:val="auto"/>
        </w:rPr>
        <w:t xml:space="preserve"> for more detail on the Class C-2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Valuation methodology for the fair value of the financial liability related to the Former Parent’s contingent earn-out rights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3" w:name="page24"/>
    <w:bookmarkEnd w:id="23"/>
    <w:p>
      <w:pPr>
        <w:jc w:val="center"/>
        <w:ind w:right="-2"/>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left="3"/>
        <w:spacing w:after="0" w:line="219" w:lineRule="auto"/>
        <w:rPr>
          <w:sz w:val="20"/>
          <w:szCs w:val="20"/>
          <w:color w:val="auto"/>
        </w:rPr>
      </w:pPr>
      <w:r>
        <w:rPr>
          <w:rFonts w:ascii="Times New Roman" w:cs="Times New Roman" w:eastAsia="Times New Roman" w:hAnsi="Times New Roman"/>
          <w:sz w:val="13"/>
          <w:szCs w:val="13"/>
          <w:color w:val="auto"/>
        </w:rPr>
        <w:t>The Former Parent’s contingent earn out right represents a derivative financial instrument that is carried at FVTPL by reference to Level 3 measurement inputs because a quoted or observable price for the instrument or an identical instrument is not available in active markets. The earn-out liability is presented in non-current liabilities within the Unaudited Condensed Consolidated Statement of Financial Position to align with the</w:t>
      </w:r>
    </w:p>
    <w:p>
      <w:pPr>
        <w:spacing w:after="0" w:line="1" w:lineRule="exact"/>
        <w:rPr>
          <w:sz w:val="20"/>
          <w:szCs w:val="20"/>
          <w:color w:val="auto"/>
        </w:rPr>
      </w:pPr>
    </w:p>
    <w:p>
      <w:pPr>
        <w:jc w:val="both"/>
        <w:ind w:left="3"/>
        <w:spacing w:after="0" w:line="223" w:lineRule="auto"/>
        <w:rPr>
          <w:sz w:val="20"/>
          <w:szCs w:val="20"/>
          <w:color w:val="auto"/>
        </w:rPr>
      </w:pPr>
      <w:r>
        <w:rPr>
          <w:rFonts w:ascii="Times New Roman" w:cs="Times New Roman" w:eastAsia="Times New Roman" w:hAnsi="Times New Roman"/>
          <w:sz w:val="12"/>
          <w:szCs w:val="12"/>
          <w:color w:val="auto"/>
        </w:rPr>
        <w:t>expected timing of the underlying earn-out payments. The fair value of the earn out is determined using a Monte Carlo simulation that incorporates a remaining term of 3.48 years, the five earn-out tranches, and the probability of the Class A Shares in the Parent reaching certain daily volume weighted average prices during the earn-out period resulting in the issuance of each tranche of Class A Shares and Class B Shares in the Parent to the Former Parent. As of June 30, 2024, the fair value of the earn-out was determined to equal $15,764 by leveraging an implied volatility of 80% and a risk-free rate of 4.43%. The implied volatility represents</w:t>
      </w:r>
    </w:p>
    <w:p>
      <w:pPr>
        <w:jc w:val="both"/>
        <w:ind w:left="3" w:right="20"/>
        <w:spacing w:after="0" w:line="222" w:lineRule="auto"/>
        <w:rPr>
          <w:sz w:val="20"/>
          <w:szCs w:val="20"/>
          <w:color w:val="auto"/>
        </w:rPr>
      </w:pPr>
      <w:r>
        <w:rPr>
          <w:rFonts w:ascii="Times New Roman" w:cs="Times New Roman" w:eastAsia="Times New Roman" w:hAnsi="Times New Roman"/>
          <w:sz w:val="13"/>
          <w:szCs w:val="13"/>
          <w:color w:val="auto"/>
        </w:rPr>
        <w:t xml:space="preserve">the most significant unobservable input utilized in this Level 3 valuation technique. The calculated fair value would increase (decrease) if the implied volatility were higher (lower). Refer to </w:t>
      </w:r>
      <w:r>
        <w:rPr>
          <w:rFonts w:ascii="Times New Roman" w:cs="Times New Roman" w:eastAsia="Times New Roman" w:hAnsi="Times New Roman"/>
          <w:sz w:val="13"/>
          <w:szCs w:val="13"/>
          <w:i w:val="1"/>
          <w:iCs w:val="1"/>
          <w:color w:val="auto"/>
        </w:rPr>
        <w:t>Note 11 - Reverse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recapitalization </w:t>
      </w:r>
      <w:r>
        <w:rPr>
          <w:rFonts w:ascii="Times New Roman" w:cs="Times New Roman" w:eastAsia="Times New Roman" w:hAnsi="Times New Roman"/>
          <w:sz w:val="13"/>
          <w:szCs w:val="13"/>
          <w:color w:val="auto"/>
        </w:rPr>
        <w:t>for more detail on the Former Parent’s earn-out rights.</w:t>
      </w:r>
    </w:p>
    <w:p>
      <w:pPr>
        <w:spacing w:after="0" w:line="1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 3 - Revenue</w:t>
      </w:r>
    </w:p>
    <w:p>
      <w:pPr>
        <w:spacing w:after="0" w:line="64" w:lineRule="exact"/>
        <w:rPr>
          <w:sz w:val="20"/>
          <w:szCs w:val="20"/>
          <w:color w:val="auto"/>
        </w:rPr>
      </w:pPr>
    </w:p>
    <w:p>
      <w:pPr>
        <w:ind w:left="3" w:right="180"/>
        <w:spacing w:after="0" w:line="233" w:lineRule="auto"/>
        <w:rPr>
          <w:sz w:val="20"/>
          <w:szCs w:val="20"/>
          <w:color w:val="auto"/>
        </w:rPr>
      </w:pPr>
      <w:r>
        <w:rPr>
          <w:rFonts w:ascii="Times New Roman" w:cs="Times New Roman" w:eastAsia="Times New Roman" w:hAnsi="Times New Roman"/>
          <w:sz w:val="13"/>
          <w:szCs w:val="13"/>
          <w:color w:val="auto"/>
        </w:rPr>
        <w:t>Polestar Group disaggregates revenue by major category based on the primary economic factors that may impact the nature, amount, timing, and uncertainty of revenue and cash flows from these customer contracts as seen in the table below:</w:t>
      </w:r>
    </w:p>
    <w:p>
      <w:pPr>
        <w:spacing w:after="0" w:line="79" w:lineRule="exact"/>
        <w:rPr>
          <w:sz w:val="20"/>
          <w:szCs w:val="20"/>
          <w:color w:val="auto"/>
        </w:rPr>
      </w:pPr>
    </w:p>
    <w:tbl>
      <w:tblPr>
        <w:tblLayout w:type="fixed"/>
        <w:tblInd w:w="483" w:type="dxa"/>
        <w:tblCellMar>
          <w:top w:w="0" w:type="dxa"/>
          <w:left w:w="0" w:type="dxa"/>
          <w:bottom w:w="0" w:type="dxa"/>
          <w:right w:w="0" w:type="dxa"/>
        </w:tblCellMar>
      </w:tblPr>
      <w:tr>
        <w:trPr>
          <w:trHeight w:val="190"/>
        </w:trPr>
        <w:tc>
          <w:tcPr>
            <w:tcW w:w="80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2180" w:type="dxa"/>
            <w:vAlign w:val="bottom"/>
            <w:tcBorders>
              <w:bottom w:val="single" w:sz="8" w:color="auto"/>
            </w:tcBorders>
            <w:gridSpan w:val="3"/>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4"/>
        </w:trPr>
        <w:tc>
          <w:tcPr>
            <w:tcW w:w="802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802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of vehicles</w:t>
            </w:r>
            <w:r>
              <w:rPr>
                <w:rFonts w:ascii="Times New Roman" w:cs="Times New Roman" w:eastAsia="Times New Roman" w:hAnsi="Times New Roman"/>
                <w:sz w:val="15"/>
                <w:szCs w:val="15"/>
                <w:color w:val="auto"/>
                <w:vertAlign w:val="superscript"/>
              </w:rPr>
              <w:t>1</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883,621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1,208,791</w:t>
            </w: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Sales of software and performance engineered kits</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7,891</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11,419</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of carbon credits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w:t>
            </w:r>
          </w:p>
        </w:tc>
      </w:tr>
      <w:tr>
        <w:trPr>
          <w:trHeight w:val="29"/>
        </w:trPr>
        <w:tc>
          <w:tcPr>
            <w:tcW w:w="8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Vehicle leasing revenue</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11,566</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7,493</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revenue</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9,400</w:t>
            </w:r>
          </w:p>
        </w:tc>
      </w:tr>
      <w:tr>
        <w:trPr>
          <w:trHeight w:val="29"/>
        </w:trPr>
        <w:tc>
          <w:tcPr>
            <w:tcW w:w="80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1"/>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905,813</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1,237,635</w:t>
            </w:r>
          </w:p>
        </w:tc>
      </w:tr>
      <w:tr>
        <w:trPr>
          <w:trHeight w:val="20"/>
        </w:trPr>
        <w:tc>
          <w:tcPr>
            <w:tcW w:w="8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ind w:left="3"/>
        <w:spacing w:after="0"/>
        <w:rPr>
          <w:sz w:val="20"/>
          <w:szCs w:val="20"/>
          <w:color w:val="auto"/>
        </w:rPr>
      </w:pPr>
      <w:r>
        <w:rPr>
          <w:rFonts w:ascii="Times New Roman" w:cs="Times New Roman" w:eastAsia="Times New Roman" w:hAnsi="Times New Roman"/>
          <w:sz w:val="8"/>
          <w:szCs w:val="8"/>
          <w:color w:val="auto"/>
        </w:rPr>
        <w:t>1 - Revenue related to sale of vehicles are inclusive of extended and connected services recognized over time.</w:t>
      </w:r>
    </w:p>
    <w:p>
      <w:pPr>
        <w:spacing w:after="0" w:line="45" w:lineRule="exact"/>
        <w:rPr>
          <w:sz w:val="20"/>
          <w:szCs w:val="20"/>
          <w:color w:val="auto"/>
        </w:rPr>
      </w:pPr>
    </w:p>
    <w:p>
      <w:pPr>
        <w:ind w:left="3" w:right="20"/>
        <w:spacing w:after="0" w:line="233" w:lineRule="auto"/>
        <w:rPr>
          <w:sz w:val="20"/>
          <w:szCs w:val="20"/>
          <w:color w:val="auto"/>
        </w:rPr>
      </w:pPr>
      <w:r>
        <w:rPr>
          <w:rFonts w:ascii="Times New Roman" w:cs="Times New Roman" w:eastAsia="Times New Roman" w:hAnsi="Times New Roman"/>
          <w:sz w:val="13"/>
          <w:szCs w:val="13"/>
          <w:color w:val="auto"/>
        </w:rPr>
        <w:t>For the six months ended June 30, 2024 and 2023, other revenue primarily consisted of license revenue generated from sales-based royalties received from Volvo Cars on sales of parts and accessories for Polestar vehicles, software performance upgrades and sale of technology to other related parties.</w:t>
      </w:r>
    </w:p>
    <w:p>
      <w:pPr>
        <w:spacing w:after="0" w:line="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color w:val="auto"/>
        </w:rPr>
        <w:t>For the six months ended ended June 30, 2024 and 2023 no sole customer, that is not a related party, exceeded 10% of total revenue.</w:t>
      </w:r>
    </w:p>
    <w:p>
      <w:pPr>
        <w:spacing w:after="0" w:line="13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Contract liabilities</w:t>
      </w:r>
    </w:p>
    <w:p>
      <w:pPr>
        <w:spacing w:after="0" w:line="96" w:lineRule="exact"/>
        <w:rPr>
          <w:sz w:val="20"/>
          <w:szCs w:val="20"/>
          <w:color w:val="auto"/>
        </w:rPr>
      </w:pPr>
    </w:p>
    <w:tbl>
      <w:tblPr>
        <w:tblLayout w:type="fixed"/>
        <w:tblInd w:w="3" w:type="dxa"/>
        <w:tblCellMar>
          <w:top w:w="0" w:type="dxa"/>
          <w:left w:w="0" w:type="dxa"/>
          <w:bottom w:w="0" w:type="dxa"/>
          <w:right w:w="0" w:type="dxa"/>
        </w:tblCellMar>
      </w:tblPr>
      <w:tr>
        <w:trPr>
          <w:trHeight w:val="158"/>
        </w:trPr>
        <w:tc>
          <w:tcPr>
            <w:tcW w:w="50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180" w:type="dxa"/>
            <w:vAlign w:val="bottom"/>
            <w:tcBorders>
              <w:right w:val="single" w:sz="8" w:color="auto"/>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7"/>
              </w:rPr>
              <w:t>Deferred revenue -</w:t>
            </w:r>
          </w:p>
        </w:tc>
        <w:tc>
          <w:tcPr>
            <w:tcW w:w="2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r>
      <w:tr>
        <w:trPr>
          <w:trHeight w:val="154"/>
        </w:trPr>
        <w:tc>
          <w:tcPr>
            <w:tcW w:w="5040" w:type="dxa"/>
            <w:vAlign w:val="bottom"/>
            <w:shd w:val="clear" w:color="auto" w:fill="DBDBDB"/>
          </w:tcPr>
          <w:p>
            <w:pPr>
              <w:spacing w:after="0"/>
              <w:rPr>
                <w:sz w:val="13"/>
                <w:szCs w:val="13"/>
                <w:color w:val="auto"/>
              </w:rPr>
            </w:pPr>
          </w:p>
        </w:tc>
        <w:tc>
          <w:tcPr>
            <w:tcW w:w="140" w:type="dxa"/>
            <w:vAlign w:val="bottom"/>
            <w:shd w:val="clear" w:color="auto" w:fill="DBDBDB"/>
          </w:tcPr>
          <w:p>
            <w:pPr>
              <w:spacing w:after="0"/>
              <w:rPr>
                <w:sz w:val="13"/>
                <w:szCs w:val="13"/>
                <w:color w:val="auto"/>
              </w:rPr>
            </w:pPr>
          </w:p>
        </w:tc>
        <w:tc>
          <w:tcPr>
            <w:tcW w:w="110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Sales generated</w:t>
            </w:r>
          </w:p>
        </w:tc>
        <w:tc>
          <w:tcPr>
            <w:tcW w:w="100" w:type="dxa"/>
            <w:vAlign w:val="bottom"/>
            <w:shd w:val="clear" w:color="auto" w:fill="DBDBDB"/>
          </w:tcPr>
          <w:p>
            <w:pPr>
              <w:spacing w:after="0"/>
              <w:rPr>
                <w:sz w:val="13"/>
                <w:szCs w:val="13"/>
                <w:color w:val="auto"/>
              </w:rPr>
            </w:pPr>
          </w:p>
        </w:tc>
        <w:tc>
          <w:tcPr>
            <w:tcW w:w="1160" w:type="dxa"/>
            <w:vAlign w:val="bottom"/>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7"/>
              </w:rPr>
              <w:t>Deferred revenue -</w:t>
            </w:r>
          </w:p>
        </w:tc>
        <w:tc>
          <w:tcPr>
            <w:tcW w:w="100" w:type="dxa"/>
            <w:vAlign w:val="bottom"/>
            <w:shd w:val="clear" w:color="auto" w:fill="DBDBDB"/>
          </w:tcPr>
          <w:p>
            <w:pPr>
              <w:spacing w:after="0"/>
              <w:rPr>
                <w:sz w:val="13"/>
                <w:szCs w:val="13"/>
                <w:color w:val="auto"/>
              </w:rPr>
            </w:pPr>
          </w:p>
        </w:tc>
        <w:tc>
          <w:tcPr>
            <w:tcW w:w="1140" w:type="dxa"/>
            <w:vAlign w:val="bottom"/>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Deferred revenue -</w:t>
            </w:r>
          </w:p>
        </w:tc>
        <w:tc>
          <w:tcPr>
            <w:tcW w:w="100" w:type="dxa"/>
            <w:vAlign w:val="bottom"/>
            <w:shd w:val="clear" w:color="auto" w:fill="DBDBDB"/>
          </w:tcPr>
          <w:p>
            <w:pPr>
              <w:spacing w:after="0"/>
              <w:rPr>
                <w:sz w:val="13"/>
                <w:szCs w:val="13"/>
                <w:color w:val="auto"/>
              </w:rPr>
            </w:pPr>
          </w:p>
        </w:tc>
        <w:tc>
          <w:tcPr>
            <w:tcW w:w="1180" w:type="dxa"/>
            <w:vAlign w:val="bottom"/>
            <w:tcBorders>
              <w:right w:val="single" w:sz="8" w:color="auto"/>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operating leases &amp;</w:t>
            </w:r>
          </w:p>
        </w:tc>
        <w:tc>
          <w:tcPr>
            <w:tcW w:w="2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r>
      <w:tr>
        <w:trPr>
          <w:trHeight w:val="178"/>
        </w:trPr>
        <w:tc>
          <w:tcPr>
            <w:tcW w:w="504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obligation</w:t>
            </w:r>
          </w:p>
        </w:tc>
        <w:tc>
          <w:tcPr>
            <w:tcW w:w="100" w:type="dxa"/>
            <w:vAlign w:val="bottom"/>
            <w:tcBorders>
              <w:bottom w:val="single" w:sz="8" w:color="auto"/>
            </w:tcBorders>
            <w:shd w:val="clear" w:color="auto" w:fill="DBDBDB"/>
          </w:tcPr>
          <w:p>
            <w:pPr>
              <w:spacing w:after="0"/>
              <w:rPr>
                <w:sz w:val="15"/>
                <w:szCs w:val="15"/>
                <w:color w:val="auto"/>
              </w:rPr>
            </w:pPr>
          </w:p>
        </w:tc>
        <w:tc>
          <w:tcPr>
            <w:tcW w:w="1160" w:type="dxa"/>
            <w:vAlign w:val="bottom"/>
            <w:tcBorders>
              <w:bottom w:val="single" w:sz="8" w:color="auto"/>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extended service</w:t>
            </w:r>
          </w:p>
        </w:tc>
        <w:tc>
          <w:tcPr>
            <w:tcW w:w="1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connected service</w:t>
            </w:r>
          </w:p>
        </w:tc>
        <w:tc>
          <w:tcPr>
            <w:tcW w:w="100" w:type="dxa"/>
            <w:vAlign w:val="bottom"/>
            <w:tcBorders>
              <w:bottom w:val="single" w:sz="8" w:color="auto"/>
            </w:tcBorders>
            <w:shd w:val="clear" w:color="auto" w:fill="DBDBDB"/>
          </w:tcPr>
          <w:p>
            <w:pPr>
              <w:spacing w:after="0"/>
              <w:rPr>
                <w:sz w:val="15"/>
                <w:szCs w:val="15"/>
                <w:color w:val="auto"/>
              </w:rPr>
            </w:pPr>
          </w:p>
        </w:tc>
        <w:tc>
          <w:tcPr>
            <w:tcW w:w="1180" w:type="dxa"/>
            <w:vAlign w:val="bottom"/>
            <w:tcBorders>
              <w:bottom w:val="single" w:sz="8" w:color="auto"/>
              <w:right w:val="single" w:sz="8" w:color="auto"/>
            </w:tcBorders>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8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37,034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47,564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39,565</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50,962</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175,125</w:t>
            </w:r>
          </w:p>
        </w:tc>
      </w:tr>
      <w:tr>
        <w:trPr>
          <w:trHeight w:val="29"/>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504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Provided for during the period</w:t>
            </w:r>
          </w:p>
        </w:tc>
        <w:tc>
          <w:tcPr>
            <w:tcW w:w="1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100,974</w:t>
            </w:r>
          </w:p>
        </w:tc>
        <w:tc>
          <w:tcPr>
            <w:tcW w:w="100" w:type="dxa"/>
            <w:vAlign w:val="bottom"/>
            <w:shd w:val="clear" w:color="auto" w:fill="DBDBDB"/>
          </w:tcPr>
          <w:p>
            <w:pPr>
              <w:spacing w:after="0"/>
              <w:rPr>
                <w:sz w:val="18"/>
                <w:szCs w:val="18"/>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13,586</w:t>
            </w:r>
          </w:p>
        </w:tc>
        <w:tc>
          <w:tcPr>
            <w:tcW w:w="100" w:type="dxa"/>
            <w:vAlign w:val="bottom"/>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4,687</w:t>
            </w:r>
          </w:p>
        </w:tc>
        <w:tc>
          <w:tcPr>
            <w:tcW w:w="100" w:type="dxa"/>
            <w:vAlign w:val="bottom"/>
            <w:shd w:val="clear" w:color="auto" w:fill="DBDBDB"/>
          </w:tcPr>
          <w:p>
            <w:pPr>
              <w:spacing w:after="0"/>
              <w:rPr>
                <w:sz w:val="18"/>
                <w:szCs w:val="18"/>
                <w:color w:val="auto"/>
              </w:rPr>
            </w:pPr>
          </w:p>
        </w:tc>
        <w:tc>
          <w:tcPr>
            <w:tcW w:w="1180" w:type="dxa"/>
            <w:vAlign w:val="bottom"/>
            <w:tcBorders>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4,212</w:t>
            </w:r>
          </w:p>
        </w:tc>
        <w:tc>
          <w:tcPr>
            <w:tcW w:w="260" w:type="dxa"/>
            <w:vAlign w:val="bottom"/>
            <w:shd w:val="clear" w:color="auto" w:fill="DBDBDB"/>
          </w:tcPr>
          <w:p>
            <w:pPr>
              <w:spacing w:after="0"/>
              <w:rPr>
                <w:sz w:val="18"/>
                <w:szCs w:val="18"/>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123,459</w:t>
            </w:r>
          </w:p>
        </w:tc>
      </w:tr>
      <w:tr>
        <w:trPr>
          <w:trHeight w:val="18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Settled during the period</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(76,029)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(76,029)</w:t>
            </w:r>
          </w:p>
        </w:tc>
      </w:tr>
      <w:tr>
        <w:trPr>
          <w:trHeight w:val="29"/>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5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Released during the period</w:t>
            </w:r>
          </w:p>
        </w:tc>
        <w:tc>
          <w:tcPr>
            <w:tcW w:w="14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(12,821)</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(3,049)</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(29,445)</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(45,315)</w:t>
            </w:r>
          </w:p>
        </w:tc>
      </w:tr>
      <w:tr>
        <w:trPr>
          <w:trHeight w:val="182"/>
        </w:trPr>
        <w:tc>
          <w:tcPr>
            <w:tcW w:w="5040" w:type="dxa"/>
            <w:vAlign w:val="bottom"/>
          </w:tcPr>
          <w:p>
            <w:pPr>
              <w:spacing w:after="0"/>
              <w:rPr>
                <w:sz w:val="20"/>
                <w:szCs w:val="20"/>
                <w:color w:val="auto"/>
              </w:rPr>
            </w:pPr>
            <w:r>
              <w:rPr>
                <w:rFonts w:ascii="Times New Roman" w:cs="Times New Roman" w:eastAsia="Times New Roman" w:hAnsi="Times New Roman"/>
                <w:sz w:val="13"/>
                <w:szCs w:val="13"/>
                <w:color w:val="auto"/>
              </w:rPr>
              <w:t>Translation differences and other</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(1,316)</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(968)</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(5,168)</w:t>
            </w:r>
          </w:p>
        </w:tc>
      </w:tr>
      <w:tr>
        <w:trPr>
          <w:trHeight w:val="29"/>
        </w:trPr>
        <w:tc>
          <w:tcPr>
            <w:tcW w:w="504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1"/>
        </w:trPr>
        <w:tc>
          <w:tcPr>
            <w:tcW w:w="5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61,212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47,013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39,086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24,761</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172,072</w:t>
            </w:r>
          </w:p>
        </w:tc>
      </w:tr>
      <w:tr>
        <w:trPr>
          <w:trHeight w:val="172"/>
        </w:trPr>
        <w:tc>
          <w:tcPr>
            <w:tcW w:w="50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of which current</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57,434</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23,121</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6,389</w:t>
            </w:r>
          </w:p>
        </w:tc>
        <w:tc>
          <w:tcPr>
            <w:tcW w:w="100" w:type="dxa"/>
            <w:vAlign w:val="bottom"/>
          </w:tcPr>
          <w:p>
            <w:pPr>
              <w:spacing w:after="0"/>
              <w:rPr>
                <w:sz w:val="14"/>
                <w:szCs w:val="14"/>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23,031</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109,975</w:t>
            </w:r>
          </w:p>
        </w:tc>
      </w:tr>
      <w:tr>
        <w:trPr>
          <w:trHeight w:val="29"/>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82"/>
        </w:trPr>
        <w:tc>
          <w:tcPr>
            <w:tcW w:w="5040" w:type="dxa"/>
            <w:vAlign w:val="bottom"/>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of which non-current</w:t>
            </w:r>
          </w:p>
        </w:tc>
        <w:tc>
          <w:tcPr>
            <w:tcW w:w="140" w:type="dxa"/>
            <w:vAlign w:val="bottom"/>
            <w:shd w:val="clear" w:color="auto" w:fill="DBDBDB"/>
          </w:tcPr>
          <w:p>
            <w:pPr>
              <w:spacing w:after="0"/>
              <w:rPr>
                <w:sz w:val="15"/>
                <w:szCs w:val="15"/>
                <w:color w:val="auto"/>
              </w:rPr>
            </w:pPr>
          </w:p>
        </w:tc>
        <w:tc>
          <w:tcPr>
            <w:tcW w:w="11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3,778</w:t>
            </w: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23,892</w:t>
            </w:r>
          </w:p>
        </w:tc>
        <w:tc>
          <w:tcPr>
            <w:tcW w:w="10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32,697</w:t>
            </w:r>
          </w:p>
        </w:tc>
        <w:tc>
          <w:tcPr>
            <w:tcW w:w="100" w:type="dxa"/>
            <w:vAlign w:val="bottom"/>
            <w:shd w:val="clear" w:color="auto" w:fill="DBDBDB"/>
          </w:tcPr>
          <w:p>
            <w:pPr>
              <w:spacing w:after="0"/>
              <w:rPr>
                <w:sz w:val="15"/>
                <w:szCs w:val="15"/>
                <w:color w:val="auto"/>
              </w:rPr>
            </w:pPr>
          </w:p>
        </w:tc>
        <w:tc>
          <w:tcPr>
            <w:tcW w:w="1180" w:type="dxa"/>
            <w:vAlign w:val="bottom"/>
            <w:tcBorders>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1,730</w:t>
            </w:r>
          </w:p>
        </w:tc>
        <w:tc>
          <w:tcPr>
            <w:tcW w:w="260" w:type="dxa"/>
            <w:vAlign w:val="bottom"/>
            <w:shd w:val="clear" w:color="auto" w:fill="DBDBDB"/>
          </w:tcPr>
          <w:p>
            <w:pPr>
              <w:spacing w:after="0"/>
              <w:rPr>
                <w:sz w:val="15"/>
                <w:szCs w:val="15"/>
                <w:color w:val="auto"/>
              </w:rPr>
            </w:pPr>
          </w:p>
        </w:tc>
        <w:tc>
          <w:tcPr>
            <w:tcW w:w="9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62,097</w:t>
            </w:r>
          </w:p>
        </w:tc>
      </w:tr>
      <w:tr>
        <w:trPr>
          <w:trHeight w:val="29"/>
        </w:trPr>
        <w:tc>
          <w:tcPr>
            <w:tcW w:w="504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80" w:type="dxa"/>
            <w:vAlign w:val="bottom"/>
            <w:tcBorders>
              <w:right w:val="single" w:sz="8" w:color="auto"/>
            </w:tcBorders>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980" w:type="dxa"/>
            <w:vAlign w:val="bottom"/>
            <w:shd w:val="clear" w:color="auto" w:fill="DBDBDB"/>
          </w:tcPr>
          <w:p>
            <w:pPr>
              <w:spacing w:after="0"/>
              <w:rPr>
                <w:sz w:val="2"/>
                <w:szCs w:val="2"/>
                <w:color w:val="auto"/>
              </w:rPr>
            </w:pPr>
          </w:p>
        </w:tc>
      </w:tr>
    </w:tbl>
    <w:p>
      <w:pPr>
        <w:spacing w:after="0" w:line="122" w:lineRule="exact"/>
        <w:rPr>
          <w:sz w:val="20"/>
          <w:szCs w:val="20"/>
          <w:color w:val="auto"/>
        </w:rPr>
      </w:pPr>
    </w:p>
    <w:p>
      <w:pPr>
        <w:jc w:val="both"/>
        <w:ind w:left="3"/>
        <w:spacing w:after="0" w:line="233" w:lineRule="auto"/>
        <w:rPr>
          <w:sz w:val="20"/>
          <w:szCs w:val="20"/>
          <w:color w:val="auto"/>
        </w:rPr>
      </w:pPr>
      <w:r>
        <w:rPr>
          <w:rFonts w:ascii="Times New Roman" w:cs="Times New Roman" w:eastAsia="Times New Roman" w:hAnsi="Times New Roman"/>
          <w:sz w:val="13"/>
          <w:szCs w:val="13"/>
          <w:color w:val="auto"/>
        </w:rPr>
        <w:t>As of June 30, 2024, contract liabilities amounted to $172,072 of which $61,212 was related to variable consideration payable to fleet customers in the form of volume related bonuses and $110,860 was related to remaining performance obligations associated with sales of vehicles and vehicle leasing revenue.</w:t>
      </w:r>
    </w:p>
    <w:p>
      <w:pPr>
        <w:spacing w:after="0" w:line="11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Note 4 - Geographic information</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3"/>
          <w:szCs w:val="13"/>
          <w:b w:val="1"/>
          <w:bCs w:val="1"/>
          <w:color w:val="auto"/>
        </w:rPr>
        <w:t>Presentation, basis of consolidation, segment reporting, and foreign currency</w:t>
      </w:r>
    </w:p>
    <w:p>
      <w:pPr>
        <w:spacing w:after="0" w:line="5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 xml:space="preserve">For a detailed description of the Group’s presentation, basis of consolidation, segment reporting, and foreign currency, including currency risk, refer to </w:t>
      </w:r>
      <w:r>
        <w:rPr>
          <w:rFonts w:ascii="Times New Roman" w:cs="Times New Roman" w:eastAsia="Times New Roman" w:hAnsi="Times New Roman"/>
          <w:sz w:val="12"/>
          <w:szCs w:val="12"/>
          <w:i w:val="1"/>
          <w:iCs w:val="1"/>
          <w:color w:val="auto"/>
        </w:rPr>
        <w:t>Note 2 - Significant accounting policies and judgements</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Note 3</w:t>
      </w:r>
    </w:p>
    <w:p>
      <w:pPr>
        <w:spacing w:after="0" w:line="3" w:lineRule="exact"/>
        <w:rPr>
          <w:sz w:val="20"/>
          <w:szCs w:val="20"/>
          <w:color w:val="auto"/>
        </w:rPr>
      </w:pPr>
    </w:p>
    <w:p>
      <w:pPr>
        <w:ind w:left="3" w:right="20" w:hanging="3"/>
        <w:spacing w:after="0" w:line="230" w:lineRule="auto"/>
        <w:tabs>
          <w:tab w:leader="none" w:pos="81" w:val="left"/>
        </w:tabs>
        <w:numPr>
          <w:ilvl w:val="0"/>
          <w:numId w:val="6"/>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 xml:space="preserve">Financial risk management </w:t>
      </w:r>
      <w:r>
        <w:rPr>
          <w:rFonts w:ascii="Times New Roman" w:cs="Times New Roman" w:eastAsia="Times New Roman" w:hAnsi="Times New Roman"/>
          <w:sz w:val="13"/>
          <w:szCs w:val="13"/>
          <w:color w:val="auto"/>
        </w:rPr>
        <w:t>of the Consolidated Financial Statements for Polestar Automotive Holding UK PLC, as of December 31, 2023 that were included in the Form 20-F filed with the SEC on August 14, 2024.</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There are no changes for the periods presented in these Unaudited Condensed Consolidated Financial Statements.</w:t>
      </w:r>
    </w:p>
    <w:p>
      <w:pPr>
        <w:spacing w:after="0" w:line="24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60325</wp:posOffset>
            </wp:positionV>
            <wp:extent cx="7197090" cy="37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3"/>
          </w:cols>
          <w:pgMar w:left="297" w:top="120" w:right="2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tables show the breakdown of the Group’s revenue from external customers and non-current assets by geographical location where the Polestar company recognizing the revenue is located:</w:t>
      </w:r>
    </w:p>
    <w:p>
      <w:pPr>
        <w:spacing w:after="0" w:line="94"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6680" w:type="dxa"/>
            <w:vAlign w:val="bottom"/>
            <w:shd w:val="clear" w:color="auto" w:fill="DBDBDB"/>
          </w:tcPr>
          <w:p>
            <w:pPr>
              <w:spacing w:after="0"/>
              <w:rPr>
                <w:sz w:val="16"/>
                <w:szCs w:val="16"/>
                <w:color w:val="auto"/>
              </w:rPr>
            </w:pPr>
          </w:p>
        </w:tc>
        <w:tc>
          <w:tcPr>
            <w:tcW w:w="1920" w:type="dxa"/>
            <w:vAlign w:val="bottom"/>
            <w:tcBorders>
              <w:bottom w:val="single" w:sz="8" w:color="auto"/>
            </w:tcBorders>
            <w:gridSpan w:val="4"/>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For the six months ended June 30,</w:t>
            </w:r>
          </w:p>
        </w:tc>
      </w:tr>
      <w:tr>
        <w:trPr>
          <w:trHeight w:val="172"/>
        </w:trPr>
        <w:tc>
          <w:tcPr>
            <w:tcW w:w="668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2"/>
        </w:trPr>
        <w:tc>
          <w:tcPr>
            <w:tcW w:w="6680" w:type="dxa"/>
            <w:vAlign w:val="bottom"/>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720" w:type="dxa"/>
            <w:vAlign w:val="bottom"/>
            <w:tcBorders>
              <w:bottom w:val="single" w:sz="8" w:color="auto"/>
            </w:tcBorders>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143,916</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286,812</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Sweden</w:t>
            </w:r>
          </w:p>
        </w:tc>
        <w:tc>
          <w:tcPr>
            <w:tcW w:w="2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141,365</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169,416</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USA</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128,202</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225,002</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Germany</w:t>
            </w:r>
          </w:p>
        </w:tc>
        <w:tc>
          <w:tcPr>
            <w:tcW w:w="2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75,410</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118,961</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China</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66,469</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19,848</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Norway</w:t>
            </w:r>
          </w:p>
        </w:tc>
        <w:tc>
          <w:tcPr>
            <w:tcW w:w="2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56,162</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32,024</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Belgium</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46,981</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47,490</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Netherlands</w:t>
            </w:r>
          </w:p>
        </w:tc>
        <w:tc>
          <w:tcPr>
            <w:tcW w:w="2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42,456</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50,171</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Canada</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41,413</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62,130</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Denmark</w:t>
            </w:r>
          </w:p>
        </w:tc>
        <w:tc>
          <w:tcPr>
            <w:tcW w:w="2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41,172</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27,836</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Australia</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36,786</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48,163</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Korea</w:t>
            </w:r>
          </w:p>
        </w:tc>
        <w:tc>
          <w:tcPr>
            <w:tcW w:w="2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13,908</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19,469</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Switzerland</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12,973</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19,290</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6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Finland</w:t>
            </w:r>
          </w:p>
        </w:tc>
        <w:tc>
          <w:tcPr>
            <w:tcW w:w="22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12,656</w:t>
            </w:r>
          </w:p>
        </w:tc>
        <w:tc>
          <w:tcPr>
            <w:tcW w:w="16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24,184</w:t>
            </w:r>
          </w:p>
        </w:tc>
      </w:tr>
      <w:tr>
        <w:trPr>
          <w:trHeight w:val="18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Italy</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4,118</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28,051</w:t>
            </w:r>
          </w:p>
        </w:tc>
      </w:tr>
      <w:tr>
        <w:trPr>
          <w:trHeight w:val="29"/>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6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Other regions</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auto"/>
            </w:tcBorders>
            <w:shd w:val="clear" w:color="auto" w:fill="DBDBDB"/>
          </w:tcPr>
          <w:p>
            <w:pPr>
              <w:spacing w:after="0"/>
              <w:rPr>
                <w:sz w:val="18"/>
                <w:szCs w:val="18"/>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41,826</w:t>
            </w:r>
          </w:p>
        </w:tc>
        <w:tc>
          <w:tcPr>
            <w:tcW w:w="160" w:type="dxa"/>
            <w:vAlign w:val="bottom"/>
            <w:tcBorders>
              <w:bottom w:val="single" w:sz="8" w:color="auto"/>
            </w:tcBorders>
            <w:shd w:val="clear" w:color="auto" w:fill="DBDBDB"/>
          </w:tcPr>
          <w:p>
            <w:pPr>
              <w:spacing w:after="0"/>
              <w:rPr>
                <w:sz w:val="18"/>
                <w:szCs w:val="18"/>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58,788</w:t>
            </w:r>
          </w:p>
        </w:tc>
      </w:tr>
      <w:tr>
        <w:trPr>
          <w:trHeight w:val="172"/>
        </w:trPr>
        <w:tc>
          <w:tcPr>
            <w:tcW w:w="6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905,813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1,237,635</w:t>
            </w:r>
          </w:p>
        </w:tc>
      </w:tr>
      <w:tr>
        <w:trPr>
          <w:trHeight w:val="29"/>
        </w:trPr>
        <w:tc>
          <w:tcPr>
            <w:tcW w:w="6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8"/>
          <w:szCs w:val="8"/>
          <w:color w:val="auto"/>
        </w:rPr>
        <w:t>1 - Revenue: Other regions primarily consist of Spain, Austria, and Luxembourg in June 2024.Other regions primarily consist of Austria, Spain and Ireland in 2023.</w:t>
      </w:r>
    </w:p>
    <w:p>
      <w:pPr>
        <w:spacing w:after="0" w:line="86" w:lineRule="exact"/>
        <w:rPr>
          <w:sz w:val="20"/>
          <w:szCs w:val="20"/>
          <w:color w:val="auto"/>
        </w:rPr>
      </w:pPr>
    </w:p>
    <w:tbl>
      <w:tblPr>
        <w:tblLayout w:type="fixed"/>
        <w:tblInd w:w="480" w:type="dxa"/>
        <w:tblCellMar>
          <w:top w:w="0" w:type="dxa"/>
          <w:left w:w="0" w:type="dxa"/>
          <w:bottom w:w="0" w:type="dxa"/>
          <w:right w:w="0" w:type="dxa"/>
        </w:tblCellMar>
      </w:tblPr>
      <w:tr>
        <w:trPr>
          <w:trHeight w:val="158"/>
        </w:trPr>
        <w:tc>
          <w:tcPr>
            <w:tcW w:w="80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c>
          <w:tcPr>
            <w:tcW w:w="118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As of December, 31,</w:t>
            </w:r>
          </w:p>
        </w:tc>
      </w:tr>
      <w:tr>
        <w:trPr>
          <w:trHeight w:val="188"/>
        </w:trPr>
        <w:tc>
          <w:tcPr>
            <w:tcW w:w="8020" w:type="dxa"/>
            <w:vAlign w:val="bottom"/>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28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9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 assets</w:t>
            </w:r>
            <w:r>
              <w:rPr>
                <w:rFonts w:ascii="Times New Roman" w:cs="Times New Roman" w:eastAsia="Times New Roman" w:hAnsi="Times New Roman"/>
                <w:sz w:val="16"/>
                <w:szCs w:val="16"/>
                <w:b w:val="1"/>
                <w:bCs w:val="1"/>
                <w:color w:val="auto"/>
                <w:vertAlign w:val="superscript"/>
              </w:rPr>
              <w:t>2</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Sweden</w:t>
            </w:r>
          </w:p>
        </w:tc>
        <w:tc>
          <w:tcPr>
            <w:tcW w:w="32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1,295,171</w:t>
            </w:r>
          </w:p>
        </w:tc>
        <w:tc>
          <w:tcPr>
            <w:tcW w:w="28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1,239,023</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China</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513,455</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448,361</w:t>
            </w:r>
          </w:p>
        </w:tc>
      </w:tr>
      <w:tr>
        <w:trPr>
          <w:trHeight w:val="29"/>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92"/>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32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36,439</w:t>
            </w:r>
          </w:p>
        </w:tc>
        <w:tc>
          <w:tcPr>
            <w:tcW w:w="28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32,342</w:t>
            </w:r>
          </w:p>
        </w:tc>
      </w:tr>
      <w:tr>
        <w:trPr>
          <w:trHeight w:val="182"/>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Germany</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36,233</w:t>
            </w: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27,058</w:t>
            </w:r>
          </w:p>
        </w:tc>
      </w:tr>
      <w:tr>
        <w:trPr>
          <w:trHeight w:val="29"/>
        </w:trPr>
        <w:tc>
          <w:tcPr>
            <w:tcW w:w="8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12"/>
        </w:trPr>
        <w:tc>
          <w:tcPr>
            <w:tcW w:w="802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USA</w:t>
            </w:r>
          </w:p>
        </w:tc>
        <w:tc>
          <w:tcPr>
            <w:tcW w:w="320" w:type="dxa"/>
            <w:vAlign w:val="bottom"/>
            <w:shd w:val="clear" w:color="auto" w:fill="DBDBDB"/>
          </w:tcPr>
          <w:p>
            <w:pPr>
              <w:spacing w:after="0"/>
              <w:rPr>
                <w:sz w:val="18"/>
                <w:szCs w:val="18"/>
                <w:color w:val="auto"/>
              </w:rPr>
            </w:pP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149,354</w:t>
            </w:r>
          </w:p>
        </w:tc>
        <w:tc>
          <w:tcPr>
            <w:tcW w:w="280" w:type="dxa"/>
            <w:vAlign w:val="bottom"/>
            <w:shd w:val="clear" w:color="auto" w:fill="DBDBDB"/>
          </w:tcPr>
          <w:p>
            <w:pPr>
              <w:spacing w:after="0"/>
              <w:rPr>
                <w:sz w:val="18"/>
                <w:szCs w:val="18"/>
                <w:color w:val="auto"/>
              </w:rPr>
            </w:pPr>
          </w:p>
        </w:tc>
        <w:tc>
          <w:tcPr>
            <w:tcW w:w="90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5,017</w:t>
            </w:r>
          </w:p>
        </w:tc>
      </w:tr>
      <w:tr>
        <w:trPr>
          <w:trHeight w:val="212"/>
        </w:trPr>
        <w:tc>
          <w:tcPr>
            <w:tcW w:w="8020" w:type="dxa"/>
            <w:vAlign w:val="bottom"/>
            <w:tcBorders>
              <w:bottom w:val="single" w:sz="8" w:color="DBDBDB"/>
            </w:tcBorders>
          </w:tcPr>
          <w:p>
            <w:pPr>
              <w:ind w:left="20"/>
              <w:spacing w:after="0"/>
              <w:rPr>
                <w:sz w:val="20"/>
                <w:szCs w:val="20"/>
                <w:color w:val="auto"/>
              </w:rPr>
            </w:pPr>
            <w:r>
              <w:rPr>
                <w:rFonts w:ascii="Times New Roman" w:cs="Times New Roman" w:eastAsia="Times New Roman" w:hAnsi="Times New Roman"/>
                <w:sz w:val="13"/>
                <w:szCs w:val="13"/>
                <w:color w:val="auto"/>
              </w:rPr>
              <w:t>Other regions</w:t>
            </w:r>
            <w:r>
              <w:rPr>
                <w:rFonts w:ascii="Times New Roman" w:cs="Times New Roman" w:eastAsia="Times New Roman" w:hAnsi="Times New Roman"/>
                <w:sz w:val="16"/>
                <w:szCs w:val="16"/>
                <w:color w:val="auto"/>
                <w:vertAlign w:val="superscript"/>
              </w:rPr>
              <w:t>3</w:t>
            </w: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43,823</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45,726</w:t>
            </w:r>
          </w:p>
        </w:tc>
      </w:tr>
      <w:tr>
        <w:trPr>
          <w:trHeight w:val="181"/>
        </w:trPr>
        <w:tc>
          <w:tcPr>
            <w:tcW w:w="802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2,074,475</w:t>
            </w:r>
          </w:p>
        </w:tc>
        <w:tc>
          <w:tcPr>
            <w:tcW w:w="28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1,797,527</w:t>
            </w:r>
          </w:p>
        </w:tc>
      </w:tr>
      <w:tr>
        <w:trPr>
          <w:trHeight w:val="20"/>
        </w:trPr>
        <w:tc>
          <w:tcPr>
            <w:tcW w:w="8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2 - Non-current assets: excludes financial assets, Deferred tax assets, Other non-current assets, and Other investments.</w:t>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8"/>
          <w:szCs w:val="8"/>
          <w:color w:val="auto"/>
        </w:rPr>
        <w:t>3 - Other regions primarily consist of Belgium, Australia, and Switzerland in June 2024 and Switzerland, Australia, and Belgium and Spain in 2023.</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5 - Investment in associates</w:t>
      </w:r>
    </w:p>
    <w:p>
      <w:pPr>
        <w:spacing w:after="0" w:line="5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In January 2024, Polestar's investee in China, Polestar Technology (Shaoxing) Co., Ltd. ("Polestar Technology"), selected Nanjing as its final province of registration. The investee was renamed Polestar Times Technology (Nanjing) Co., Ltd ("Polestar Times Technology"). On February 29, 2024, Polestar Times Technology, Polestar, Xingji Meizu, and Nanjing Jiangning Economic and Technological Development Zone</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2"/>
          <w:szCs w:val="12"/>
          <w:color w:val="auto"/>
        </w:rPr>
        <w:t>Industrial Equity Investment Partnership (the "Nanjing Investor") entered an agreement for Polestar Times Technology to receive an additional $60,360 in capital from the Nanjing Investor over four installments in exchange for equity; subject to Polestar Times Technology achieving certain increased paid-in capital and invoiced sales thresholds in Nanjing province. Additionally, Polestar Times Technology can receive an additional $148,298 in the form of capital reserves from the Nanjing Investor over the four installments. In the event Polestar Times Technology achieves these thresholds and secures the investment installments from the Nanjing</w:t>
      </w:r>
    </w:p>
    <w:p>
      <w:pPr>
        <w:jc w:val="both"/>
        <w:spacing w:after="0" w:line="222" w:lineRule="auto"/>
        <w:rPr>
          <w:sz w:val="20"/>
          <w:szCs w:val="20"/>
          <w:color w:val="auto"/>
        </w:rPr>
      </w:pPr>
      <w:r>
        <w:rPr>
          <w:rFonts w:ascii="Times New Roman" w:cs="Times New Roman" w:eastAsia="Times New Roman" w:hAnsi="Times New Roman"/>
          <w:sz w:val="13"/>
          <w:szCs w:val="13"/>
          <w:color w:val="auto"/>
        </w:rPr>
        <w:t>Investor, Polestar's ownership in Polestar Times Technology will decrease from 49% to 37.6% over time. As of the date these Unaudited Condensed Consolidated Financial Statements were authorized for issuance, Polestar has injected total cash of $34,300 into Polestar Times Technology and maintains 46.2% ownership.</w:t>
      </w:r>
    </w:p>
    <w:p>
      <w:pPr>
        <w:spacing w:after="0" w:line="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3"/>
          <w:szCs w:val="13"/>
          <w:color w:val="auto"/>
        </w:rPr>
        <w:t>In the event of the dissolution of Polestar Times Technology and if Polestar Times Technology's assets are insufficient to meet its debt obligations, shareholders who have not fully made their required capital contributions and other shareholders existing at the time of establishment of the company, may be held jointly responsible for the remaining debts, limited to the value of their unpaid contributions.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Sales of vehicles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During the six months ended June 30, 2024, the probability of collecting consideration in exchange for vehicles sold to Polestar Times Technology remained remote due to Polestar Times Technology's lack of available liquidity. While Polestar did collect consideration from Polestar Times Technology during the six months ended June 30, 2024 for certain vehicles sold during the year ended December 31, 2023 and the six months ended</w:t>
      </w:r>
    </w:p>
    <w:p>
      <w:pPr>
        <w:jc w:val="both"/>
        <w:spacing w:after="0" w:line="223" w:lineRule="auto"/>
        <w:rPr>
          <w:sz w:val="20"/>
          <w:szCs w:val="20"/>
          <w:color w:val="auto"/>
        </w:rPr>
      </w:pPr>
      <w:r>
        <w:rPr>
          <w:rFonts w:ascii="Times New Roman" w:cs="Times New Roman" w:eastAsia="Times New Roman" w:hAnsi="Times New Roman"/>
          <w:sz w:val="12"/>
          <w:szCs w:val="12"/>
          <w:color w:val="auto"/>
        </w:rPr>
        <w:t>June 30, 2024, the circumstances regarding Polestar Times Technology's liquidity have not been improved. As such, the Group's accounting for sales of vehicles to Polestar Times Technology remained unchanged from the year ended December 31, 2023. During the six months ended June 30, 2024, the Group collected consideration and recognized revenue related to sales of vehicles for $61,650 of which $31,298 pertained to vehicles delivered during the year ended December 31, 2023 and $30,352 pertained to vehicles delivered during the six months ended June 30, 2024. As of June 30, 2024, the Group remains unpaid for 542 vehicles delivered to</w:t>
      </w:r>
    </w:p>
    <w:p>
      <w:pPr>
        <w:spacing w:after="0"/>
        <w:rPr>
          <w:sz w:val="20"/>
          <w:szCs w:val="20"/>
          <w:color w:val="auto"/>
        </w:rPr>
      </w:pPr>
      <w:r>
        <w:rPr>
          <w:rFonts w:ascii="Times New Roman" w:cs="Times New Roman" w:eastAsia="Times New Roman" w:hAnsi="Times New Roman"/>
          <w:sz w:val="13"/>
          <w:szCs w:val="13"/>
          <w:color w:val="auto"/>
        </w:rPr>
        <w:t>Polestar Times Technology during the six months ended June 30, 2024; totaling $19,850 of unrecognized revenue.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summarizes the activity related to Polestar's investment in Polestar Times Technology: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2"/>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Investment in Polestar Times Technology</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4,900</w:t>
            </w:r>
          </w:p>
        </w:tc>
      </w:tr>
      <w:tr>
        <w:trPr>
          <w:trHeight w:val="29"/>
        </w:trPr>
        <w:tc>
          <w:tcPr>
            <w:tcW w:w="10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Elimination of effects of downstream sales</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(550)</w:t>
            </w:r>
          </w:p>
        </w:tc>
      </w:tr>
      <w:tr>
        <w:trPr>
          <w:trHeight w:val="182"/>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Recognized share of losses in Polestar Times Technology</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w:t>
            </w:r>
          </w:p>
        </w:tc>
      </w:tr>
      <w:tr>
        <w:trPr>
          <w:trHeight w:val="29"/>
        </w:trPr>
        <w:tc>
          <w:tcPr>
            <w:tcW w:w="10040" w:type="dxa"/>
            <w:vAlign w:val="bottom"/>
            <w:tcBorders>
              <w:bottom w:val="single" w:sz="8" w:color="DBDBDB"/>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440" w:type="dxa"/>
            <w:vAlign w:val="bottom"/>
            <w:tcBorders>
              <w:bottom w:val="single" w:sz="8" w:color="DBDBDB"/>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8"/>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The following table summarizes the activity related to Polestar's unrecognized losses in Polestar Times Technology:</w:t>
            </w:r>
          </w:p>
        </w:tc>
        <w:tc>
          <w:tcPr>
            <w:tcW w:w="4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77"/>
        </w:trPr>
        <w:tc>
          <w:tcPr>
            <w:tcW w:w="100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20" w:type="dxa"/>
            <w:vAlign w:val="bottom"/>
          </w:tcPr>
          <w:p>
            <w:pPr>
              <w:spacing w:after="0"/>
              <w:rPr>
                <w:sz w:val="6"/>
                <w:szCs w:val="6"/>
                <w:color w:val="auto"/>
              </w:rPr>
            </w:pPr>
          </w:p>
        </w:tc>
      </w:tr>
      <w:tr>
        <w:trPr>
          <w:trHeight w:val="19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Unrecognized balance as of January 1, 2024</w:t>
            </w:r>
          </w:p>
        </w:tc>
        <w:tc>
          <w:tcPr>
            <w:tcW w:w="440" w:type="dxa"/>
            <w:vAlign w:val="bottom"/>
            <w:tcBorders>
              <w:bottom w:val="single" w:sz="8" w:color="DBDBDB"/>
            </w:tcBorders>
            <w:shd w:val="clear" w:color="auto" w:fill="DBDBDB"/>
          </w:tcPr>
          <w:p>
            <w:pPr>
              <w:spacing w:after="0"/>
              <w:rPr>
                <w:sz w:val="16"/>
                <w:szCs w:val="16"/>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(1,407)</w:t>
            </w:r>
          </w:p>
        </w:tc>
      </w:tr>
      <w:tr>
        <w:trPr>
          <w:trHeight w:val="182"/>
        </w:trPr>
        <w:tc>
          <w:tcPr>
            <w:tcW w:w="10040" w:type="dxa"/>
            <w:vAlign w:val="bottom"/>
          </w:tcPr>
          <w:p>
            <w:pPr>
              <w:spacing w:after="0"/>
              <w:rPr>
                <w:sz w:val="20"/>
                <w:szCs w:val="20"/>
                <w:color w:val="auto"/>
              </w:rPr>
            </w:pPr>
            <w:r>
              <w:rPr>
                <w:rFonts w:ascii="Times New Roman" w:cs="Times New Roman" w:eastAsia="Times New Roman" w:hAnsi="Times New Roman"/>
                <w:sz w:val="13"/>
                <w:szCs w:val="13"/>
                <w:color w:val="auto"/>
              </w:rPr>
              <w:t>Unrecognized effects of downstream sales</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(6,386)</w:t>
            </w:r>
          </w:p>
        </w:tc>
      </w:tr>
      <w:tr>
        <w:trPr>
          <w:trHeight w:val="29"/>
        </w:trPr>
        <w:tc>
          <w:tcPr>
            <w:tcW w:w="10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2"/>
        </w:trPr>
        <w:tc>
          <w:tcPr>
            <w:tcW w:w="1004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Unrecognized share of losses in Polestar Times Technology</w:t>
            </w:r>
          </w:p>
        </w:tc>
        <w:tc>
          <w:tcPr>
            <w:tcW w:w="440" w:type="dxa"/>
            <w:vAlign w:val="bottom"/>
            <w:tcBorders>
              <w:bottom w:val="single" w:sz="8" w:color="DBDBDB"/>
            </w:tcBorders>
            <w:shd w:val="clear" w:color="auto" w:fill="DBDBDB"/>
          </w:tcPr>
          <w:p>
            <w:pPr>
              <w:spacing w:after="0"/>
              <w:rPr>
                <w:sz w:val="18"/>
                <w:szCs w:val="18"/>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(29,231)</w:t>
            </w:r>
          </w:p>
        </w:tc>
      </w:tr>
      <w:tr>
        <w:trPr>
          <w:trHeight w:val="172"/>
        </w:trPr>
        <w:tc>
          <w:tcPr>
            <w:tcW w:w="10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Unrecognized balance as of June 30, 2024</w:t>
            </w:r>
          </w:p>
        </w:tc>
        <w:tc>
          <w:tcPr>
            <w:tcW w:w="4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(37,024)</w:t>
            </w:r>
          </w:p>
        </w:tc>
      </w:tr>
      <w:tr>
        <w:trPr>
          <w:trHeight w:val="29"/>
        </w:trPr>
        <w:tc>
          <w:tcPr>
            <w:tcW w:w="100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provides summarized financial information from Polestar Times Technology's financial statements and a reconciliation to the carrying amount of Polestar's investment: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280" w:type="dxa"/>
            <w:vAlign w:val="bottom"/>
            <w:tcBorders>
              <w:top w:val="single" w:sz="8" w:color="DBDBDB"/>
              <w:bottom w:val="single" w:sz="8" w:color="DBDBDB"/>
            </w:tcBorders>
            <w:shd w:val="clear" w:color="auto" w:fill="DBDBDB"/>
          </w:tcPr>
          <w:p>
            <w:pPr>
              <w:spacing w:after="0"/>
              <w:rPr>
                <w:sz w:val="19"/>
                <w:szCs w:val="19"/>
                <w:color w:val="auto"/>
              </w:rPr>
            </w:pPr>
          </w:p>
        </w:tc>
        <w:tc>
          <w:tcPr>
            <w:tcW w:w="60" w:type="dxa"/>
            <w:vAlign w:val="bottom"/>
            <w:tcBorders>
              <w:top w:val="single" w:sz="8" w:color="auto"/>
              <w:bottom w:val="single" w:sz="8" w:color="DBDBDB"/>
            </w:tcBorders>
            <w:shd w:val="clear" w:color="auto" w:fill="DBDBDB"/>
          </w:tcPr>
          <w:p>
            <w:pPr>
              <w:spacing w:after="0"/>
              <w:rPr>
                <w:sz w:val="19"/>
                <w:szCs w:val="19"/>
                <w:color w:val="auto"/>
              </w:rPr>
            </w:pPr>
          </w:p>
        </w:tc>
        <w:tc>
          <w:tcPr>
            <w:tcW w:w="1960" w:type="dxa"/>
            <w:vAlign w:val="bottom"/>
            <w:tcBorders>
              <w:top w:val="single" w:sz="8" w:color="auto"/>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8"/>
              </w:rPr>
              <w:t>For the six months ended June 30,</w:t>
            </w:r>
          </w:p>
        </w:tc>
      </w:tr>
      <w:tr>
        <w:trPr>
          <w:trHeight w:val="172"/>
        </w:trPr>
        <w:tc>
          <w:tcPr>
            <w:tcW w:w="9280" w:type="dxa"/>
            <w:vAlign w:val="bottom"/>
            <w:tcBorders>
              <w:bottom w:val="single" w:sz="8" w:color="DBDBDB"/>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960" w:type="dxa"/>
            <w:vAlign w:val="bottom"/>
            <w:tcBorders>
              <w:top w:val="single" w:sz="8" w:color="auto"/>
              <w:bottom w:val="single" w:sz="8" w:color="auto"/>
            </w:tcBorders>
          </w:tcPr>
          <w:p>
            <w:pPr>
              <w:jc w:val="right"/>
              <w:ind w:right="836"/>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91"/>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Polestar's percentage ownership interest</w:t>
            </w:r>
          </w:p>
        </w:tc>
        <w:tc>
          <w:tcPr>
            <w:tcW w:w="60" w:type="dxa"/>
            <w:vAlign w:val="bottom"/>
            <w:tcBorders>
              <w:bottom w:val="single" w:sz="8" w:color="DBDBDB"/>
            </w:tcBorders>
            <w:shd w:val="clear" w:color="auto" w:fill="DBDBDB"/>
          </w:tcPr>
          <w:p>
            <w:pPr>
              <w:spacing w:after="0"/>
              <w:rPr>
                <w:sz w:val="16"/>
                <w:szCs w:val="16"/>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46.2 %</w:t>
            </w:r>
          </w:p>
        </w:tc>
      </w:tr>
      <w:tr>
        <w:trPr>
          <w:trHeight w:val="182"/>
        </w:trPr>
        <w:tc>
          <w:tcPr>
            <w:tcW w:w="928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w:t>
            </w:r>
          </w:p>
        </w:tc>
        <w:tc>
          <w:tcPr>
            <w:tcW w:w="60" w:type="dxa"/>
            <w:vAlign w:val="bottom"/>
          </w:tcPr>
          <w:p>
            <w:pPr>
              <w:spacing w:after="0"/>
              <w:rPr>
                <w:sz w:val="15"/>
                <w:szCs w:val="15"/>
                <w:color w:val="auto"/>
              </w:rPr>
            </w:pPr>
          </w:p>
        </w:tc>
        <w:tc>
          <w:tcPr>
            <w:tcW w:w="19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44,759</w:t>
            </w:r>
          </w:p>
        </w:tc>
      </w:tr>
      <w:tr>
        <w:trPr>
          <w:trHeight w:val="29"/>
        </w:trPr>
        <w:tc>
          <w:tcPr>
            <w:tcW w:w="9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192"/>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Borders>
              <w:bottom w:val="single" w:sz="8" w:color="DBDBDB"/>
            </w:tcBorders>
            <w:shd w:val="clear" w:color="auto" w:fill="DBDBDB"/>
          </w:tcPr>
          <w:p>
            <w:pPr>
              <w:spacing w:after="0"/>
              <w:rPr>
                <w:sz w:val="16"/>
                <w:szCs w:val="16"/>
                <w:color w:val="auto"/>
              </w:rPr>
            </w:pPr>
          </w:p>
        </w:tc>
        <w:tc>
          <w:tcPr>
            <w:tcW w:w="196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60,806</w:t>
            </w:r>
          </w:p>
        </w:tc>
      </w:tr>
      <w:tr>
        <w:trPr>
          <w:trHeight w:val="182"/>
        </w:trPr>
        <w:tc>
          <w:tcPr>
            <w:tcW w:w="9280" w:type="dxa"/>
            <w:vAlign w:val="bottom"/>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60" w:type="dxa"/>
            <w:vAlign w:val="bottom"/>
          </w:tcPr>
          <w:p>
            <w:pPr>
              <w:spacing w:after="0"/>
              <w:rPr>
                <w:sz w:val="15"/>
                <w:szCs w:val="15"/>
                <w:color w:val="auto"/>
              </w:rPr>
            </w:pPr>
          </w:p>
        </w:tc>
        <w:tc>
          <w:tcPr>
            <w:tcW w:w="196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rPr>
              <w:t>(21,379)</w:t>
            </w:r>
          </w:p>
        </w:tc>
      </w:tr>
      <w:tr>
        <w:trPr>
          <w:trHeight w:val="29"/>
        </w:trPr>
        <w:tc>
          <w:tcPr>
            <w:tcW w:w="9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12"/>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tcBorders>
              <w:bottom w:val="single" w:sz="8" w:color="DBDBDB"/>
            </w:tcBorders>
            <w:shd w:val="clear" w:color="auto" w:fill="DBDBDB"/>
          </w:tcPr>
          <w:p>
            <w:pPr>
              <w:spacing w:after="0"/>
              <w:rPr>
                <w:sz w:val="18"/>
                <w:szCs w:val="18"/>
                <w:color w:val="auto"/>
              </w:rPr>
            </w:pPr>
          </w:p>
        </w:tc>
        <w:tc>
          <w:tcPr>
            <w:tcW w:w="196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(132,663)</w:t>
            </w:r>
          </w:p>
        </w:tc>
      </w:tr>
      <w:tr>
        <w:trPr>
          <w:trHeight w:val="172"/>
        </w:trPr>
        <w:tc>
          <w:tcPr>
            <w:tcW w:w="9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liabilities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(48,477)</w:t>
            </w:r>
          </w:p>
        </w:tc>
      </w:tr>
      <w:tr>
        <w:trPr>
          <w:trHeight w:val="29"/>
        </w:trPr>
        <w:tc>
          <w:tcPr>
            <w:tcW w:w="9280" w:type="dxa"/>
            <w:vAlign w:val="bottom"/>
            <w:tcBorders>
              <w:bottom w:val="single" w:sz="8" w:color="DBDBDB"/>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01"/>
        </w:trPr>
        <w:tc>
          <w:tcPr>
            <w:tcW w:w="9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Less capital reserves</w:t>
            </w:r>
          </w:p>
        </w:tc>
        <w:tc>
          <w:tcPr>
            <w:tcW w:w="60" w:type="dxa"/>
            <w:vAlign w:val="bottom"/>
            <w:tcBorders>
              <w:bottom w:val="single" w:sz="8" w:color="DBDBDB"/>
            </w:tcBorders>
            <w:shd w:val="clear" w:color="auto" w:fill="DBDBDB"/>
          </w:tcPr>
          <w:p>
            <w:pPr>
              <w:spacing w:after="0"/>
              <w:rPr>
                <w:sz w:val="17"/>
                <w:szCs w:val="17"/>
                <w:color w:val="auto"/>
              </w:rPr>
            </w:pPr>
          </w:p>
        </w:tc>
        <w:tc>
          <w:tcPr>
            <w:tcW w:w="1960" w:type="dxa"/>
            <w:vAlign w:val="bottom"/>
            <w:tcBorders>
              <w:bottom w:val="single" w:sz="8" w:color="DBDBDB"/>
            </w:tcBorders>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(29,492)</w:t>
            </w:r>
          </w:p>
        </w:tc>
      </w:tr>
      <w:tr>
        <w:trPr>
          <w:trHeight w:val="172"/>
        </w:trPr>
        <w:tc>
          <w:tcPr>
            <w:tcW w:w="9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Adjusted Net liabilities</w:t>
            </w: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96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(77,969)</w:t>
            </w:r>
          </w:p>
        </w:tc>
      </w:tr>
      <w:tr>
        <w:trPr>
          <w:trHeight w:val="29"/>
        </w:trPr>
        <w:tc>
          <w:tcPr>
            <w:tcW w:w="9280" w:type="dxa"/>
            <w:vAlign w:val="bottom"/>
            <w:tcBorders>
              <w:bottom w:val="single" w:sz="8" w:color="DBDBDB"/>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172"/>
        </w:trPr>
        <w:tc>
          <w:tcPr>
            <w:tcW w:w="928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The Group's share of net liabilities</w:t>
            </w:r>
          </w:p>
        </w:tc>
        <w:tc>
          <w:tcPr>
            <w:tcW w:w="60" w:type="dxa"/>
            <w:vAlign w:val="bottom"/>
            <w:shd w:val="clear" w:color="auto" w:fill="DBDBDB"/>
          </w:tcPr>
          <w:p>
            <w:pPr>
              <w:spacing w:after="0"/>
              <w:rPr>
                <w:sz w:val="14"/>
                <w:szCs w:val="14"/>
                <w:color w:val="auto"/>
              </w:rPr>
            </w:pPr>
          </w:p>
        </w:tc>
        <w:tc>
          <w:tcPr>
            <w:tcW w:w="1960" w:type="dxa"/>
            <w:vAlign w:val="bottom"/>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(36,021)</w:t>
            </w:r>
          </w:p>
        </w:tc>
      </w:tr>
      <w:tr>
        <w:trPr>
          <w:trHeight w:val="29"/>
        </w:trPr>
        <w:tc>
          <w:tcPr>
            <w:tcW w:w="928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1960" w:type="dxa"/>
            <w:vAlign w:val="bottom"/>
            <w:shd w:val="clear" w:color="auto" w:fill="DBDBDB"/>
          </w:tcPr>
          <w:p>
            <w:pPr>
              <w:spacing w:after="0"/>
              <w:rPr>
                <w:sz w:val="2"/>
                <w:szCs w:val="2"/>
                <w:color w:val="auto"/>
              </w:rPr>
            </w:pPr>
          </w:p>
        </w:tc>
      </w:tr>
    </w:tbl>
    <w:p>
      <w:pPr>
        <w:spacing w:after="0" w:line="16" w:lineRule="exact"/>
        <w:rPr>
          <w:sz w:val="20"/>
          <w:szCs w:val="20"/>
          <w:color w:val="auto"/>
        </w:rPr>
      </w:pPr>
    </w:p>
    <w:p>
      <w:pPr>
        <w:sectPr>
          <w:pgSz w:w="11900" w:h="16838" w:orient="portrait"/>
          <w:cols w:equalWidth="0" w:num="1">
            <w:col w:w="11300"/>
          </w:cols>
          <w:pgMar w:left="300" w:top="120" w:right="299" w:bottom="1440" w:gutter="0" w:footer="0" w:header="0"/>
        </w:sectPr>
      </w:pPr>
    </w:p>
    <w:p>
      <w:pPr>
        <w:spacing w:after="0"/>
        <w:rPr>
          <w:sz w:val="20"/>
          <w:szCs w:val="20"/>
          <w:color w:val="auto"/>
        </w:rPr>
      </w:pPr>
      <w:r>
        <w:rPr>
          <w:rFonts w:ascii="Times New Roman" w:cs="Times New Roman" w:eastAsia="Times New Roman" w:hAnsi="Times New Roman"/>
          <w:sz w:val="13"/>
          <w:szCs w:val="13"/>
          <w:color w:val="auto"/>
        </w:rPr>
        <w:t>Elimination of effects of downstream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Unrecognized effects of downstream sales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Unrecognized losses in Polestar Times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reconciling items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Carrying amount of the Group's investment in Polestar Times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38100</wp:posOffset>
            </wp:positionV>
            <wp:extent cx="7171690" cy="121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1690" cy="12192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Net loss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7171690" cy="134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1690" cy="13462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comprehensive loss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Group's share of losses in Polestar Times Technology</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6 - Leases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Polestar Group as Lessee</w:t>
      </w:r>
    </w:p>
    <w:p>
      <w:pPr>
        <w:spacing w:after="0" w:line="20" w:lineRule="exact"/>
        <w:rPr>
          <w:sz w:val="20"/>
          <w:szCs w:val="20"/>
          <w:color w:val="auto"/>
        </w:rPr>
      </w:pPr>
      <w:r>
        <w:rPr>
          <w:sz w:val="20"/>
          <w:szCs w:val="20"/>
          <w:color w:val="auto"/>
        </w:rPr>
        <w:br w:type="column"/>
      </w:r>
    </w:p>
    <w:p>
      <w:pPr>
        <w:jc w:val="right"/>
        <w:ind w:right="140"/>
        <w:spacing w:after="0"/>
        <w:rPr>
          <w:sz w:val="20"/>
          <w:szCs w:val="20"/>
          <w:color w:val="auto"/>
        </w:rPr>
      </w:pPr>
      <w:r>
        <w:rPr>
          <w:rFonts w:ascii="Times New Roman" w:cs="Times New Roman" w:eastAsia="Times New Roman" w:hAnsi="Times New Roman"/>
          <w:sz w:val="13"/>
          <w:szCs w:val="13"/>
          <w:color w:val="auto"/>
        </w:rPr>
        <w:t>(550)</w:t>
      </w:r>
    </w:p>
    <w:p>
      <w:pPr>
        <w:spacing w:after="0" w:line="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6,386</w:t>
      </w:r>
    </w:p>
    <w:p>
      <w:pPr>
        <w:spacing w:after="0" w:line="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29,231</w:t>
      </w:r>
    </w:p>
    <w:p>
      <w:pPr>
        <w:spacing w:after="0" w:line="62"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954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28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50" w:lineRule="exact"/>
        <w:rPr>
          <w:sz w:val="20"/>
          <w:szCs w:val="20"/>
          <w:color w:val="auto"/>
        </w:rPr>
      </w:pPr>
    </w:p>
    <w:p>
      <w:pPr>
        <w:spacing w:after="0"/>
        <w:tabs>
          <w:tab w:leader="none" w:pos="1700" w:val="left"/>
        </w:tabs>
        <w:rPr>
          <w:sz w:val="20"/>
          <w:szCs w:val="20"/>
          <w:color w:val="auto"/>
        </w:rPr>
      </w:pP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w:t>
      </w:r>
    </w:p>
    <w:p>
      <w:pPr>
        <w:spacing w:after="0" w:line="257" w:lineRule="exact"/>
        <w:rPr>
          <w:sz w:val="20"/>
          <w:szCs w:val="20"/>
          <w:color w:val="auto"/>
        </w:rPr>
      </w:pPr>
    </w:p>
    <w:p>
      <w:pPr>
        <w:jc w:val="right"/>
        <w:ind w:right="160"/>
        <w:spacing w:after="0"/>
        <w:rPr>
          <w:sz w:val="20"/>
          <w:szCs w:val="20"/>
          <w:color w:val="auto"/>
        </w:rPr>
      </w:pPr>
      <w:r>
        <w:rPr>
          <w:rFonts w:ascii="Times New Roman" w:cs="Times New Roman" w:eastAsia="Times New Roman" w:hAnsi="Times New Roman"/>
          <w:sz w:val="13"/>
          <w:szCs w:val="13"/>
          <w:color w:val="auto"/>
        </w:rPr>
        <w:t>44,490</w:t>
      </w:r>
    </w:p>
    <w:p>
      <w:pPr>
        <w:spacing w:after="0" w:line="6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3"/>
          <w:szCs w:val="13"/>
          <w:color w:val="auto"/>
        </w:rPr>
        <w:t>(70,851)</w:t>
      </w:r>
    </w:p>
    <w:p>
      <w:pPr>
        <w:spacing w:after="0" w:line="6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3"/>
          <w:szCs w:val="13"/>
          <w:color w:val="auto"/>
        </w:rPr>
        <w:t>(1,836)</w:t>
      </w:r>
    </w:p>
    <w:p>
      <w:pPr>
        <w:spacing w:after="0" w:line="62"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3"/>
          <w:szCs w:val="13"/>
          <w:color w:val="auto"/>
        </w:rPr>
        <w:t>(72,687)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28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5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2"/>
          <w:szCs w:val="12"/>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(33,581)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28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2700" cy="6350"/>
                    </a:xfrm>
                    <a:prstGeom prst="rect">
                      <a:avLst/>
                    </a:prstGeom>
                    <a:noFill/>
                  </pic:spPr>
                </pic:pic>
              </a:graphicData>
            </a:graphic>
          </wp:anchor>
        </w:drawing>
      </w:r>
    </w:p>
    <w:p>
      <w:pPr>
        <w:spacing w:after="0" w:line="758" w:lineRule="exact"/>
        <w:rPr>
          <w:sz w:val="20"/>
          <w:szCs w:val="20"/>
          <w:color w:val="auto"/>
        </w:rPr>
      </w:pPr>
    </w:p>
    <w:p>
      <w:pPr>
        <w:sectPr>
          <w:pgSz w:w="11900" w:h="16838" w:orient="portrait"/>
          <w:cols w:equalWidth="0" w:num="2">
            <w:col w:w="8560" w:space="720"/>
            <w:col w:w="2020"/>
          </w:cols>
          <w:pgMar w:left="300" w:top="120" w:right="299" w:bottom="1440" w:gutter="0" w:footer="0" w:header="0"/>
          <w:type w:val="continuous"/>
        </w:sectPr>
      </w:pPr>
    </w:p>
    <w:p>
      <w:pPr>
        <w:ind w:right="20"/>
        <w:spacing w:after="0" w:line="233" w:lineRule="auto"/>
        <w:rPr>
          <w:sz w:val="20"/>
          <w:szCs w:val="20"/>
          <w:color w:val="auto"/>
        </w:rPr>
      </w:pPr>
      <w:r>
        <w:rPr>
          <w:rFonts w:ascii="Times New Roman" w:cs="Times New Roman" w:eastAsia="Times New Roman" w:hAnsi="Times New Roman"/>
          <w:sz w:val="13"/>
          <w:szCs w:val="13"/>
          <w:color w:val="auto"/>
        </w:rPr>
        <w:t>As a lessee, Polestar Group primarily leases buildings and manufacturing production equipment. The Group also has short-term and low value leases related to the leasing of temporary spaces and small IT equipment, respectively. The lease term for land and buildings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type w:val="continuous"/>
        </w:sectPr>
      </w:pPr>
    </w:p>
    <w:bookmarkStart w:id="26" w:name="page27"/>
    <w:bookmarkEnd w:id="26"/>
    <w:p>
      <w:pPr>
        <w:jc w:val="center"/>
        <w:ind w:right="-319"/>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319"/>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is generally 2-15 years with the exception of one long term land lease with a term of 50 years. The lease term for machinery and equipment is generally 2-6 years.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depicts the changes in the Group’s right-of-use assets, which are included within Property, plant, and equipment:</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158"/>
        </w:trPr>
        <w:tc>
          <w:tcPr>
            <w:tcW w:w="706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00" w:type="dxa"/>
            <w:vAlign w:val="bottom"/>
            <w:tcBorders>
              <w:right w:val="single" w:sz="8" w:color="auto"/>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Machinery and</w:t>
            </w:r>
          </w:p>
        </w:tc>
        <w:tc>
          <w:tcPr>
            <w:tcW w:w="24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88"/>
        </w:trPr>
        <w:tc>
          <w:tcPr>
            <w:tcW w:w="7060" w:type="dxa"/>
            <w:vAlign w:val="bottom"/>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120" w:type="dxa"/>
            <w:vAlign w:val="bottom"/>
            <w:tcBorders>
              <w:bottom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7"/>
              </w:rPr>
              <w:t>Buildings and land</w:t>
            </w:r>
          </w:p>
        </w:tc>
        <w:tc>
          <w:tcPr>
            <w:tcW w:w="12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right w:val="single" w:sz="8" w:color="auto"/>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122,613</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50,433</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173,046</w:t>
            </w:r>
          </w:p>
        </w:tc>
      </w:tr>
      <w:tr>
        <w:trPr>
          <w:trHeight w:val="182"/>
        </w:trPr>
        <w:tc>
          <w:tcPr>
            <w:tcW w:w="7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Addition</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4,768</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3,446</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8,214</w:t>
            </w: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40"/>
              <w:spacing w:after="0"/>
              <w:rPr>
                <w:sz w:val="20"/>
                <w:szCs w:val="20"/>
                <w:color w:val="auto"/>
              </w:rPr>
            </w:pPr>
            <w:r>
              <w:rPr>
                <w:rFonts w:ascii="Times New Roman" w:cs="Times New Roman" w:eastAsia="Times New Roman" w:hAnsi="Times New Roman"/>
                <w:sz w:val="13"/>
                <w:szCs w:val="13"/>
                <w:color w:val="auto"/>
              </w:rPr>
              <w:t>Cancellations</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(10,858)</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(1,282)</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(12,140)</w:t>
            </w:r>
          </w:p>
        </w:tc>
      </w:tr>
      <w:tr>
        <w:trPr>
          <w:trHeight w:val="18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Remeasurement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w:t>
            </w: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Effect of foreign currency exchange differences</w:t>
            </w:r>
          </w:p>
        </w:tc>
        <w:tc>
          <w:tcPr>
            <w:tcW w:w="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(4,063)</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(1,082)</w:t>
            </w:r>
          </w:p>
        </w:tc>
        <w:tc>
          <w:tcPr>
            <w:tcW w:w="24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(5,145)</w:t>
            </w:r>
          </w:p>
        </w:tc>
      </w:tr>
      <w:tr>
        <w:trPr>
          <w:trHeight w:val="17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112,460</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51,227</w:t>
            </w: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163,687</w:t>
            </w:r>
          </w:p>
        </w:tc>
      </w:tr>
      <w:tr>
        <w:trPr>
          <w:trHeight w:val="29"/>
        </w:trPr>
        <w:tc>
          <w:tcPr>
            <w:tcW w:w="706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3"/>
        </w:trPr>
        <w:tc>
          <w:tcPr>
            <w:tcW w:w="706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1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100" w:type="dxa"/>
            <w:vAlign w:val="bottom"/>
            <w:tcBorders>
              <w:right w:val="single" w:sz="8" w:color="auto"/>
            </w:tcBorders>
            <w:shd w:val="clear" w:color="auto" w:fill="DBDBDB"/>
          </w:tcPr>
          <w:p>
            <w:pPr>
              <w:spacing w:after="0"/>
              <w:rPr>
                <w:sz w:val="14"/>
                <w:szCs w:val="14"/>
                <w:color w:val="auto"/>
              </w:rPr>
            </w:pPr>
          </w:p>
        </w:tc>
        <w:tc>
          <w:tcPr>
            <w:tcW w:w="240" w:type="dxa"/>
            <w:vAlign w:val="bottom"/>
            <w:shd w:val="clear" w:color="auto" w:fill="DBDBDB"/>
          </w:tcPr>
          <w:p>
            <w:pPr>
              <w:spacing w:after="0"/>
              <w:rPr>
                <w:sz w:val="14"/>
                <w:szCs w:val="14"/>
                <w:color w:val="auto"/>
              </w:rPr>
            </w:pPr>
          </w:p>
        </w:tc>
        <w:tc>
          <w:tcPr>
            <w:tcW w:w="920" w:type="dxa"/>
            <w:vAlign w:val="bottom"/>
            <w:shd w:val="clear" w:color="auto" w:fill="DBDBDB"/>
          </w:tcPr>
          <w:p>
            <w:pPr>
              <w:spacing w:after="0"/>
              <w:rPr>
                <w:sz w:val="14"/>
                <w:szCs w:val="14"/>
                <w:color w:val="auto"/>
              </w:rPr>
            </w:pPr>
          </w:p>
        </w:tc>
      </w:tr>
      <w:tr>
        <w:trPr>
          <w:trHeight w:val="18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(34,291)</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(40,537)</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(74,828)</w:t>
            </w:r>
          </w:p>
        </w:tc>
      </w:tr>
      <w:tr>
        <w:trPr>
          <w:trHeight w:val="18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Depreciation expense</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(11,420)</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(13,235)</w:t>
            </w: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9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Depreciation expense capitalized to inventory</w:t>
            </w:r>
          </w:p>
        </w:tc>
        <w:tc>
          <w:tcPr>
            <w:tcW w:w="8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(316)</w:t>
            </w:r>
          </w:p>
        </w:tc>
      </w:tr>
      <w:tr>
        <w:trPr>
          <w:trHeight w:val="182"/>
        </w:trPr>
        <w:tc>
          <w:tcPr>
            <w:tcW w:w="70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Cancellations</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2,913</w:t>
            </w:r>
          </w:p>
        </w:tc>
        <w:tc>
          <w:tcPr>
            <w:tcW w:w="120" w:type="dxa"/>
            <w:vAlign w:val="bottom"/>
          </w:tcPr>
          <w:p>
            <w:pPr>
              <w:spacing w:after="0"/>
              <w:rPr>
                <w:sz w:val="15"/>
                <w:szCs w:val="15"/>
                <w:color w:val="auto"/>
              </w:rPr>
            </w:pPr>
          </w:p>
        </w:tc>
        <w:tc>
          <w:tcPr>
            <w:tcW w:w="11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1,068</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3,981</w:t>
            </w:r>
          </w:p>
        </w:tc>
      </w:tr>
      <w:tr>
        <w:trPr>
          <w:trHeight w:val="29"/>
        </w:trPr>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7060" w:type="dxa"/>
            <w:vAlign w:val="bottom"/>
            <w:tcBorders>
              <w:bottom w:val="single" w:sz="8" w:color="DBDBDB"/>
            </w:tcBorders>
            <w:shd w:val="clear" w:color="auto" w:fill="DBDBDB"/>
          </w:tcPr>
          <w:p>
            <w:pPr>
              <w:ind w:left="60"/>
              <w:spacing w:after="0"/>
              <w:rPr>
                <w:sz w:val="20"/>
                <w:szCs w:val="20"/>
                <w:color w:val="auto"/>
              </w:rPr>
            </w:pPr>
            <w:r>
              <w:rPr>
                <w:rFonts w:ascii="Times New Roman" w:cs="Times New Roman" w:eastAsia="Times New Roman" w:hAnsi="Times New Roman"/>
                <w:sz w:val="13"/>
                <w:szCs w:val="13"/>
                <w:color w:val="auto"/>
              </w:rPr>
              <w:t>Effect of foreign currency exchange differences</w:t>
            </w:r>
          </w:p>
        </w:tc>
        <w:tc>
          <w:tcPr>
            <w:tcW w:w="8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12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141</w:t>
            </w:r>
          </w:p>
        </w:tc>
        <w:tc>
          <w:tcPr>
            <w:tcW w:w="24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1,460</w:t>
            </w:r>
          </w:p>
        </w:tc>
      </w:tr>
      <w:tr>
        <w:trPr>
          <w:trHeight w:val="17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(41,479)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(41,459)</w:t>
            </w: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(82,938)</w:t>
            </w:r>
          </w:p>
        </w:tc>
      </w:tr>
      <w:tr>
        <w:trPr>
          <w:trHeight w:val="29"/>
        </w:trPr>
        <w:tc>
          <w:tcPr>
            <w:tcW w:w="706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2"/>
        </w:trPr>
        <w:tc>
          <w:tcPr>
            <w:tcW w:w="7060" w:type="dxa"/>
            <w:vAlign w:val="bottom"/>
            <w:shd w:val="clear" w:color="auto" w:fill="DBDBDB"/>
          </w:tcPr>
          <w:p>
            <w:pPr>
              <w:spacing w:after="0"/>
              <w:rPr>
                <w:sz w:val="14"/>
                <w:szCs w:val="14"/>
                <w:color w:val="auto"/>
              </w:rPr>
            </w:pPr>
          </w:p>
        </w:tc>
        <w:tc>
          <w:tcPr>
            <w:tcW w:w="80" w:type="dxa"/>
            <w:vAlign w:val="bottom"/>
            <w:tcBorders>
              <w:bottom w:val="single" w:sz="8" w:color="auto"/>
            </w:tcBorders>
            <w:shd w:val="clear" w:color="auto" w:fill="DBDBDB"/>
          </w:tcPr>
          <w:p>
            <w:pPr>
              <w:spacing w:after="0"/>
              <w:rPr>
                <w:sz w:val="14"/>
                <w:szCs w:val="14"/>
                <w:color w:val="auto"/>
              </w:rPr>
            </w:pPr>
          </w:p>
        </w:tc>
        <w:tc>
          <w:tcPr>
            <w:tcW w:w="1120" w:type="dxa"/>
            <w:vAlign w:val="bottom"/>
            <w:tcBorders>
              <w:bottom w:val="single" w:sz="8" w:color="auto"/>
            </w:tcBorders>
            <w:shd w:val="clear" w:color="auto" w:fill="DBDBDB"/>
          </w:tcPr>
          <w:p>
            <w:pPr>
              <w:spacing w:after="0"/>
              <w:rPr>
                <w:sz w:val="14"/>
                <w:szCs w:val="14"/>
                <w:color w:val="auto"/>
              </w:rPr>
            </w:pPr>
          </w:p>
        </w:tc>
        <w:tc>
          <w:tcPr>
            <w:tcW w:w="120" w:type="dxa"/>
            <w:vAlign w:val="bottom"/>
            <w:tcBorders>
              <w:bottom w:val="single" w:sz="8" w:color="auto"/>
            </w:tcBorders>
            <w:shd w:val="clear" w:color="auto" w:fill="DBDBDB"/>
          </w:tcPr>
          <w:p>
            <w:pPr>
              <w:spacing w:after="0"/>
              <w:rPr>
                <w:sz w:val="14"/>
                <w:szCs w:val="14"/>
                <w:color w:val="auto"/>
              </w:rPr>
            </w:pPr>
          </w:p>
        </w:tc>
        <w:tc>
          <w:tcPr>
            <w:tcW w:w="1100" w:type="dxa"/>
            <w:vAlign w:val="bottom"/>
            <w:tcBorders>
              <w:bottom w:val="single" w:sz="8" w:color="auto"/>
              <w:right w:val="single" w:sz="8" w:color="auto"/>
            </w:tcBorders>
            <w:shd w:val="clear" w:color="auto" w:fill="DBDBDB"/>
          </w:tcPr>
          <w:p>
            <w:pPr>
              <w:spacing w:after="0"/>
              <w:rPr>
                <w:sz w:val="14"/>
                <w:szCs w:val="14"/>
                <w:color w:val="auto"/>
              </w:rPr>
            </w:pPr>
          </w:p>
        </w:tc>
        <w:tc>
          <w:tcPr>
            <w:tcW w:w="240" w:type="dxa"/>
            <w:vAlign w:val="bottom"/>
            <w:tcBorders>
              <w:bottom w:val="single" w:sz="8" w:color="auto"/>
            </w:tcBorders>
            <w:shd w:val="clear" w:color="auto" w:fill="DBDBDB"/>
          </w:tcPr>
          <w:p>
            <w:pPr>
              <w:spacing w:after="0"/>
              <w:rPr>
                <w:sz w:val="14"/>
                <w:szCs w:val="14"/>
                <w:color w:val="auto"/>
              </w:rPr>
            </w:pPr>
          </w:p>
        </w:tc>
        <w:tc>
          <w:tcPr>
            <w:tcW w:w="920" w:type="dxa"/>
            <w:vAlign w:val="bottom"/>
            <w:tcBorders>
              <w:bottom w:val="single" w:sz="8" w:color="auto"/>
            </w:tcBorders>
            <w:shd w:val="clear" w:color="auto" w:fill="DBDBDB"/>
          </w:tcPr>
          <w:p>
            <w:pPr>
              <w:spacing w:after="0"/>
              <w:rPr>
                <w:sz w:val="14"/>
                <w:szCs w:val="14"/>
                <w:color w:val="auto"/>
              </w:rPr>
            </w:pPr>
          </w:p>
        </w:tc>
      </w:tr>
      <w:tr>
        <w:trPr>
          <w:trHeight w:val="172"/>
        </w:trPr>
        <w:tc>
          <w:tcPr>
            <w:tcW w:w="70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Carrying amount as of June 30, 2024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70,981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9,768</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80,749</w:t>
            </w:r>
          </w:p>
        </w:tc>
      </w:tr>
      <w:tr>
        <w:trPr>
          <w:trHeight w:val="29"/>
        </w:trPr>
        <w:tc>
          <w:tcPr>
            <w:tcW w:w="7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12" w:lineRule="exact"/>
        <w:rPr>
          <w:sz w:val="20"/>
          <w:szCs w:val="20"/>
          <w:color w:val="auto"/>
        </w:rPr>
      </w:pPr>
    </w:p>
    <w:p>
      <w:pPr>
        <w:sectPr>
          <w:pgSz w:w="11900" w:h="16838" w:orient="portrait"/>
          <w:cols w:equalWidth="0" w:num="1">
            <w:col w:w="10960"/>
          </w:cols>
          <w:pgMar w:left="300" w:top="120" w:right="6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Amounts related to leases recognized in the Unaudited Condensed Consolidated Statement of Loss and Comprehensive Loss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73025</wp:posOffset>
            </wp:positionV>
            <wp:extent cx="6438900" cy="1219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38900" cy="121920"/>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323850</wp:posOffset>
            </wp:positionV>
            <wp:extent cx="643890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8900" cy="13462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Income from sub-leasing right-of-use assets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Expense relating to short-term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29210</wp:posOffset>
            </wp:positionV>
            <wp:extent cx="6438900" cy="134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38900" cy="134620"/>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Expense relating to lease of low value assets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Interest expense on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current and non-current portion of the Group’s lease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66040</wp:posOffset>
            </wp:positionV>
            <wp:extent cx="6450965" cy="2197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50965" cy="2197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Current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6450965" cy="134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50965" cy="134620"/>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Current lease liabilities - related parties</w:t>
      </w:r>
    </w:p>
    <w:p>
      <w:pPr>
        <w:spacing w:after="0" w:line="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Non-current lease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29210</wp:posOffset>
            </wp:positionV>
            <wp:extent cx="6450965"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50965" cy="134620"/>
                    </a:xfrm>
                    <a:prstGeom prst="rect">
                      <a:avLst/>
                    </a:prstGeom>
                    <a:noFill/>
                  </pic:spPr>
                </pic:pic>
              </a:graphicData>
            </a:graphic>
          </wp:anchor>
        </w:drawing>
      </w:r>
    </w:p>
    <w:p>
      <w:pPr>
        <w:spacing w:after="0" w:line="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Non-current lease liabilities - related parties</w:t>
      </w:r>
    </w:p>
    <w:p>
      <w:pPr>
        <w:spacing w:after="0" w:line="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Expected future lease payments to be made to satisfy the Group’s lease liabilities are as follows: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24130</wp:posOffset>
            </wp:positionV>
            <wp:extent cx="14414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41450" cy="6350"/>
                    </a:xfrm>
                    <a:prstGeom prst="rect">
                      <a:avLst/>
                    </a:prstGeom>
                    <a:noFill/>
                  </pic:spPr>
                </pic:pic>
              </a:graphicData>
            </a:graphic>
          </wp:anchor>
        </w:drawing>
      </w:r>
    </w:p>
    <w:p>
      <w:pPr>
        <w:spacing w:after="0" w:line="33" w:lineRule="exact"/>
        <w:rPr>
          <w:sz w:val="20"/>
          <w:szCs w:val="20"/>
          <w:color w:val="auto"/>
        </w:rPr>
      </w:pPr>
    </w:p>
    <w:tbl>
      <w:tblPr>
        <w:tblLayout w:type="fixed"/>
        <w:tblInd w:w="420" w:type="dxa"/>
        <w:tblCellMar>
          <w:top w:w="0" w:type="dxa"/>
          <w:left w:w="0" w:type="dxa"/>
          <w:bottom w:w="0" w:type="dxa"/>
          <w:right w:w="0" w:type="dxa"/>
        </w:tblCellMar>
      </w:tblPr>
      <w:tr>
        <w:trPr>
          <w:trHeight w:val="168"/>
        </w:trPr>
        <w:tc>
          <w:tcPr>
            <w:tcW w:w="900" w:type="dxa"/>
            <w:vAlign w:val="bottom"/>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92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02"/>
        </w:trPr>
        <w:tc>
          <w:tcPr>
            <w:tcW w:w="9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1,132</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r>
      <w:tr>
        <w:trPr>
          <w:trHeight w:val="212"/>
        </w:trPr>
        <w:tc>
          <w:tcPr>
            <w:tcW w:w="9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(269)</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(495)</w:t>
            </w:r>
          </w:p>
        </w:tc>
      </w:tr>
      <w:tr>
        <w:trPr>
          <w:trHeight w:val="212"/>
        </w:trPr>
        <w:tc>
          <w:tcPr>
            <w:tcW w:w="9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(4)</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12"/>
        </w:trPr>
        <w:tc>
          <w:tcPr>
            <w:tcW w:w="9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(3,706)</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(2,166)</w:t>
            </w:r>
          </w:p>
        </w:tc>
      </w:tr>
    </w:tbl>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r>
      <w:tr>
        <w:trPr>
          <w:trHeight w:val="178"/>
        </w:trPr>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3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16,857</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19,547</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15,039</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10,628</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43,248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54,439</w:t>
            </w:r>
          </w:p>
        </w:tc>
      </w:tr>
      <w:tr>
        <w:trPr>
          <w:trHeight w:val="212"/>
        </w:trPr>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32,918</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42,634</w:t>
            </w:r>
          </w:p>
        </w:tc>
      </w:tr>
      <w:tr>
        <w:trPr>
          <w:trHeight w:val="29"/>
        </w:trPr>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72"/>
        </w:trPr>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108,062</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127,248</w:t>
            </w:r>
          </w:p>
        </w:tc>
      </w:tr>
      <w:tr>
        <w:trPr>
          <w:trHeight w:val="29"/>
        </w:trPr>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365" w:lineRule="exact"/>
        <w:rPr>
          <w:sz w:val="20"/>
          <w:szCs w:val="20"/>
          <w:color w:val="auto"/>
        </w:rPr>
      </w:pPr>
    </w:p>
    <w:p>
      <w:pPr>
        <w:sectPr>
          <w:pgSz w:w="11900" w:h="16838" w:orient="portrait"/>
          <w:cols w:equalWidth="0" w:num="2">
            <w:col w:w="7740" w:space="720"/>
            <w:col w:w="2500"/>
          </w:cols>
          <w:pgMar w:left="300" w:top="120" w:right="639" w:bottom="1440" w:gutter="0" w:footer="0" w:header="0"/>
          <w:type w:val="continuous"/>
        </w:sectPr>
      </w:pPr>
    </w:p>
    <w:tbl>
      <w:tblPr>
        <w:tblLayout w:type="fixed"/>
        <w:tblInd w:w="560" w:type="dxa"/>
        <w:tblCellMar>
          <w:top w:w="0" w:type="dxa"/>
          <w:left w:w="0" w:type="dxa"/>
          <w:bottom w:w="0" w:type="dxa"/>
          <w:right w:w="0" w:type="dxa"/>
        </w:tblCellMar>
      </w:tblPr>
      <w:tr>
        <w:trPr>
          <w:trHeight w:val="178"/>
        </w:trPr>
        <w:tc>
          <w:tcPr>
            <w:tcW w:w="790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As of December, 31,</w:t>
            </w:r>
          </w:p>
        </w:tc>
      </w:tr>
      <w:tr>
        <w:trPr>
          <w:trHeight w:val="198"/>
        </w:trPr>
        <w:tc>
          <w:tcPr>
            <w:tcW w:w="790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140" w:type="dxa"/>
            <w:vAlign w:val="bottom"/>
            <w:tcBorders>
              <w:bottom w:val="single" w:sz="8" w:color="DBDBDB"/>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Within 1 year</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34,990</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31,627</w:t>
            </w:r>
          </w:p>
        </w:tc>
      </w:tr>
      <w:tr>
        <w:trPr>
          <w:trHeight w:val="202"/>
        </w:trPr>
        <w:tc>
          <w:tcPr>
            <w:tcW w:w="79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Between 1 and 2 years</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32,986</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36,225</w:t>
            </w:r>
          </w:p>
        </w:tc>
      </w:tr>
      <w:tr>
        <w:trPr>
          <w:trHeight w:val="182"/>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Between 2 and 3 years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28,220</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31,487</w:t>
            </w:r>
          </w:p>
        </w:tc>
      </w:tr>
      <w:tr>
        <w:trPr>
          <w:trHeight w:val="29"/>
        </w:trPr>
        <w:tc>
          <w:tcPr>
            <w:tcW w:w="79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2"/>
        </w:trPr>
        <w:tc>
          <w:tcPr>
            <w:tcW w:w="79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Between 3 and 4 years</w:t>
            </w: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13,291</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19,785</w:t>
            </w:r>
          </w:p>
        </w:tc>
      </w:tr>
      <w:tr>
        <w:trPr>
          <w:trHeight w:val="29"/>
        </w:trPr>
        <w:tc>
          <w:tcPr>
            <w:tcW w:w="790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r>
    </w:tbl>
    <w:p>
      <w:pPr>
        <w:spacing w:after="0" w:line="3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0960"/>
          </w:cols>
          <w:pgMar w:left="300" w:top="120" w:right="6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18"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Between 4 and 5 years</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9,943</w:t>
            </w:r>
          </w:p>
        </w:tc>
        <w:tc>
          <w:tcPr>
            <w:tcW w:w="4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11,463</w:t>
            </w:r>
          </w:p>
        </w:tc>
      </w:tr>
      <w:tr>
        <w:trPr>
          <w:trHeight w:val="29"/>
        </w:trPr>
        <w:tc>
          <w:tcPr>
            <w:tcW w:w="7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12"/>
        </w:trPr>
        <w:tc>
          <w:tcPr>
            <w:tcW w:w="79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Later than 5 years</w:t>
            </w:r>
          </w:p>
        </w:tc>
        <w:tc>
          <w:tcPr>
            <w:tcW w:w="36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12,035</w:t>
            </w:r>
          </w:p>
        </w:tc>
        <w:tc>
          <w:tcPr>
            <w:tcW w:w="40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15,458</w:t>
            </w:r>
          </w:p>
        </w:tc>
      </w:tr>
      <w:tr>
        <w:trPr>
          <w:trHeight w:val="172"/>
        </w:trPr>
        <w:tc>
          <w:tcPr>
            <w:tcW w:w="7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6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131,465</w:t>
            </w:r>
          </w:p>
        </w:tc>
        <w:tc>
          <w:tcPr>
            <w:tcW w:w="40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146,045</w:t>
            </w:r>
          </w:p>
        </w:tc>
      </w:tr>
      <w:tr>
        <w:trPr>
          <w:trHeight w:val="29"/>
        </w:trPr>
        <w:tc>
          <w:tcPr>
            <w:tcW w:w="79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the six months ended June 30, 2024, total cash outflows for leases, inclusive of interest paid, amounted to $16,240.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Polestar Group as Lessor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 lessor, revenue recognized from operating leases is as follows:</w:t>
      </w:r>
    </w:p>
    <w:p>
      <w:pPr>
        <w:spacing w:after="0" w:line="104" w:lineRule="exact"/>
        <w:rPr>
          <w:sz w:val="20"/>
          <w:szCs w:val="20"/>
          <w:color w:val="auto"/>
        </w:rPr>
      </w:pPr>
    </w:p>
    <w:tbl>
      <w:tblPr>
        <w:tblLayout w:type="fixed"/>
        <w:tblInd w:w="1020" w:type="dxa"/>
        <w:tblCellMar>
          <w:top w:w="0" w:type="dxa"/>
          <w:left w:w="0" w:type="dxa"/>
          <w:bottom w:w="0" w:type="dxa"/>
          <w:right w:w="0" w:type="dxa"/>
        </w:tblCellMar>
      </w:tblPr>
      <w:tr>
        <w:trPr>
          <w:trHeight w:val="190"/>
        </w:trPr>
        <w:tc>
          <w:tcPr>
            <w:tcW w:w="7180" w:type="dxa"/>
            <w:vAlign w:val="bottom"/>
            <w:shd w:val="clear" w:color="auto" w:fill="DBDBDB"/>
          </w:tcPr>
          <w:p>
            <w:pPr>
              <w:spacing w:after="0"/>
              <w:rPr>
                <w:sz w:val="16"/>
                <w:szCs w:val="16"/>
                <w:color w:val="auto"/>
              </w:rPr>
            </w:pPr>
          </w:p>
        </w:tc>
        <w:tc>
          <w:tcPr>
            <w:tcW w:w="2080" w:type="dxa"/>
            <w:vAlign w:val="bottom"/>
            <w:tcBorders>
              <w:bottom w:val="single" w:sz="8" w:color="auto"/>
            </w:tcBorders>
            <w:gridSpan w:val="2"/>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4"/>
        </w:trPr>
        <w:tc>
          <w:tcPr>
            <w:tcW w:w="7180" w:type="dxa"/>
            <w:vAlign w:val="bottom"/>
            <w:tcBorders>
              <w:bottom w:val="single" w:sz="8" w:color="DBDBDB"/>
            </w:tcBorders>
          </w:tcPr>
          <w:p>
            <w:pPr>
              <w:spacing w:after="0"/>
              <w:rPr>
                <w:sz w:val="15"/>
                <w:szCs w:val="15"/>
                <w:color w:val="auto"/>
              </w:rPr>
            </w:pPr>
          </w:p>
        </w:tc>
        <w:tc>
          <w:tcPr>
            <w:tcW w:w="12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718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Vehicle leasing revenue</w:t>
            </w:r>
          </w:p>
        </w:tc>
        <w:tc>
          <w:tcPr>
            <w:tcW w:w="1200" w:type="dxa"/>
            <w:vAlign w:val="bottom"/>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color w:val="auto"/>
              </w:rPr>
              <w:t>11,566</w:t>
            </w:r>
          </w:p>
        </w:tc>
        <w:tc>
          <w:tcPr>
            <w:tcW w:w="8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7,493</w:t>
            </w:r>
          </w:p>
        </w:tc>
      </w:tr>
      <w:tr>
        <w:trPr>
          <w:trHeight w:val="29"/>
        </w:trPr>
        <w:tc>
          <w:tcPr>
            <w:tcW w:w="718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880" w:type="dxa"/>
            <w:vAlign w:val="bottom"/>
            <w:shd w:val="clear" w:color="auto" w:fill="DBDBDB"/>
          </w:tcPr>
          <w:p>
            <w:pPr>
              <w:spacing w:after="0"/>
              <w:rPr>
                <w:sz w:val="2"/>
                <w:szCs w:val="2"/>
                <w:color w:val="auto"/>
              </w:rPr>
            </w:pPr>
          </w:p>
        </w:tc>
      </w:tr>
    </w:tbl>
    <w:p>
      <w:pPr>
        <w:spacing w:after="0" w:line="11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3"/>
          <w:szCs w:val="13"/>
          <w:color w:val="auto"/>
        </w:rPr>
        <w:t>For the majority of the Group’s operating lease contracts as a lessor, vehicles are paid for upfront by the customer at contract inception and repurchased by Polestar at the end of the lease term. The following table depicts the changes in the Group’s vehicles under operating leases: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0040" w:type="dxa"/>
            <w:vAlign w:val="bottom"/>
            <w:shd w:val="clear" w:color="auto" w:fill="DBDBDB"/>
          </w:tcPr>
          <w:p>
            <w:pPr>
              <w:spacing w:after="0"/>
              <w:rPr>
                <w:sz w:val="13"/>
                <w:szCs w:val="13"/>
                <w:color w:val="auto"/>
              </w:rPr>
            </w:pPr>
          </w:p>
        </w:tc>
        <w:tc>
          <w:tcPr>
            <w:tcW w:w="1240" w:type="dxa"/>
            <w:vAlign w:val="bottom"/>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Vehicles under</w:t>
            </w:r>
          </w:p>
        </w:tc>
      </w:tr>
      <w:tr>
        <w:trPr>
          <w:trHeight w:val="188"/>
        </w:trPr>
        <w:tc>
          <w:tcPr>
            <w:tcW w:w="10040" w:type="dxa"/>
            <w:vAlign w:val="bottom"/>
            <w:shd w:val="clear" w:color="auto" w:fill="DBDBDB"/>
          </w:tcPr>
          <w:p>
            <w:pPr>
              <w:spacing w:after="0"/>
              <w:rPr>
                <w:sz w:val="16"/>
                <w:szCs w:val="16"/>
                <w:color w:val="auto"/>
              </w:rPr>
            </w:pPr>
          </w:p>
        </w:tc>
        <w:tc>
          <w:tcPr>
            <w:tcW w:w="1240" w:type="dxa"/>
            <w:vAlign w:val="bottom"/>
            <w:tcBorders>
              <w:bottom w:val="single" w:sz="8" w:color="auto"/>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operating leases</w:t>
            </w:r>
          </w:p>
        </w:tc>
      </w:tr>
      <w:tr>
        <w:trPr>
          <w:trHeight w:val="162"/>
        </w:trPr>
        <w:tc>
          <w:tcPr>
            <w:tcW w:w="10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1240" w:type="dxa"/>
            <w:vAlign w:val="bottom"/>
          </w:tcPr>
          <w:p>
            <w:pPr>
              <w:spacing w:after="0"/>
              <w:rPr>
                <w:sz w:val="14"/>
                <w:szCs w:val="14"/>
                <w:color w:val="auto"/>
              </w:rPr>
            </w:pPr>
          </w:p>
        </w:tc>
      </w:tr>
      <w:tr>
        <w:trPr>
          <w:trHeight w:val="29"/>
        </w:trPr>
        <w:tc>
          <w:tcPr>
            <w:tcW w:w="100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100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141,448</w:t>
            </w:r>
          </w:p>
        </w:tc>
      </w:tr>
      <w:tr>
        <w:trPr>
          <w:trHeight w:val="182"/>
        </w:trPr>
        <w:tc>
          <w:tcPr>
            <w:tcW w:w="10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Reclassification from inventory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43,503</w:t>
            </w:r>
          </w:p>
        </w:tc>
      </w:tr>
      <w:tr>
        <w:trPr>
          <w:trHeight w:val="29"/>
        </w:trPr>
        <w:tc>
          <w:tcPr>
            <w:tcW w:w="100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2"/>
        </w:trPr>
        <w:tc>
          <w:tcPr>
            <w:tcW w:w="100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Reclassification to inventory</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(42,380)</w:t>
            </w:r>
          </w:p>
        </w:tc>
      </w:tr>
      <w:tr>
        <w:trPr>
          <w:trHeight w:val="182"/>
        </w:trPr>
        <w:tc>
          <w:tcPr>
            <w:tcW w:w="10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(4,716)</w:t>
            </w: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46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280" w:type="dxa"/>
            <w:vAlign w:val="bottom"/>
            <w:tcBorders>
              <w:top w:val="single" w:sz="8" w:color="DBDBDB"/>
              <w:bottom w:val="single" w:sz="8" w:color="DBDBDB"/>
            </w:tcBorders>
            <w:shd w:val="clear" w:color="auto" w:fill="DBDBDB"/>
          </w:tcPr>
          <w:p>
            <w:pPr>
              <w:spacing w:after="0"/>
              <w:rPr>
                <w:sz w:val="19"/>
                <w:szCs w:val="19"/>
                <w:color w:val="auto"/>
              </w:rPr>
            </w:pPr>
          </w:p>
        </w:tc>
        <w:tc>
          <w:tcPr>
            <w:tcW w:w="300" w:type="dxa"/>
            <w:vAlign w:val="bottom"/>
            <w:tcBorders>
              <w:top w:val="single" w:sz="8" w:color="DBDBDB"/>
              <w:bottom w:val="single" w:sz="8" w:color="DBDBDB"/>
            </w:tcBorders>
            <w:shd w:val="clear" w:color="auto" w:fill="DBDBDB"/>
          </w:tcPr>
          <w:p>
            <w:pPr>
              <w:spacing w:after="0"/>
              <w:rPr>
                <w:sz w:val="19"/>
                <w:szCs w:val="19"/>
                <w:color w:val="auto"/>
              </w:rPr>
            </w:pPr>
          </w:p>
        </w:tc>
        <w:tc>
          <w:tcPr>
            <w:tcW w:w="720" w:type="dxa"/>
            <w:vAlign w:val="bottom"/>
            <w:tcBorders>
              <w:top w:val="single" w:sz="8" w:color="auto"/>
              <w:bottom w:val="single" w:sz="8" w:color="DBDBDB"/>
            </w:tcBorders>
            <w:shd w:val="clear" w:color="auto" w:fill="DBDBDB"/>
          </w:tcPr>
          <w:p>
            <w:pPr>
              <w:jc w:val="right"/>
              <w:ind w:right="6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137,855</w:t>
            </w:r>
          </w:p>
        </w:tc>
        <w:tc>
          <w:tcPr>
            <w:tcW w:w="0" w:type="dxa"/>
            <w:vAlign w:val="bottom"/>
          </w:tcPr>
          <w:p>
            <w:pPr>
              <w:spacing w:after="0"/>
              <w:rPr>
                <w:sz w:val="1"/>
                <w:szCs w:val="1"/>
                <w:color w:val="auto"/>
              </w:rPr>
            </w:pPr>
          </w:p>
        </w:tc>
      </w:tr>
      <w:tr>
        <w:trPr>
          <w:trHeight w:val="16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 depreciation</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2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(73,517)</w:t>
            </w:r>
          </w:p>
        </w:tc>
        <w:tc>
          <w:tcPr>
            <w:tcW w:w="0" w:type="dxa"/>
            <w:vAlign w:val="bottom"/>
          </w:tcPr>
          <w:p>
            <w:pPr>
              <w:spacing w:after="0"/>
              <w:rPr>
                <w:sz w:val="1"/>
                <w:szCs w:val="1"/>
                <w:color w:val="auto"/>
              </w:rPr>
            </w:pPr>
          </w:p>
        </w:tc>
      </w:tr>
      <w:tr>
        <w:trPr>
          <w:trHeight w:val="18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Reclassification to inventory</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5,930</w:t>
            </w: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Depreciation expense</w:t>
            </w:r>
          </w:p>
        </w:tc>
        <w:tc>
          <w:tcPr>
            <w:tcW w:w="1280" w:type="dxa"/>
            <w:vAlign w:val="bottom"/>
            <w:tcBorders>
              <w:bottom w:val="single" w:sz="8" w:color="DBDBDB"/>
            </w:tcBorders>
            <w:shd w:val="clear" w:color="auto" w:fill="DBDBDB"/>
          </w:tcPr>
          <w:p>
            <w:pPr>
              <w:spacing w:after="0"/>
              <w:rPr>
                <w:sz w:val="16"/>
                <w:szCs w:val="16"/>
                <w:color w:val="auto"/>
              </w:rPr>
            </w:pPr>
          </w:p>
        </w:tc>
        <w:tc>
          <w:tcPr>
            <w:tcW w:w="30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(2,189)</w:t>
            </w:r>
          </w:p>
        </w:tc>
        <w:tc>
          <w:tcPr>
            <w:tcW w:w="0" w:type="dxa"/>
            <w:vAlign w:val="bottom"/>
          </w:tcPr>
          <w:p>
            <w:pPr>
              <w:spacing w:after="0"/>
              <w:rPr>
                <w:sz w:val="1"/>
                <w:szCs w:val="1"/>
                <w:color w:val="auto"/>
              </w:rPr>
            </w:pPr>
          </w:p>
        </w:tc>
      </w:tr>
      <w:tr>
        <w:trPr>
          <w:trHeight w:val="18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0" w:type="dxa"/>
            <w:vAlign w:val="bottom"/>
          </w:tcPr>
          <w:p>
            <w:pPr>
              <w:spacing w:after="0"/>
              <w:rPr>
                <w:sz w:val="1"/>
                <w:szCs w:val="1"/>
                <w:color w:val="auto"/>
              </w:rPr>
            </w:pPr>
          </w:p>
        </w:tc>
      </w:tr>
      <w:tr>
        <w:trPr>
          <w:trHeight w:val="29"/>
        </w:trPr>
        <w:tc>
          <w:tcPr>
            <w:tcW w:w="520" w:type="dxa"/>
            <w:vAlign w:val="bottom"/>
            <w:tcBorders>
              <w:bottom w:val="single" w:sz="8" w:color="DBDBDB"/>
            </w:tcBorders>
          </w:tcPr>
          <w:p>
            <w:pPr>
              <w:spacing w:after="0"/>
              <w:rPr>
                <w:sz w:val="2"/>
                <w:szCs w:val="2"/>
                <w:color w:val="auto"/>
              </w:rPr>
            </w:pPr>
          </w:p>
        </w:tc>
        <w:tc>
          <w:tcPr>
            <w:tcW w:w="7940" w:type="dxa"/>
            <w:vAlign w:val="bottom"/>
            <w:tcBorders>
              <w:bottom w:val="single" w:sz="8" w:color="DBDBDB"/>
            </w:tcBorders>
          </w:tcPr>
          <w:p>
            <w:pPr>
              <w:spacing w:after="0"/>
              <w:rPr>
                <w:sz w:val="2"/>
                <w:szCs w:val="2"/>
                <w:color w:val="auto"/>
              </w:rPr>
            </w:pPr>
          </w:p>
        </w:tc>
        <w:tc>
          <w:tcPr>
            <w:tcW w:w="1280" w:type="dxa"/>
            <w:vAlign w:val="bottom"/>
            <w:tcBorders>
              <w:bottom w:val="single" w:sz="8" w:color="DBDBDB"/>
            </w:tcBorders>
          </w:tcPr>
          <w:p>
            <w:pPr>
              <w:spacing w:after="0"/>
              <w:rPr>
                <w:sz w:val="2"/>
                <w:szCs w:val="2"/>
                <w:color w:val="auto"/>
              </w:rPr>
            </w:pPr>
          </w:p>
        </w:tc>
        <w:tc>
          <w:tcPr>
            <w:tcW w:w="300" w:type="dxa"/>
            <w:vAlign w:val="bottom"/>
            <w:tcBorders>
              <w:bottom w:val="single" w:sz="8" w:color="DBDBDB"/>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6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280" w:type="dxa"/>
            <w:vAlign w:val="bottom"/>
            <w:tcBorders>
              <w:bottom w:val="single" w:sz="8" w:color="DBDBDB"/>
            </w:tcBorders>
            <w:shd w:val="clear" w:color="auto" w:fill="DBDBDB"/>
          </w:tcPr>
          <w:p>
            <w:pPr>
              <w:spacing w:after="0"/>
              <w:rPr>
                <w:sz w:val="17"/>
                <w:szCs w:val="17"/>
                <w:color w:val="auto"/>
              </w:rPr>
            </w:pPr>
          </w:p>
        </w:tc>
        <w:tc>
          <w:tcPr>
            <w:tcW w:w="30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ind w:right="6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(68,677)</w:t>
            </w:r>
          </w:p>
        </w:tc>
        <w:tc>
          <w:tcPr>
            <w:tcW w:w="0" w:type="dxa"/>
            <w:vAlign w:val="bottom"/>
          </w:tcPr>
          <w:p>
            <w:pPr>
              <w:spacing w:after="0"/>
              <w:rPr>
                <w:sz w:val="1"/>
                <w:szCs w:val="1"/>
                <w:color w:val="auto"/>
              </w:rPr>
            </w:pPr>
          </w:p>
        </w:tc>
      </w:tr>
      <w:tr>
        <w:trPr>
          <w:trHeight w:val="172"/>
        </w:trPr>
        <w:tc>
          <w:tcPr>
            <w:tcW w:w="8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Carrying amount as of June 30, 2024</w:t>
            </w: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Borders>
              <w:top w:val="single" w:sz="8" w:color="auto"/>
            </w:tcBorders>
          </w:tcPr>
          <w:p>
            <w:pPr>
              <w:jc w:val="right"/>
              <w:ind w:right="6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69,178</w:t>
            </w:r>
          </w:p>
        </w:tc>
        <w:tc>
          <w:tcPr>
            <w:tcW w:w="0" w:type="dxa"/>
            <w:vAlign w:val="bottom"/>
          </w:tcPr>
          <w:p>
            <w:pPr>
              <w:spacing w:after="0"/>
              <w:rPr>
                <w:sz w:val="1"/>
                <w:szCs w:val="1"/>
                <w:color w:val="auto"/>
              </w:rPr>
            </w:pPr>
          </w:p>
        </w:tc>
      </w:tr>
      <w:tr>
        <w:trPr>
          <w:trHeight w:val="29"/>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Note 7 - Net loss per share</w:t>
            </w: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5"/>
        </w:trPr>
        <w:tc>
          <w:tcPr>
            <w:tcW w:w="84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following table presents the computation of basic and diluted net loss per share for the six months ended June 30, 2024 and 2023:</w:t>
            </w: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520" w:type="dxa"/>
            <w:vAlign w:val="bottom"/>
          </w:tcPr>
          <w:p>
            <w:pPr>
              <w:spacing w:after="0"/>
              <w:rPr>
                <w:sz w:val="6"/>
                <w:szCs w:val="6"/>
                <w:color w:val="auto"/>
              </w:rPr>
            </w:pPr>
          </w:p>
        </w:tc>
        <w:tc>
          <w:tcPr>
            <w:tcW w:w="7940" w:type="dxa"/>
            <w:vAlign w:val="bottom"/>
          </w:tcPr>
          <w:p>
            <w:pPr>
              <w:spacing w:after="0"/>
              <w:rPr>
                <w:sz w:val="6"/>
                <w:szCs w:val="6"/>
                <w:color w:val="auto"/>
              </w:rPr>
            </w:pPr>
          </w:p>
        </w:tc>
        <w:tc>
          <w:tcPr>
            <w:tcW w:w="2300" w:type="dxa"/>
            <w:vAlign w:val="bottom"/>
            <w:gridSpan w:val="3"/>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7940" w:type="dxa"/>
            <w:vAlign w:val="bottom"/>
            <w:shd w:val="clear" w:color="auto" w:fill="DBDBDB"/>
          </w:tcPr>
          <w:p>
            <w:pPr>
              <w:spacing w:after="0"/>
              <w:rPr>
                <w:sz w:val="15"/>
                <w:szCs w:val="15"/>
                <w:color w:val="auto"/>
              </w:rPr>
            </w:pPr>
          </w:p>
        </w:tc>
        <w:tc>
          <w:tcPr>
            <w:tcW w:w="2300" w:type="dxa"/>
            <w:vAlign w:val="bottom"/>
            <w:tcBorders>
              <w:bottom w:val="single" w:sz="8" w:color="auto"/>
            </w:tcBorders>
            <w:gridSpan w:val="3"/>
            <w:shd w:val="clear" w:color="auto" w:fill="DBDBDB"/>
          </w:tcPr>
          <w:p>
            <w:pPr>
              <w:jc w:val="right"/>
              <w:ind w:right="167"/>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128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20" w:type="dxa"/>
            <w:vAlign w:val="bottom"/>
            <w:gridSpan w:val="2"/>
          </w:tcPr>
          <w:p>
            <w:pPr>
              <w:jc w:val="right"/>
              <w:ind w:right="38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520" w:type="dxa"/>
            <w:vAlign w:val="bottom"/>
          </w:tcPr>
          <w:p>
            <w:pPr>
              <w:spacing w:after="0"/>
              <w:rPr>
                <w:sz w:val="16"/>
                <w:szCs w:val="16"/>
                <w:color w:val="auto"/>
              </w:rPr>
            </w:pPr>
          </w:p>
        </w:tc>
        <w:tc>
          <w:tcPr>
            <w:tcW w:w="7940" w:type="dxa"/>
            <w:vAlign w:val="bottom"/>
            <w:shd w:val="clear" w:color="auto" w:fill="DBDBDB"/>
          </w:tcPr>
          <w:p>
            <w:pPr>
              <w:spacing w:after="0"/>
              <w:rPr>
                <w:sz w:val="16"/>
                <w:szCs w:val="16"/>
                <w:color w:val="auto"/>
              </w:rPr>
            </w:pPr>
          </w:p>
        </w:tc>
        <w:tc>
          <w:tcPr>
            <w:tcW w:w="1280" w:type="dxa"/>
            <w:vAlign w:val="bottom"/>
            <w:tcBorders>
              <w:bottom w:val="single" w:sz="8" w:color="auto"/>
            </w:tcBorders>
            <w:shd w:val="clear" w:color="auto" w:fill="DBDBDB"/>
          </w:tcPr>
          <w:p>
            <w:pPr>
              <w:spacing w:after="0"/>
              <w:rPr>
                <w:sz w:val="16"/>
                <w:szCs w:val="16"/>
                <w:color w:val="auto"/>
              </w:rPr>
            </w:pPr>
          </w:p>
        </w:tc>
        <w:tc>
          <w:tcPr>
            <w:tcW w:w="1020" w:type="dxa"/>
            <w:vAlign w:val="bottom"/>
            <w:tcBorders>
              <w:bottom w:val="single" w:sz="8" w:color="auto"/>
            </w:tcBorders>
            <w:gridSpan w:val="2"/>
            <w:shd w:val="clear" w:color="auto" w:fill="DBDBDB"/>
          </w:tcPr>
          <w:p>
            <w:pPr>
              <w:jc w:val="right"/>
              <w:ind w:right="247"/>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tcBorders>
              <w:bottom w:val="single" w:sz="8" w:color="DBDBDB"/>
            </w:tcBorders>
          </w:tcPr>
          <w:p>
            <w:pPr>
              <w:spacing w:after="0"/>
              <w:rPr>
                <w:sz w:val="15"/>
                <w:szCs w:val="15"/>
                <w:color w:val="auto"/>
              </w:rPr>
            </w:pPr>
          </w:p>
        </w:tc>
        <w:tc>
          <w:tcPr>
            <w:tcW w:w="2300" w:type="dxa"/>
            <w:vAlign w:val="bottom"/>
            <w:tcBorders>
              <w:bottom w:val="single" w:sz="8" w:color="auto"/>
            </w:tcBorders>
            <w:gridSpan w:val="3"/>
          </w:tcPr>
          <w:p>
            <w:pPr>
              <w:jc w:val="right"/>
              <w:ind w:right="447"/>
              <w:spacing w:after="0"/>
              <w:rPr>
                <w:sz w:val="20"/>
                <w:szCs w:val="20"/>
                <w:color w:val="auto"/>
              </w:rPr>
            </w:pPr>
            <w:r>
              <w:rPr>
                <w:rFonts w:ascii="Times New Roman" w:cs="Times New Roman" w:eastAsia="Times New Roman" w:hAnsi="Times New Roman"/>
                <w:sz w:val="13"/>
                <w:szCs w:val="13"/>
                <w:b w:val="1"/>
                <w:bCs w:val="1"/>
                <w:color w:val="auto"/>
              </w:rPr>
              <w:t>Class A and B Common</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20" w:type="dxa"/>
            <w:vAlign w:val="bottom"/>
          </w:tcPr>
          <w:p>
            <w:pPr>
              <w:spacing w:after="0"/>
              <w:rPr>
                <w:sz w:val="16"/>
                <w:szCs w:val="16"/>
                <w:color w:val="auto"/>
              </w:rPr>
            </w:pPr>
          </w:p>
        </w:tc>
        <w:tc>
          <w:tcPr>
            <w:tcW w:w="79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Net loss attributable to common shareholders</w:t>
            </w:r>
          </w:p>
        </w:tc>
        <w:tc>
          <w:tcPr>
            <w:tcW w:w="128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(539,485)</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(340,830)</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Weighted-average number of common shares outstanding:</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20" w:type="dxa"/>
            <w:vAlign w:val="bottom"/>
          </w:tcPr>
          <w:p>
            <w:pPr>
              <w:spacing w:after="0"/>
              <w:rPr>
                <w:sz w:val="16"/>
                <w:szCs w:val="16"/>
                <w:color w:val="auto"/>
              </w:rPr>
            </w:pPr>
          </w:p>
        </w:tc>
        <w:tc>
          <w:tcPr>
            <w:tcW w:w="7940" w:type="dxa"/>
            <w:vAlign w:val="bottom"/>
            <w:tcBorders>
              <w:bottom w:val="single" w:sz="8" w:color="DBDBDB"/>
            </w:tcBorders>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Basic and diluted</w:t>
            </w:r>
          </w:p>
        </w:tc>
        <w:tc>
          <w:tcPr>
            <w:tcW w:w="1280" w:type="dxa"/>
            <w:vAlign w:val="bottom"/>
            <w:tcBorders>
              <w:bottom w:val="single" w:sz="8" w:color="DBDBDB"/>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2,110,214</w:t>
            </w:r>
          </w:p>
        </w:tc>
        <w:tc>
          <w:tcPr>
            <w:tcW w:w="10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2,109,952</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per share (in ones):</w:t>
            </w: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20" w:type="dxa"/>
            <w:vAlign w:val="bottom"/>
          </w:tcPr>
          <w:p>
            <w:pPr>
              <w:spacing w:after="0"/>
              <w:rPr>
                <w:sz w:val="15"/>
                <w:szCs w:val="15"/>
                <w:color w:val="auto"/>
              </w:rPr>
            </w:pPr>
          </w:p>
        </w:tc>
        <w:tc>
          <w:tcPr>
            <w:tcW w:w="7940" w:type="dxa"/>
            <w:vAlign w:val="bottom"/>
            <w:shd w:val="clear" w:color="auto" w:fill="DBDBDB"/>
          </w:tcPr>
          <w:p>
            <w:pPr>
              <w:ind w:left="100"/>
              <w:spacing w:after="0"/>
              <w:rPr>
                <w:sz w:val="20"/>
                <w:szCs w:val="20"/>
                <w:color w:val="auto"/>
              </w:rPr>
            </w:pPr>
            <w:r>
              <w:rPr>
                <w:rFonts w:ascii="Times New Roman" w:cs="Times New Roman" w:eastAsia="Times New Roman" w:hAnsi="Times New Roman"/>
                <w:sz w:val="13"/>
                <w:szCs w:val="13"/>
                <w:color w:val="auto"/>
              </w:rPr>
              <w:t>Basic and diluted</w:t>
            </w:r>
          </w:p>
        </w:tc>
        <w:tc>
          <w:tcPr>
            <w:tcW w:w="1280" w:type="dxa"/>
            <w:vAlign w:val="bottom"/>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(0.26)</w:t>
            </w:r>
          </w:p>
        </w:tc>
        <w:tc>
          <w:tcPr>
            <w:tcW w:w="10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20" w:type="dxa"/>
            <w:vAlign w:val="bottom"/>
          </w:tcPr>
          <w:p>
            <w:pPr>
              <w:spacing w:after="0"/>
              <w:rPr>
                <w:sz w:val="2"/>
                <w:szCs w:val="2"/>
                <w:color w:val="auto"/>
              </w:rPr>
            </w:pPr>
          </w:p>
        </w:tc>
        <w:tc>
          <w:tcPr>
            <w:tcW w:w="794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30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presents shares that were not included in the calculation of diluted loss per share as their effects would have been antidilutive for the six months ended June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443865</wp:posOffset>
            </wp:positionH>
            <wp:positionV relativeFrom="paragraph">
              <wp:posOffset>59690</wp:posOffset>
            </wp:positionV>
            <wp:extent cx="6285865" cy="1219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85865" cy="121920"/>
                    </a:xfrm>
                    <a:prstGeom prst="rect">
                      <a:avLst/>
                    </a:prstGeom>
                    <a:noFill/>
                  </pic:spPr>
                </pic:pic>
              </a:graphicData>
            </a:graphic>
          </wp:anchor>
        </w:drawing>
      </w:r>
    </w:p>
    <w:p>
      <w:pPr>
        <w:spacing w:after="0" w:line="79"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24130</wp:posOffset>
            </wp:positionV>
            <wp:extent cx="141732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7320" cy="6350"/>
                    </a:xfrm>
                    <a:prstGeom prst="rect">
                      <a:avLst/>
                    </a:prstGeom>
                    <a:noFill/>
                  </pic:spPr>
                </pic:pic>
              </a:graphicData>
            </a:graphic>
          </wp:anchor>
        </w:drawing>
      </w:r>
    </w:p>
    <w:p>
      <w:pPr>
        <w:spacing w:after="0" w:line="33" w:lineRule="exact"/>
        <w:rPr>
          <w:sz w:val="20"/>
          <w:szCs w:val="20"/>
          <w:color w:val="auto"/>
        </w:rPr>
      </w:pPr>
    </w:p>
    <w:p>
      <w:pPr>
        <w:ind w:left="8800"/>
        <w:spacing w:after="0"/>
        <w:tabs>
          <w:tab w:leader="none" w:pos="9880" w:val="left"/>
        </w:tabs>
        <w:rPr>
          <w:sz w:val="20"/>
          <w:szCs w:val="20"/>
          <w:color w:val="auto"/>
        </w:rPr>
      </w:pPr>
      <w:r>
        <w:rPr>
          <w:rFonts w:ascii="Times New Roman" w:cs="Times New Roman" w:eastAsia="Times New Roman" w:hAnsi="Times New Roman"/>
          <w:sz w:val="13"/>
          <w:szCs w:val="13"/>
          <w:b w:val="1"/>
          <w:bCs w:val="1"/>
          <w:color w:val="auto"/>
        </w:rPr>
        <w:t>2024</w:t>
      </w:r>
      <w:r>
        <w:rPr>
          <w:sz w:val="20"/>
          <w:szCs w:val="20"/>
          <w:color w:val="auto"/>
        </w:rPr>
        <w:tab/>
      </w:r>
      <w:r>
        <w:rPr>
          <w:rFonts w:ascii="Times New Roman" w:cs="Times New Roman" w:eastAsia="Times New Roman" w:hAnsi="Times New Roman"/>
          <w:sz w:val="13"/>
          <w:szCs w:val="13"/>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5313045</wp:posOffset>
            </wp:positionH>
            <wp:positionV relativeFrom="paragraph">
              <wp:posOffset>24130</wp:posOffset>
            </wp:positionV>
            <wp:extent cx="141732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17320" cy="635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60" w:type="dxa"/>
            <w:vAlign w:val="bottom"/>
            <w:tcBorders>
              <w:top w:val="single" w:sz="8" w:color="DBDBDB"/>
            </w:tcBorders>
            <w:shd w:val="clear" w:color="auto" w:fill="DBDBDB"/>
          </w:tcPr>
          <w:p>
            <w:pPr>
              <w:spacing w:after="0"/>
              <w:rPr>
                <w:sz w:val="16"/>
                <w:szCs w:val="16"/>
                <w:color w:val="auto"/>
              </w:rPr>
            </w:pPr>
          </w:p>
        </w:tc>
        <w:tc>
          <w:tcPr>
            <w:tcW w:w="60" w:type="dxa"/>
            <w:vAlign w:val="bottom"/>
            <w:tcBorders>
              <w:top w:val="single" w:sz="8" w:color="auto"/>
              <w:bottom w:val="single" w:sz="8" w:color="auto"/>
            </w:tcBorders>
            <w:shd w:val="clear" w:color="auto" w:fill="DBDBDB"/>
          </w:tcPr>
          <w:p>
            <w:pPr>
              <w:spacing w:after="0"/>
              <w:rPr>
                <w:sz w:val="16"/>
                <w:szCs w:val="16"/>
                <w:color w:val="auto"/>
              </w:rPr>
            </w:pPr>
          </w:p>
        </w:tc>
        <w:tc>
          <w:tcPr>
            <w:tcW w:w="220" w:type="dxa"/>
            <w:vAlign w:val="bottom"/>
            <w:tcBorders>
              <w:top w:val="single" w:sz="8" w:color="auto"/>
              <w:bottom w:val="single" w:sz="8" w:color="auto"/>
            </w:tcBorders>
            <w:shd w:val="clear" w:color="auto" w:fill="DBDBDB"/>
          </w:tcPr>
          <w:p>
            <w:pPr>
              <w:spacing w:after="0"/>
              <w:rPr>
                <w:sz w:val="16"/>
                <w:szCs w:val="16"/>
                <w:color w:val="auto"/>
              </w:rPr>
            </w:pPr>
          </w:p>
        </w:tc>
        <w:tc>
          <w:tcPr>
            <w:tcW w:w="900" w:type="dxa"/>
            <w:vAlign w:val="bottom"/>
            <w:tcBorders>
              <w:top w:val="single" w:sz="8" w:color="auto"/>
              <w:bottom w:val="single" w:sz="8" w:color="auto"/>
            </w:tcBorders>
            <w:shd w:val="clear" w:color="auto" w:fill="DBDBDB"/>
          </w:tcPr>
          <w:p>
            <w:pPr>
              <w:spacing w:after="0"/>
              <w:rPr>
                <w:sz w:val="16"/>
                <w:szCs w:val="16"/>
                <w:color w:val="auto"/>
              </w:rPr>
            </w:pPr>
          </w:p>
        </w:tc>
        <w:tc>
          <w:tcPr>
            <w:tcW w:w="140" w:type="dxa"/>
            <w:vAlign w:val="bottom"/>
            <w:tcBorders>
              <w:top w:val="single" w:sz="8" w:color="auto"/>
              <w:bottom w:val="single" w:sz="8" w:color="auto"/>
            </w:tcBorders>
            <w:shd w:val="clear" w:color="auto" w:fill="DBDBDB"/>
          </w:tcPr>
          <w:p>
            <w:pPr>
              <w:spacing w:after="0"/>
              <w:rPr>
                <w:sz w:val="16"/>
                <w:szCs w:val="16"/>
                <w:color w:val="auto"/>
              </w:rPr>
            </w:pPr>
          </w:p>
        </w:tc>
        <w:tc>
          <w:tcPr>
            <w:tcW w:w="920" w:type="dxa"/>
            <w:vAlign w:val="bottom"/>
            <w:tcBorders>
              <w:top w:val="single" w:sz="8" w:color="auto"/>
              <w:bottom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p>
        </w:tc>
        <w:tc>
          <w:tcPr>
            <w:tcW w:w="80" w:type="dxa"/>
            <w:vAlign w:val="bottom"/>
          </w:tcPr>
          <w:p>
            <w:pPr>
              <w:spacing w:after="0"/>
              <w:rPr>
                <w:sz w:val="16"/>
                <w:szCs w:val="16"/>
                <w:color w:val="auto"/>
              </w:rPr>
            </w:pPr>
          </w:p>
        </w:tc>
      </w:tr>
      <w:tr>
        <w:trPr>
          <w:trHeight w:val="182"/>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3"/>
                <w:szCs w:val="13"/>
                <w:color w:val="auto"/>
              </w:rPr>
              <w:t>Earn-out Shares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158,177,609</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158,177,609</w:t>
            </w:r>
          </w:p>
        </w:tc>
        <w:tc>
          <w:tcPr>
            <w:tcW w:w="80" w:type="dxa"/>
            <w:vAlign w:val="bottom"/>
          </w:tcPr>
          <w:p>
            <w:pPr>
              <w:spacing w:after="0"/>
              <w:rPr>
                <w:sz w:val="15"/>
                <w:szCs w:val="15"/>
                <w:color w:val="auto"/>
              </w:rPr>
            </w:pPr>
          </w:p>
        </w:tc>
      </w:tr>
      <w:tr>
        <w:trPr>
          <w:trHeight w:val="29"/>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6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20,499,965</w:t>
            </w:r>
          </w:p>
        </w:tc>
        <w:tc>
          <w:tcPr>
            <w:tcW w:w="1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20,499,965</w:t>
            </w:r>
          </w:p>
        </w:tc>
        <w:tc>
          <w:tcPr>
            <w:tcW w:w="80" w:type="dxa"/>
            <w:vAlign w:val="bottom"/>
          </w:tcPr>
          <w:p>
            <w:pPr>
              <w:spacing w:after="0"/>
              <w:rPr>
                <w:sz w:val="16"/>
                <w:szCs w:val="16"/>
                <w:color w:val="auto"/>
              </w:rPr>
            </w:pPr>
          </w:p>
        </w:tc>
      </w:tr>
      <w:tr>
        <w:trPr>
          <w:trHeight w:val="182"/>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4,500,000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4,500,000</w:t>
            </w:r>
          </w:p>
        </w:tc>
        <w:tc>
          <w:tcPr>
            <w:tcW w:w="80" w:type="dxa"/>
            <w:vAlign w:val="bottom"/>
          </w:tcPr>
          <w:p>
            <w:pPr>
              <w:spacing w:after="0"/>
              <w:rPr>
                <w:sz w:val="15"/>
                <w:szCs w:val="15"/>
                <w:color w:val="auto"/>
              </w:rPr>
            </w:pPr>
          </w:p>
        </w:tc>
      </w:tr>
      <w:tr>
        <w:trPr>
          <w:trHeight w:val="29"/>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PSUs</w:t>
            </w:r>
          </w:p>
        </w:tc>
        <w:tc>
          <w:tcPr>
            <w:tcW w:w="6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5,084,454</w:t>
            </w:r>
          </w:p>
        </w:tc>
        <w:tc>
          <w:tcPr>
            <w:tcW w:w="1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2,326,794</w:t>
            </w:r>
          </w:p>
        </w:tc>
        <w:tc>
          <w:tcPr>
            <w:tcW w:w="80" w:type="dxa"/>
            <w:vAlign w:val="bottom"/>
          </w:tcPr>
          <w:p>
            <w:pPr>
              <w:spacing w:after="0"/>
              <w:rPr>
                <w:sz w:val="16"/>
                <w:szCs w:val="16"/>
                <w:color w:val="auto"/>
              </w:rPr>
            </w:pPr>
          </w:p>
        </w:tc>
      </w:tr>
      <w:tr>
        <w:trPr>
          <w:trHeight w:val="182"/>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3"/>
                <w:szCs w:val="13"/>
                <w:color w:val="auto"/>
              </w:rPr>
              <w:t>RSUs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11,752,934</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708,968</w:t>
            </w:r>
          </w:p>
        </w:tc>
        <w:tc>
          <w:tcPr>
            <w:tcW w:w="80" w:type="dxa"/>
            <w:vAlign w:val="bottom"/>
          </w:tcPr>
          <w:p>
            <w:pPr>
              <w:spacing w:after="0"/>
              <w:rPr>
                <w:sz w:val="15"/>
                <w:szCs w:val="15"/>
                <w:color w:val="auto"/>
              </w:rPr>
            </w:pPr>
          </w:p>
        </w:tc>
      </w:tr>
      <w:tr>
        <w:trPr>
          <w:trHeight w:val="29"/>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92"/>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Marketing consulting services agreement</w:t>
            </w:r>
          </w:p>
        </w:tc>
        <w:tc>
          <w:tcPr>
            <w:tcW w:w="6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9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DBDBDB"/>
            </w:tcBorders>
            <w:shd w:val="clear" w:color="auto" w:fill="DBDBDB"/>
          </w:tcPr>
          <w:p>
            <w:pPr>
              <w:spacing w:after="0"/>
              <w:rPr>
                <w:sz w:val="16"/>
                <w:szCs w:val="16"/>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62,500</w:t>
            </w:r>
          </w:p>
        </w:tc>
        <w:tc>
          <w:tcPr>
            <w:tcW w:w="80" w:type="dxa"/>
            <w:vAlign w:val="bottom"/>
          </w:tcPr>
          <w:p>
            <w:pPr>
              <w:spacing w:after="0"/>
              <w:rPr>
                <w:sz w:val="16"/>
                <w:szCs w:val="16"/>
                <w:color w:val="auto"/>
              </w:rPr>
            </w:pPr>
          </w:p>
        </w:tc>
      </w:tr>
      <w:tr>
        <w:trPr>
          <w:trHeight w:val="182"/>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60" w:type="dxa"/>
            <w:vAlign w:val="bottom"/>
          </w:tcPr>
          <w:p>
            <w:pPr>
              <w:spacing w:after="0"/>
              <w:rPr>
                <w:sz w:val="20"/>
                <w:szCs w:val="20"/>
                <w:color w:val="auto"/>
              </w:rPr>
            </w:pPr>
            <w:r>
              <w:rPr>
                <w:rFonts w:ascii="Times New Roman" w:cs="Times New Roman" w:eastAsia="Times New Roman" w:hAnsi="Times New Roman"/>
                <w:sz w:val="13"/>
                <w:szCs w:val="13"/>
                <w:color w:val="auto"/>
              </w:rPr>
              <w:t>RSAs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410,746</w:t>
            </w:r>
          </w:p>
        </w:tc>
        <w:tc>
          <w:tcPr>
            <w:tcW w:w="14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60" w:type="dxa"/>
            <w:vAlign w:val="bottom"/>
            <w:tcBorders>
              <w:bottom w:val="single" w:sz="8" w:color="DBDBDB"/>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1"/>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antidilutive shares</w:t>
            </w:r>
          </w:p>
        </w:tc>
        <w:tc>
          <w:tcPr>
            <w:tcW w:w="60" w:type="dxa"/>
            <w:vAlign w:val="bottom"/>
            <w:tcBorders>
              <w:bottom w:val="single" w:sz="8" w:color="DBDBDB"/>
            </w:tcBorders>
            <w:shd w:val="clear" w:color="auto" w:fill="DBDBDB"/>
          </w:tcPr>
          <w:p>
            <w:pPr>
              <w:spacing w:after="0"/>
              <w:rPr>
                <w:sz w:val="17"/>
                <w:szCs w:val="17"/>
                <w:color w:val="auto"/>
              </w:rPr>
            </w:pPr>
          </w:p>
        </w:tc>
        <w:tc>
          <w:tcPr>
            <w:tcW w:w="220" w:type="dxa"/>
            <w:vAlign w:val="bottom"/>
            <w:tcBorders>
              <w:bottom w:val="single" w:sz="8" w:color="DBDBDB"/>
            </w:tcBorders>
            <w:shd w:val="clear" w:color="auto" w:fill="DBDBDB"/>
          </w:tcPr>
          <w:p>
            <w:pPr>
              <w:spacing w:after="0"/>
              <w:rPr>
                <w:sz w:val="17"/>
                <w:szCs w:val="17"/>
                <w:color w:val="auto"/>
              </w:rPr>
            </w:pPr>
          </w:p>
        </w:tc>
        <w:tc>
          <w:tcPr>
            <w:tcW w:w="9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200,425,708</w:t>
            </w:r>
          </w:p>
        </w:tc>
        <w:tc>
          <w:tcPr>
            <w:tcW w:w="14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186,275,836</w:t>
            </w:r>
          </w:p>
        </w:tc>
        <w:tc>
          <w:tcPr>
            <w:tcW w:w="80" w:type="dxa"/>
            <w:vAlign w:val="bottom"/>
          </w:tcPr>
          <w:p>
            <w:pPr>
              <w:spacing w:after="0"/>
              <w:rPr>
                <w:sz w:val="17"/>
                <w:szCs w:val="17"/>
                <w:color w:val="auto"/>
              </w:rPr>
            </w:pPr>
          </w:p>
        </w:tc>
      </w:tr>
      <w:tr>
        <w:trPr>
          <w:trHeight w:val="355"/>
        </w:trPr>
        <w:tc>
          <w:tcPr>
            <w:tcW w:w="83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Note 8 - Intangible assets and goodwill</w:t>
            </w: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83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following table depicts the split between Polestar Group’s intangible assets, goodwill and trademarks: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77"/>
        </w:trPr>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40" w:type="dxa"/>
            <w:vAlign w:val="bottom"/>
            <w:gridSpan w:val="3"/>
          </w:tcPr>
          <w:p>
            <w:pPr>
              <w:spacing w:after="0"/>
              <w:rPr>
                <w:sz w:val="6"/>
                <w:szCs w:val="6"/>
                <w:color w:val="auto"/>
              </w:rPr>
            </w:pPr>
          </w:p>
        </w:tc>
      </w:tr>
      <w:tr>
        <w:trPr>
          <w:trHeight w:val="158"/>
        </w:trPr>
        <w:tc>
          <w:tcPr>
            <w:tcW w:w="620" w:type="dxa"/>
            <w:vAlign w:val="bottom"/>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7660" w:type="dxa"/>
            <w:vAlign w:val="bottom"/>
            <w:shd w:val="clear" w:color="auto" w:fill="DBDBDB"/>
          </w:tcPr>
          <w:p>
            <w:pPr>
              <w:spacing w:after="0"/>
              <w:rPr>
                <w:sz w:val="13"/>
                <w:szCs w:val="13"/>
                <w:color w:val="auto"/>
              </w:rPr>
            </w:pPr>
          </w:p>
        </w:tc>
        <w:tc>
          <w:tcPr>
            <w:tcW w:w="6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900" w:type="dxa"/>
            <w:vAlign w:val="bottom"/>
            <w:shd w:val="clear" w:color="auto" w:fill="DBDBDB"/>
          </w:tcPr>
          <w:p>
            <w:pPr>
              <w:spacing w:after="0"/>
              <w:rPr>
                <w:sz w:val="13"/>
                <w:szCs w:val="13"/>
                <w:color w:val="auto"/>
              </w:rPr>
            </w:pPr>
          </w:p>
        </w:tc>
        <w:tc>
          <w:tcPr>
            <w:tcW w:w="1140" w:type="dxa"/>
            <w:vAlign w:val="bottom"/>
            <w:gridSpan w:val="3"/>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As of December, 31,</w:t>
            </w:r>
          </w:p>
        </w:tc>
      </w:tr>
      <w:tr>
        <w:trPr>
          <w:trHeight w:val="178"/>
        </w:trPr>
        <w:tc>
          <w:tcPr>
            <w:tcW w:w="620" w:type="dxa"/>
            <w:vAlign w:val="bottom"/>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766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12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4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shd w:val="clear" w:color="auto" w:fill="DBDBDB"/>
          </w:tcPr>
          <w:p>
            <w:pPr>
              <w:spacing w:after="0"/>
              <w:rPr>
                <w:sz w:val="15"/>
                <w:szCs w:val="15"/>
                <w:color w:val="auto"/>
              </w:rPr>
            </w:pPr>
          </w:p>
        </w:tc>
      </w:tr>
      <w:tr>
        <w:trPr>
          <w:trHeight w:val="182"/>
        </w:trPr>
        <w:tc>
          <w:tcPr>
            <w:tcW w:w="620" w:type="dxa"/>
            <w:vAlign w:val="bottom"/>
          </w:tcPr>
          <w:p>
            <w:pPr>
              <w:spacing w:after="0"/>
              <w:rPr>
                <w:sz w:val="15"/>
                <w:szCs w:val="15"/>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1,410,432</w:t>
            </w:r>
          </w:p>
        </w:tc>
        <w:tc>
          <w:tcPr>
            <w:tcW w:w="14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1,362,281</w:t>
            </w:r>
          </w:p>
        </w:tc>
      </w:tr>
      <w:tr>
        <w:trPr>
          <w:trHeight w:val="29"/>
        </w:trPr>
        <w:tc>
          <w:tcPr>
            <w:tcW w:w="620" w:type="dxa"/>
            <w:vAlign w:val="bottom"/>
          </w:tcPr>
          <w:p>
            <w:pPr>
              <w:spacing w:after="0"/>
              <w:rPr>
                <w:sz w:val="2"/>
                <w:szCs w:val="2"/>
                <w:color w:val="auto"/>
              </w:rPr>
            </w:pPr>
          </w:p>
        </w:tc>
        <w:tc>
          <w:tcPr>
            <w:tcW w:w="7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212"/>
        </w:trPr>
        <w:tc>
          <w:tcPr>
            <w:tcW w:w="620" w:type="dxa"/>
            <w:vAlign w:val="bottom"/>
          </w:tcPr>
          <w:p>
            <w:pPr>
              <w:spacing w:after="0"/>
              <w:rPr>
                <w:sz w:val="18"/>
                <w:szCs w:val="18"/>
                <w:color w:val="auto"/>
              </w:rPr>
            </w:pPr>
          </w:p>
        </w:tc>
        <w:tc>
          <w:tcPr>
            <w:tcW w:w="774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Goodwill and trademarks</w:t>
            </w:r>
          </w:p>
        </w:tc>
        <w:tc>
          <w:tcPr>
            <w:tcW w:w="6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47,767</w:t>
            </w:r>
          </w:p>
        </w:tc>
        <w:tc>
          <w:tcPr>
            <w:tcW w:w="14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50,448</w:t>
            </w:r>
          </w:p>
        </w:tc>
      </w:tr>
      <w:tr>
        <w:trPr>
          <w:trHeight w:val="172"/>
        </w:trPr>
        <w:tc>
          <w:tcPr>
            <w:tcW w:w="620" w:type="dxa"/>
            <w:vAlign w:val="bottom"/>
          </w:tcPr>
          <w:p>
            <w:pPr>
              <w:spacing w:after="0"/>
              <w:rPr>
                <w:sz w:val="14"/>
                <w:szCs w:val="14"/>
                <w:color w:val="auto"/>
              </w:rPr>
            </w:pPr>
          </w:p>
        </w:tc>
        <w:tc>
          <w:tcPr>
            <w:tcW w:w="7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Pr>
          <w:p>
            <w:pPr>
              <w:spacing w:after="0"/>
              <w:rPr>
                <w:sz w:val="14"/>
                <w:szCs w:val="14"/>
                <w:color w:val="auto"/>
              </w:rPr>
            </w:pP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1,458,199</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1,412,729</w:t>
            </w:r>
          </w:p>
        </w:tc>
      </w:tr>
      <w:tr>
        <w:trPr>
          <w:trHeight w:val="29"/>
        </w:trPr>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Intangible assets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3962400</wp:posOffset>
            </wp:positionH>
            <wp:positionV relativeFrom="paragraph">
              <wp:posOffset>59690</wp:posOffset>
            </wp:positionV>
            <wp:extent cx="2968625" cy="17164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968625" cy="1716405"/>
                    </a:xfrm>
                    <a:prstGeom prst="rect">
                      <a:avLst/>
                    </a:prstGeom>
                    <a:noFill/>
                  </pic:spPr>
                </pic:pic>
              </a:graphicData>
            </a:graphic>
          </wp:anchor>
        </w:drawing>
      </w:r>
    </w:p>
    <w:p>
      <w:pPr>
        <w:spacing w:after="0" w:line="74"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5860" w:type="dxa"/>
            <w:vAlign w:val="bottom"/>
            <w:shd w:val="clear" w:color="auto" w:fill="DBDBDB"/>
          </w:tcPr>
          <w:p>
            <w:pPr>
              <w:spacing w:after="0"/>
              <w:rPr>
                <w:sz w:val="13"/>
                <w:szCs w:val="13"/>
                <w:color w:val="auto"/>
              </w:rPr>
            </w:pPr>
          </w:p>
        </w:tc>
        <w:tc>
          <w:tcPr>
            <w:tcW w:w="1320" w:type="dxa"/>
            <w:vAlign w:val="bottom"/>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7"/>
              </w:rPr>
              <w:t>Internally developed</w:t>
            </w:r>
          </w:p>
        </w:tc>
        <w:tc>
          <w:tcPr>
            <w:tcW w:w="1120" w:type="dxa"/>
            <w:vAlign w:val="bottom"/>
            <w:shd w:val="clear" w:color="auto" w:fill="DBDBDB"/>
          </w:tcPr>
          <w:p>
            <w:pPr>
              <w:spacing w:after="0"/>
              <w:rPr>
                <w:sz w:val="13"/>
                <w:szCs w:val="13"/>
                <w:color w:val="auto"/>
              </w:rPr>
            </w:pPr>
          </w:p>
        </w:tc>
        <w:tc>
          <w:tcPr>
            <w:tcW w:w="1280" w:type="dxa"/>
            <w:vAlign w:val="bottom"/>
            <w:shd w:val="clear" w:color="auto" w:fill="DBDBDB"/>
          </w:tcPr>
          <w:p>
            <w:pPr>
              <w:spacing w:after="0"/>
              <w:rPr>
                <w:sz w:val="13"/>
                <w:szCs w:val="13"/>
                <w:color w:val="auto"/>
              </w:rPr>
            </w:pPr>
          </w:p>
        </w:tc>
        <w:tc>
          <w:tcPr>
            <w:tcW w:w="960" w:type="dxa"/>
            <w:vAlign w:val="bottom"/>
            <w:shd w:val="clear" w:color="auto" w:fill="DBDBDB"/>
          </w:tcPr>
          <w:p>
            <w:pPr>
              <w:spacing w:after="0"/>
              <w:rPr>
                <w:sz w:val="13"/>
                <w:szCs w:val="13"/>
                <w:color w:val="auto"/>
              </w:rPr>
            </w:pPr>
          </w:p>
        </w:tc>
      </w:tr>
      <w:tr>
        <w:trPr>
          <w:trHeight w:val="188"/>
        </w:trPr>
        <w:tc>
          <w:tcPr>
            <w:tcW w:w="5860" w:type="dxa"/>
            <w:vAlign w:val="bottom"/>
            <w:shd w:val="clear" w:color="auto" w:fill="DBDBDB"/>
          </w:tcPr>
          <w:p>
            <w:pPr>
              <w:spacing w:after="0"/>
              <w:rPr>
                <w:sz w:val="16"/>
                <w:szCs w:val="16"/>
                <w:color w:val="auto"/>
              </w:rPr>
            </w:pPr>
          </w:p>
        </w:tc>
        <w:tc>
          <w:tcPr>
            <w:tcW w:w="1320" w:type="dxa"/>
            <w:vAlign w:val="bottom"/>
            <w:tcBorders>
              <w:bottom w:val="single" w:sz="8" w:color="auto"/>
            </w:tcBorders>
            <w:shd w:val="clear" w:color="auto" w:fill="DBDBDB"/>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IP</w:t>
            </w:r>
          </w:p>
        </w:tc>
        <w:tc>
          <w:tcPr>
            <w:tcW w:w="1120" w:type="dxa"/>
            <w:vAlign w:val="bottom"/>
            <w:tcBorders>
              <w:bottom w:val="single" w:sz="8" w:color="auto"/>
            </w:tcBorders>
            <w:shd w:val="clear" w:color="auto" w:fill="DBDBDB"/>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Software</w:t>
            </w:r>
          </w:p>
        </w:tc>
        <w:tc>
          <w:tcPr>
            <w:tcW w:w="1280" w:type="dxa"/>
            <w:vAlign w:val="bottom"/>
            <w:tcBorders>
              <w:bottom w:val="single" w:sz="8" w:color="auto"/>
            </w:tcBorders>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Acquired IP</w:t>
            </w:r>
          </w:p>
        </w:tc>
        <w:tc>
          <w:tcPr>
            <w:tcW w:w="960" w:type="dxa"/>
            <w:vAlign w:val="bottom"/>
            <w:tcBorders>
              <w:bottom w:val="single" w:sz="8" w:color="auto"/>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62"/>
        </w:trPr>
        <w:tc>
          <w:tcPr>
            <w:tcW w:w="5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9"/>
        </w:trPr>
        <w:tc>
          <w:tcPr>
            <w:tcW w:w="5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2"/>
        </w:trPr>
        <w:tc>
          <w:tcPr>
            <w:tcW w:w="58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32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312,945</w:t>
            </w:r>
          </w:p>
        </w:tc>
        <w:tc>
          <w:tcPr>
            <w:tcW w:w="112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11,380</w:t>
            </w:r>
          </w:p>
        </w:tc>
        <w:tc>
          <w:tcPr>
            <w:tcW w:w="1280" w:type="dxa"/>
            <w:vAlign w:val="bottom"/>
            <w:tcBorders>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color w:val="auto"/>
              </w:rPr>
              <w:t>1,835,718</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2,160,043</w:t>
            </w:r>
          </w:p>
        </w:tc>
      </w:tr>
      <w:tr>
        <w:trPr>
          <w:trHeight w:val="21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Additions</w:t>
            </w:r>
            <w:r>
              <w:rPr>
                <w:rFonts w:ascii="Times New Roman" w:cs="Times New Roman" w:eastAsia="Times New Roman" w:hAnsi="Times New Roman"/>
                <w:sz w:val="16"/>
                <w:szCs w:val="16"/>
                <w:color w:val="auto"/>
                <w:vertAlign w:val="superscript"/>
              </w:rPr>
              <w:t>1</w:t>
            </w:r>
          </w:p>
        </w:tc>
        <w:tc>
          <w:tcPr>
            <w:tcW w:w="13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79,050</w:t>
            </w: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356</w:t>
            </w:r>
          </w:p>
        </w:tc>
        <w:tc>
          <w:tcPr>
            <w:tcW w:w="128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rPr>
              <w:t>60,768</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140,174</w:t>
            </w:r>
          </w:p>
        </w:tc>
      </w:tr>
      <w:tr>
        <w:trPr>
          <w:trHeight w:val="182"/>
        </w:trPr>
        <w:tc>
          <w:tcPr>
            <w:tcW w:w="586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1320" w:type="dxa"/>
            <w:vAlign w:val="bottom"/>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color w:val="auto"/>
              </w:rPr>
              <w:t>(16,685)</w:t>
            </w:r>
          </w:p>
        </w:tc>
        <w:tc>
          <w:tcPr>
            <w:tcW w:w="1120" w:type="dxa"/>
            <w:vAlign w:val="bottom"/>
            <w:shd w:val="clear" w:color="auto" w:fill="DBDBDB"/>
          </w:tcPr>
          <w:p>
            <w:pPr>
              <w:jc w:val="right"/>
              <w:ind w:right="76"/>
              <w:spacing w:after="0"/>
              <w:rPr>
                <w:sz w:val="20"/>
                <w:szCs w:val="20"/>
                <w:color w:val="auto"/>
              </w:rPr>
            </w:pPr>
            <w:r>
              <w:rPr>
                <w:rFonts w:ascii="Times New Roman" w:cs="Times New Roman" w:eastAsia="Times New Roman" w:hAnsi="Times New Roman"/>
                <w:sz w:val="13"/>
                <w:szCs w:val="13"/>
                <w:color w:val="auto"/>
              </w:rPr>
              <w:t>(842)</w:t>
            </w:r>
          </w:p>
        </w:tc>
        <w:tc>
          <w:tcPr>
            <w:tcW w:w="1280" w:type="dxa"/>
            <w:vAlign w:val="bottom"/>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color w:val="auto"/>
              </w:rPr>
              <w:t>(85,159)</w:t>
            </w:r>
          </w:p>
        </w:tc>
        <w:tc>
          <w:tcPr>
            <w:tcW w:w="9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(102,686)</w:t>
            </w:r>
          </w:p>
        </w:tc>
      </w:tr>
      <w:tr>
        <w:trPr>
          <w:trHeight w:val="29"/>
        </w:trPr>
        <w:tc>
          <w:tcPr>
            <w:tcW w:w="5860" w:type="dxa"/>
            <w:vAlign w:val="bottom"/>
            <w:shd w:val="clear" w:color="auto" w:fill="DBDBDB"/>
          </w:tcPr>
          <w:p>
            <w:pPr>
              <w:spacing w:after="0"/>
              <w:rPr>
                <w:sz w:val="2"/>
                <w:szCs w:val="2"/>
                <w:color w:val="auto"/>
              </w:rPr>
            </w:pPr>
          </w:p>
        </w:tc>
        <w:tc>
          <w:tcPr>
            <w:tcW w:w="1320" w:type="dxa"/>
            <w:vAlign w:val="bottom"/>
            <w:shd w:val="clear" w:color="auto" w:fill="DBDBDB"/>
          </w:tcPr>
          <w:p>
            <w:pPr>
              <w:spacing w:after="0"/>
              <w:rPr>
                <w:sz w:val="2"/>
                <w:szCs w:val="2"/>
                <w:color w:val="auto"/>
              </w:rPr>
            </w:pPr>
          </w:p>
        </w:tc>
        <w:tc>
          <w:tcPr>
            <w:tcW w:w="1120" w:type="dxa"/>
            <w:vAlign w:val="bottom"/>
            <w:shd w:val="clear" w:color="auto" w:fill="DBDBDB"/>
          </w:tcPr>
          <w:p>
            <w:pPr>
              <w:spacing w:after="0"/>
              <w:rPr>
                <w:sz w:val="2"/>
                <w:szCs w:val="2"/>
                <w:color w:val="auto"/>
              </w:rPr>
            </w:pPr>
          </w:p>
        </w:tc>
        <w:tc>
          <w:tcPr>
            <w:tcW w:w="128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r>
    </w:tbl>
    <w:p>
      <w:pPr>
        <w:spacing w:after="0" w:line="24" w:lineRule="exact"/>
        <w:rPr>
          <w:sz w:val="20"/>
          <w:szCs w:val="20"/>
          <w:color w:val="auto"/>
        </w:rPr>
      </w:pPr>
    </w:p>
    <w:tbl>
      <w:tblPr>
        <w:tblLayout w:type="fixed"/>
        <w:tblInd w:w="380" w:type="dxa"/>
        <w:tblCellMar>
          <w:top w:w="0" w:type="dxa"/>
          <w:left w:w="0" w:type="dxa"/>
          <w:bottom w:w="0" w:type="dxa"/>
          <w:right w:w="0" w:type="dxa"/>
        </w:tblCellMar>
      </w:tblPr>
      <w:tr>
        <w:trPr>
          <w:trHeight w:val="168"/>
        </w:trPr>
        <w:tc>
          <w:tcPr>
            <w:tcW w:w="5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375,310</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10,894</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1,811,327</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2,197,531</w:t>
            </w:r>
          </w:p>
        </w:tc>
      </w:tr>
      <w:tr>
        <w:trPr>
          <w:trHeight w:val="29"/>
        </w:trPr>
        <w:tc>
          <w:tcPr>
            <w:tcW w:w="586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72"/>
        </w:trPr>
        <w:tc>
          <w:tcPr>
            <w:tcW w:w="58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Accumulated amortization and impairment</w:t>
            </w:r>
          </w:p>
        </w:tc>
        <w:tc>
          <w:tcPr>
            <w:tcW w:w="38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420" w:type="dxa"/>
            <w:vAlign w:val="bottom"/>
            <w:tcBorders>
              <w:bottom w:val="single" w:sz="8" w:color="DBDBDB"/>
            </w:tcBorders>
            <w:shd w:val="clear" w:color="auto" w:fill="DBDBDB"/>
          </w:tcPr>
          <w:p>
            <w:pPr>
              <w:spacing w:after="0"/>
              <w:rPr>
                <w:sz w:val="14"/>
                <w:szCs w:val="14"/>
                <w:color w:val="auto"/>
              </w:rPr>
            </w:pPr>
          </w:p>
        </w:tc>
        <w:tc>
          <w:tcPr>
            <w:tcW w:w="740" w:type="dxa"/>
            <w:vAlign w:val="bottom"/>
            <w:tcBorders>
              <w:bottom w:val="single" w:sz="8" w:color="DBDBDB"/>
            </w:tcBorders>
            <w:shd w:val="clear" w:color="auto" w:fill="DBDBDB"/>
          </w:tcPr>
          <w:p>
            <w:pPr>
              <w:spacing w:after="0"/>
              <w:rPr>
                <w:sz w:val="14"/>
                <w:szCs w:val="14"/>
                <w:color w:val="auto"/>
              </w:rPr>
            </w:pPr>
          </w:p>
        </w:tc>
        <w:tc>
          <w:tcPr>
            <w:tcW w:w="340" w:type="dxa"/>
            <w:vAlign w:val="bottom"/>
            <w:tcBorders>
              <w:bottom w:val="single" w:sz="8" w:color="DBDBDB"/>
            </w:tcBorders>
            <w:shd w:val="clear" w:color="auto" w:fill="DBDBDB"/>
          </w:tcPr>
          <w:p>
            <w:pPr>
              <w:spacing w:after="0"/>
              <w:rPr>
                <w:sz w:val="14"/>
                <w:szCs w:val="14"/>
                <w:color w:val="auto"/>
              </w:rPr>
            </w:pPr>
          </w:p>
        </w:tc>
        <w:tc>
          <w:tcPr>
            <w:tcW w:w="860" w:type="dxa"/>
            <w:vAlign w:val="bottom"/>
            <w:tcBorders>
              <w:bottom w:val="single" w:sz="8" w:color="DBDBDB"/>
              <w:right w:val="single" w:sz="8" w:color="DBDBDB"/>
            </w:tcBorders>
            <w:shd w:val="clear" w:color="auto" w:fill="DBDBDB"/>
          </w:tcPr>
          <w:p>
            <w:pPr>
              <w:spacing w:after="0"/>
              <w:rPr>
                <w:sz w:val="14"/>
                <w:szCs w:val="14"/>
                <w:color w:val="auto"/>
              </w:rPr>
            </w:pPr>
          </w:p>
        </w:tc>
        <w:tc>
          <w:tcPr>
            <w:tcW w:w="320" w:type="dxa"/>
            <w:vAlign w:val="bottom"/>
            <w:tcBorders>
              <w:bottom w:val="single" w:sz="8" w:color="DBDBDB"/>
            </w:tcBorders>
            <w:shd w:val="clear" w:color="auto" w:fill="DBDBDB"/>
          </w:tcPr>
          <w:p>
            <w:pPr>
              <w:spacing w:after="0"/>
              <w:rPr>
                <w:sz w:val="14"/>
                <w:szCs w:val="14"/>
                <w:color w:val="auto"/>
              </w:rPr>
            </w:pPr>
          </w:p>
        </w:tc>
        <w:tc>
          <w:tcPr>
            <w:tcW w:w="840" w:type="dxa"/>
            <w:vAlign w:val="bottom"/>
            <w:tcBorders>
              <w:bottom w:val="single" w:sz="8" w:color="DBDBDB"/>
            </w:tcBorders>
            <w:shd w:val="clear" w:color="auto" w:fill="DBDBDB"/>
          </w:tcPr>
          <w:p>
            <w:pPr>
              <w:spacing w:after="0"/>
              <w:rPr>
                <w:sz w:val="14"/>
                <w:szCs w:val="14"/>
                <w:color w:val="auto"/>
              </w:rPr>
            </w:pPr>
          </w:p>
        </w:tc>
      </w:tr>
      <w:tr>
        <w:trPr>
          <w:trHeight w:val="18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(18,894)</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(777,320)</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(797,762)</w:t>
            </w:r>
          </w:p>
        </w:tc>
      </w:tr>
      <w:tr>
        <w:trPr>
          <w:trHeight w:val="29"/>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92"/>
        </w:trPr>
        <w:tc>
          <w:tcPr>
            <w:tcW w:w="58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Amortization expense</w:t>
            </w:r>
          </w:p>
        </w:tc>
        <w:tc>
          <w:tcPr>
            <w:tcW w:w="38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(689)</w:t>
            </w:r>
          </w:p>
        </w:tc>
        <w:tc>
          <w:tcPr>
            <w:tcW w:w="340" w:type="dxa"/>
            <w:vAlign w:val="bottom"/>
            <w:tcBorders>
              <w:bottom w:val="single" w:sz="8" w:color="DBDBDB"/>
            </w:tcBorders>
            <w:shd w:val="clear" w:color="auto" w:fill="DBDBDB"/>
          </w:tcPr>
          <w:p>
            <w:pPr>
              <w:spacing w:after="0"/>
              <w:rPr>
                <w:sz w:val="16"/>
                <w:szCs w:val="16"/>
                <w:color w:val="auto"/>
              </w:rPr>
            </w:pPr>
          </w:p>
        </w:tc>
        <w:tc>
          <w:tcPr>
            <w:tcW w:w="860" w:type="dxa"/>
            <w:vAlign w:val="bottom"/>
            <w:tcBorders>
              <w:bottom w:val="single" w:sz="8" w:color="DBDBDB"/>
              <w:right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(3,166)</w:t>
            </w:r>
          </w:p>
        </w:tc>
        <w:tc>
          <w:tcPr>
            <w:tcW w:w="32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w:t>
            </w:r>
          </w:p>
        </w:tc>
      </w:tr>
      <w:tr>
        <w:trPr>
          <w:trHeight w:val="182"/>
        </w:trPr>
        <w:tc>
          <w:tcPr>
            <w:tcW w:w="586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capitalized into inventory</w:t>
            </w:r>
          </w:p>
        </w:tc>
        <w:tc>
          <w:tcPr>
            <w:tcW w:w="3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4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(11,298)</w:t>
            </w:r>
          </w:p>
        </w:tc>
        <w:tc>
          <w:tcPr>
            <w:tcW w:w="3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(11,597)</w:t>
            </w:r>
          </w:p>
        </w:tc>
      </w:tr>
      <w:tr>
        <w:trPr>
          <w:trHeight w:val="29"/>
        </w:trPr>
        <w:tc>
          <w:tcPr>
            <w:tcW w:w="5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2"/>
        </w:trPr>
        <w:tc>
          <w:tcPr>
            <w:tcW w:w="58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38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1,027</w:t>
            </w:r>
          </w:p>
        </w:tc>
        <w:tc>
          <w:tcPr>
            <w:tcW w:w="42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340" w:type="dxa"/>
            <w:vAlign w:val="bottom"/>
            <w:tcBorders>
              <w:bottom w:val="single" w:sz="8" w:color="DBDBDB"/>
            </w:tcBorders>
            <w:shd w:val="clear" w:color="auto" w:fill="DBDBDB"/>
          </w:tcPr>
          <w:p>
            <w:pPr>
              <w:spacing w:after="0"/>
              <w:rPr>
                <w:sz w:val="18"/>
                <w:szCs w:val="18"/>
                <w:color w:val="auto"/>
              </w:rPr>
            </w:pPr>
          </w:p>
        </w:tc>
        <w:tc>
          <w:tcPr>
            <w:tcW w:w="860" w:type="dxa"/>
            <w:vAlign w:val="bottom"/>
            <w:tcBorders>
              <w:bottom w:val="single" w:sz="8" w:color="DBDBDB"/>
              <w:right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24,984</w:t>
            </w:r>
          </w:p>
        </w:tc>
        <w:tc>
          <w:tcPr>
            <w:tcW w:w="32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26,115</w:t>
            </w:r>
          </w:p>
        </w:tc>
      </w:tr>
      <w:tr>
        <w:trPr>
          <w:trHeight w:val="172"/>
        </w:trPr>
        <w:tc>
          <w:tcPr>
            <w:tcW w:w="5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3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(18,166)</w:t>
            </w:r>
          </w:p>
        </w:tc>
        <w:tc>
          <w:tcPr>
            <w:tcW w:w="42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(2,133)</w:t>
            </w:r>
          </w:p>
        </w:tc>
        <w:tc>
          <w:tcPr>
            <w:tcW w:w="34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(766,800)</w:t>
            </w:r>
          </w:p>
        </w:tc>
        <w:tc>
          <w:tcPr>
            <w:tcW w:w="320" w:type="dxa"/>
            <w:vAlign w:val="bottom"/>
            <w:tcBorders>
              <w:top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(787,099)</w:t>
            </w:r>
          </w:p>
        </w:tc>
      </w:tr>
      <w:tr>
        <w:trPr>
          <w:trHeight w:val="29"/>
        </w:trPr>
        <w:tc>
          <w:tcPr>
            <w:tcW w:w="586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63"/>
        </w:trPr>
        <w:tc>
          <w:tcPr>
            <w:tcW w:w="5860" w:type="dxa"/>
            <w:vAlign w:val="bottom"/>
            <w:shd w:val="clear" w:color="auto" w:fill="DBDBDB"/>
          </w:tcPr>
          <w:p>
            <w:pPr>
              <w:spacing w:after="0"/>
              <w:rPr>
                <w:sz w:val="14"/>
                <w:szCs w:val="14"/>
                <w:color w:val="auto"/>
              </w:rPr>
            </w:pPr>
          </w:p>
        </w:tc>
        <w:tc>
          <w:tcPr>
            <w:tcW w:w="380" w:type="dxa"/>
            <w:vAlign w:val="bottom"/>
            <w:tcBorders>
              <w:bottom w:val="single" w:sz="8" w:color="auto"/>
            </w:tcBorders>
            <w:shd w:val="clear" w:color="auto" w:fill="DBDBDB"/>
          </w:tcPr>
          <w:p>
            <w:pPr>
              <w:spacing w:after="0"/>
              <w:rPr>
                <w:sz w:val="14"/>
                <w:szCs w:val="14"/>
                <w:color w:val="auto"/>
              </w:rPr>
            </w:pPr>
          </w:p>
        </w:tc>
        <w:tc>
          <w:tcPr>
            <w:tcW w:w="780" w:type="dxa"/>
            <w:vAlign w:val="bottom"/>
            <w:tcBorders>
              <w:bottom w:val="single" w:sz="8" w:color="auto"/>
            </w:tcBorders>
            <w:shd w:val="clear" w:color="auto" w:fill="DBDBDB"/>
          </w:tcPr>
          <w:p>
            <w:pPr>
              <w:spacing w:after="0"/>
              <w:rPr>
                <w:sz w:val="14"/>
                <w:szCs w:val="14"/>
                <w:color w:val="auto"/>
              </w:rPr>
            </w:pPr>
          </w:p>
        </w:tc>
        <w:tc>
          <w:tcPr>
            <w:tcW w:w="420" w:type="dxa"/>
            <w:vAlign w:val="bottom"/>
            <w:tcBorders>
              <w:bottom w:val="single" w:sz="8" w:color="auto"/>
            </w:tcBorders>
            <w:shd w:val="clear" w:color="auto" w:fill="DBDBDB"/>
          </w:tcPr>
          <w:p>
            <w:pPr>
              <w:spacing w:after="0"/>
              <w:rPr>
                <w:sz w:val="14"/>
                <w:szCs w:val="14"/>
                <w:color w:val="auto"/>
              </w:rPr>
            </w:pPr>
          </w:p>
        </w:tc>
        <w:tc>
          <w:tcPr>
            <w:tcW w:w="740" w:type="dxa"/>
            <w:vAlign w:val="bottom"/>
            <w:tcBorders>
              <w:bottom w:val="single" w:sz="8" w:color="auto"/>
            </w:tcBorders>
            <w:shd w:val="clear" w:color="auto" w:fill="DBDBDB"/>
          </w:tcPr>
          <w:p>
            <w:pPr>
              <w:spacing w:after="0"/>
              <w:rPr>
                <w:sz w:val="14"/>
                <w:szCs w:val="14"/>
                <w:color w:val="auto"/>
              </w:rPr>
            </w:pPr>
          </w:p>
        </w:tc>
        <w:tc>
          <w:tcPr>
            <w:tcW w:w="340" w:type="dxa"/>
            <w:vAlign w:val="bottom"/>
            <w:tcBorders>
              <w:bottom w:val="single" w:sz="8" w:color="auto"/>
            </w:tcBorders>
            <w:shd w:val="clear" w:color="auto" w:fill="DBDBDB"/>
          </w:tcPr>
          <w:p>
            <w:pPr>
              <w:spacing w:after="0"/>
              <w:rPr>
                <w:sz w:val="14"/>
                <w:szCs w:val="14"/>
                <w:color w:val="auto"/>
              </w:rPr>
            </w:pPr>
          </w:p>
        </w:tc>
        <w:tc>
          <w:tcPr>
            <w:tcW w:w="860" w:type="dxa"/>
            <w:vAlign w:val="bottom"/>
            <w:tcBorders>
              <w:bottom w:val="single" w:sz="8" w:color="auto"/>
              <w:right w:val="single" w:sz="8" w:color="DBDBDB"/>
            </w:tcBorders>
            <w:shd w:val="clear" w:color="auto" w:fill="DBDBDB"/>
          </w:tcPr>
          <w:p>
            <w:pPr>
              <w:spacing w:after="0"/>
              <w:rPr>
                <w:sz w:val="14"/>
                <w:szCs w:val="14"/>
                <w:color w:val="auto"/>
              </w:rPr>
            </w:pPr>
          </w:p>
        </w:tc>
        <w:tc>
          <w:tcPr>
            <w:tcW w:w="320" w:type="dxa"/>
            <w:vAlign w:val="bottom"/>
            <w:tcBorders>
              <w:bottom w:val="single" w:sz="8" w:color="auto"/>
            </w:tcBorders>
            <w:shd w:val="clear" w:color="auto" w:fill="DBDBDB"/>
          </w:tcPr>
          <w:p>
            <w:pPr>
              <w:spacing w:after="0"/>
              <w:rPr>
                <w:sz w:val="14"/>
                <w:szCs w:val="14"/>
                <w:color w:val="auto"/>
              </w:rPr>
            </w:pPr>
          </w:p>
        </w:tc>
        <w:tc>
          <w:tcPr>
            <w:tcW w:w="840" w:type="dxa"/>
            <w:vAlign w:val="bottom"/>
            <w:tcBorders>
              <w:bottom w:val="single" w:sz="8" w:color="auto"/>
            </w:tcBorders>
            <w:shd w:val="clear" w:color="auto" w:fill="DBDBDB"/>
          </w:tcPr>
          <w:p>
            <w:pPr>
              <w:spacing w:after="0"/>
              <w:rPr>
                <w:sz w:val="14"/>
                <w:szCs w:val="14"/>
                <w:color w:val="auto"/>
              </w:rPr>
            </w:pPr>
          </w:p>
        </w:tc>
      </w:tr>
      <w:tr>
        <w:trPr>
          <w:trHeight w:val="172"/>
        </w:trPr>
        <w:tc>
          <w:tcPr>
            <w:tcW w:w="5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January 1, 2024</w:t>
            </w:r>
          </w:p>
        </w:tc>
        <w:tc>
          <w:tcPr>
            <w:tcW w:w="380" w:type="dxa"/>
            <w:vAlign w:val="bottom"/>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294,051</w:t>
            </w:r>
          </w:p>
        </w:tc>
        <w:tc>
          <w:tcPr>
            <w:tcW w:w="42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9,832</w:t>
            </w: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1,058,398</w:t>
            </w: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1,362,281</w:t>
            </w:r>
          </w:p>
        </w:tc>
      </w:tr>
      <w:tr>
        <w:trPr>
          <w:trHeight w:val="29"/>
        </w:trPr>
        <w:tc>
          <w:tcPr>
            <w:tcW w:w="586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1"/>
        </w:trPr>
        <w:tc>
          <w:tcPr>
            <w:tcW w:w="58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Carrying amount as of June 30, 2024</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357,144</w:t>
            </w:r>
          </w:p>
        </w:tc>
        <w:tc>
          <w:tcPr>
            <w:tcW w:w="420" w:type="dxa"/>
            <w:vAlign w:val="bottom"/>
            <w:tcBorders>
              <w:bottom w:val="single" w:sz="8" w:color="DBDBDB"/>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8,761</w:t>
            </w:r>
          </w:p>
        </w:tc>
        <w:tc>
          <w:tcPr>
            <w:tcW w:w="340" w:type="dxa"/>
            <w:vAlign w:val="bottom"/>
            <w:tcBorders>
              <w:bottom w:val="single" w:sz="8" w:color="DBDBDB"/>
            </w:tcBorders>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1,044,527</w:t>
            </w:r>
          </w:p>
        </w:tc>
        <w:tc>
          <w:tcPr>
            <w:tcW w:w="320" w:type="dxa"/>
            <w:vAlign w:val="bottom"/>
            <w:tcBorders>
              <w:bottom w:val="single" w:sz="8" w:color="DBDBDB"/>
            </w:tcBorders>
            <w:shd w:val="clear" w:color="auto" w:fill="DBDBDB"/>
          </w:tcPr>
          <w:p>
            <w:pPr>
              <w:jc w:val="right"/>
              <w:ind w:right="20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1,410,432</w:t>
            </w:r>
          </w:p>
        </w:tc>
      </w:tr>
      <w:tr>
        <w:trPr>
          <w:trHeight w:val="20"/>
        </w:trPr>
        <w:tc>
          <w:tcPr>
            <w:tcW w:w="58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ind w:left="80" w:right="20"/>
        <w:spacing w:after="0" w:line="238" w:lineRule="auto"/>
        <w:rPr>
          <w:sz w:val="20"/>
          <w:szCs w:val="20"/>
          <w:color w:val="auto"/>
        </w:rPr>
      </w:pPr>
      <w:r>
        <w:rPr>
          <w:rFonts w:ascii="Times New Roman" w:cs="Times New Roman" w:eastAsia="Times New Roman" w:hAnsi="Times New Roman"/>
          <w:sz w:val="8"/>
          <w:szCs w:val="8"/>
          <w:color w:val="auto"/>
        </w:rPr>
        <w:t>1 – Of $140,174 in additions for the six months ended June 30, 2024, $93,134 has been settled in cash. These $93,134 are included in the $236,934 cash used for investing activities related to additions to intangible assets, and the remaining $143,800 relates to decreases in Trade payables - related parties from prior years which were settled in cash during the six months ended June 30, 2024.</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Additions to internally developed IP are primarily related to the Polestar 5 and various other internal programs, such as model year changes, for the six months ended June 30, 2024. Additions of acquired IP during the</w:t>
      </w:r>
    </w:p>
    <w:p>
      <w:pPr>
        <w:ind w:right="20"/>
        <w:spacing w:after="0" w:line="222" w:lineRule="auto"/>
        <w:rPr>
          <w:sz w:val="20"/>
          <w:szCs w:val="20"/>
          <w:color w:val="auto"/>
        </w:rPr>
      </w:pPr>
      <w:r>
        <w:rPr>
          <w:rFonts w:ascii="Times New Roman" w:cs="Times New Roman" w:eastAsia="Times New Roman" w:hAnsi="Times New Roman"/>
          <w:sz w:val="13"/>
          <w:szCs w:val="13"/>
          <w:color w:val="auto"/>
        </w:rPr>
        <w:t xml:space="preserve">six months ended June 30, 2024 were primarily related to acquisitions of Polestar 3 IP from Volvo Cars and Polestar 4 IP from Geely. Polestar also acquired IP related to model years changes of the Polestar 2 from Volvo Cars. Refer to </w:t>
      </w:r>
      <w:r>
        <w:rPr>
          <w:rFonts w:ascii="Times New Roman" w:cs="Times New Roman" w:eastAsia="Times New Roman" w:hAnsi="Times New Roman"/>
          <w:sz w:val="13"/>
          <w:szCs w:val="13"/>
          <w:i w:val="1"/>
          <w:iCs w:val="1"/>
          <w:color w:val="auto"/>
        </w:rPr>
        <w:t>Note 15 - Related party transactions</w:t>
      </w:r>
      <w:r>
        <w:rPr>
          <w:rFonts w:ascii="Times New Roman" w:cs="Times New Roman" w:eastAsia="Times New Roman" w:hAnsi="Times New Roman"/>
          <w:sz w:val="13"/>
          <w:szCs w:val="13"/>
          <w:color w:val="auto"/>
        </w:rPr>
        <w:t xml:space="preserve"> for further details.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to the carrying amount of goodwill and trademarks during the period were as follows:</w:t>
      </w:r>
    </w:p>
    <w:p>
      <w:pPr>
        <w:spacing w:after="0" w:line="104" w:lineRule="exact"/>
        <w:rPr>
          <w:sz w:val="20"/>
          <w:szCs w:val="20"/>
          <w:color w:val="auto"/>
        </w:rPr>
      </w:pPr>
    </w:p>
    <w:tbl>
      <w:tblPr>
        <w:tblLayout w:type="fixed"/>
        <w:tblInd w:w="320" w:type="dxa"/>
        <w:tblCellMar>
          <w:top w:w="0" w:type="dxa"/>
          <w:left w:w="0" w:type="dxa"/>
          <w:bottom w:w="0" w:type="dxa"/>
          <w:right w:w="0" w:type="dxa"/>
        </w:tblCellMar>
      </w:tblPr>
      <w:tr>
        <w:trPr>
          <w:trHeight w:val="190"/>
        </w:trPr>
        <w:tc>
          <w:tcPr>
            <w:tcW w:w="7060" w:type="dxa"/>
            <w:vAlign w:val="bottom"/>
            <w:shd w:val="clear" w:color="auto" w:fill="DBDBDB"/>
          </w:tcPr>
          <w:p>
            <w:pPr>
              <w:spacing w:after="0"/>
              <w:rPr>
                <w:sz w:val="16"/>
                <w:szCs w:val="16"/>
                <w:color w:val="auto"/>
              </w:rPr>
            </w:pPr>
          </w:p>
        </w:tc>
        <w:tc>
          <w:tcPr>
            <w:tcW w:w="2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ind w:left="140"/>
              <w:spacing w:after="0"/>
              <w:rPr>
                <w:sz w:val="20"/>
                <w:szCs w:val="20"/>
                <w:color w:val="auto"/>
              </w:rPr>
            </w:pPr>
            <w:r>
              <w:rPr>
                <w:rFonts w:ascii="Times New Roman" w:cs="Times New Roman" w:eastAsia="Times New Roman" w:hAnsi="Times New Roman"/>
                <w:sz w:val="13"/>
                <w:szCs w:val="13"/>
                <w:b w:val="1"/>
                <w:bCs w:val="1"/>
                <w:color w:val="auto"/>
              </w:rPr>
              <w:t>Goodwill</w:t>
            </w:r>
          </w:p>
        </w:tc>
        <w:tc>
          <w:tcPr>
            <w:tcW w:w="16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right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Trademarks</w:t>
            </w:r>
          </w:p>
        </w:tc>
        <w:tc>
          <w:tcPr>
            <w:tcW w:w="24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tcBorders>
            <w:shd w:val="clear" w:color="auto" w:fill="DBDBDB"/>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4"/>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220" w:type="dxa"/>
            <w:vAlign w:val="bottom"/>
          </w:tcPr>
          <w:p>
            <w:pPr>
              <w:spacing w:after="0"/>
              <w:rPr>
                <w:sz w:val="15"/>
                <w:szCs w:val="15"/>
                <w:color w:val="auto"/>
              </w:rPr>
            </w:pPr>
          </w:p>
        </w:tc>
        <w:tc>
          <w:tcPr>
            <w:tcW w:w="98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48,061</w:t>
            </w:r>
          </w:p>
        </w:tc>
        <w:tc>
          <w:tcPr>
            <w:tcW w:w="160" w:type="dxa"/>
            <w:vAlign w:val="bottom"/>
          </w:tcPr>
          <w:p>
            <w:pPr>
              <w:spacing w:after="0"/>
              <w:rPr>
                <w:sz w:val="15"/>
                <w:szCs w:val="15"/>
                <w:color w:val="auto"/>
              </w:rPr>
            </w:pPr>
          </w:p>
        </w:tc>
        <w:tc>
          <w:tcPr>
            <w:tcW w:w="10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2,387</w:t>
            </w:r>
          </w:p>
        </w:tc>
        <w:tc>
          <w:tcPr>
            <w:tcW w:w="240" w:type="dxa"/>
            <w:vAlign w:val="bottom"/>
          </w:tcPr>
          <w:p>
            <w:pPr>
              <w:spacing w:after="0"/>
              <w:rPr>
                <w:sz w:val="15"/>
                <w:szCs w:val="15"/>
                <w:color w:val="auto"/>
              </w:rPr>
            </w:pPr>
          </w:p>
        </w:tc>
        <w:tc>
          <w:tcPr>
            <w:tcW w:w="92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50,448</w:t>
            </w:r>
          </w:p>
        </w:tc>
      </w:tr>
      <w:tr>
        <w:trPr>
          <w:trHeight w:val="29"/>
        </w:trPr>
        <w:tc>
          <w:tcPr>
            <w:tcW w:w="7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2"/>
        </w:trPr>
        <w:tc>
          <w:tcPr>
            <w:tcW w:w="706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Effect of foreign currency exchange rate differences</w:t>
            </w:r>
          </w:p>
        </w:tc>
        <w:tc>
          <w:tcPr>
            <w:tcW w:w="2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ind w:left="580"/>
              <w:spacing w:after="0"/>
              <w:rPr>
                <w:sz w:val="20"/>
                <w:szCs w:val="20"/>
                <w:color w:val="auto"/>
              </w:rPr>
            </w:pPr>
            <w:r>
              <w:rPr>
                <w:rFonts w:ascii="Times New Roman" w:cs="Times New Roman" w:eastAsia="Times New Roman" w:hAnsi="Times New Roman"/>
                <w:sz w:val="13"/>
                <w:szCs w:val="13"/>
                <w:color w:val="auto"/>
              </w:rPr>
              <w:t>(2,554)</w:t>
            </w:r>
          </w:p>
        </w:tc>
        <w:tc>
          <w:tcPr>
            <w:tcW w:w="16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240" w:type="dxa"/>
            <w:vAlign w:val="bottom"/>
            <w:tcBorders>
              <w:bottom w:val="single" w:sz="8" w:color="DBDBDB"/>
            </w:tcBorders>
            <w:shd w:val="clear" w:color="auto" w:fill="DBDBDB"/>
          </w:tcPr>
          <w:p>
            <w:pPr>
              <w:spacing w:after="0"/>
              <w:rPr>
                <w:sz w:val="18"/>
                <w:szCs w:val="18"/>
                <w:color w:val="auto"/>
              </w:rPr>
            </w:pPr>
          </w:p>
        </w:tc>
        <w:tc>
          <w:tcPr>
            <w:tcW w:w="920" w:type="dxa"/>
            <w:vAlign w:val="bottom"/>
            <w:tcBorders>
              <w:bottom w:val="single" w:sz="8" w:color="DBDBDB"/>
            </w:tcBorders>
            <w:shd w:val="clear" w:color="auto" w:fill="DBDBDB"/>
          </w:tcPr>
          <w:p>
            <w:pPr>
              <w:ind w:left="540"/>
              <w:spacing w:after="0"/>
              <w:rPr>
                <w:sz w:val="20"/>
                <w:szCs w:val="20"/>
                <w:color w:val="auto"/>
              </w:rPr>
            </w:pPr>
            <w:r>
              <w:rPr>
                <w:rFonts w:ascii="Times New Roman" w:cs="Times New Roman" w:eastAsia="Times New Roman" w:hAnsi="Times New Roman"/>
                <w:sz w:val="13"/>
                <w:szCs w:val="13"/>
                <w:color w:val="auto"/>
                <w:w w:val="94"/>
              </w:rPr>
              <w:t>(2,681)</w:t>
            </w:r>
          </w:p>
        </w:tc>
      </w:tr>
      <w:tr>
        <w:trPr>
          <w:trHeight w:val="172"/>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22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b w:val="1"/>
                <w:bCs w:val="1"/>
                <w:color w:val="auto"/>
              </w:rPr>
              <w:t>45,507</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2,260</w:t>
            </w:r>
          </w:p>
        </w:tc>
        <w:tc>
          <w:tcPr>
            <w:tcW w:w="24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3"/>
                <w:szCs w:val="13"/>
                <w:b w:val="1"/>
                <w:bCs w:val="1"/>
                <w:color w:val="auto"/>
              </w:rPr>
              <w:t>47,767</w:t>
            </w:r>
          </w:p>
        </w:tc>
      </w:tr>
      <w:tr>
        <w:trPr>
          <w:trHeight w:val="29"/>
        </w:trPr>
        <w:tc>
          <w:tcPr>
            <w:tcW w:w="7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9 - Property, plant, and equipment</w:t>
      </w:r>
    </w:p>
    <w:p>
      <w:pPr>
        <w:spacing w:after="0" w:line="64"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3"/>
          <w:szCs w:val="13"/>
          <w:color w:val="auto"/>
        </w:rPr>
        <w:t>As of June 30, 2024, and December 31, 2023, Property, plant and equipment (or "PPE") is recognized in the Unaudited Condensed Consolidated Statement of Financial Position with carrying amounts of $547,098 and $316,867, respectively. Of these amounts,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5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3"/>
          <w:szCs w:val="13"/>
          <w:color w:val="auto"/>
        </w:rPr>
        <w:t xml:space="preserve">$70,981 and $88,322 is related to ROU assets for leased buildings and land, and $9,768 and $9,896 is related to ROU assets for leased machinery and equipment, respectively. Refer to </w:t>
      </w:r>
      <w:r>
        <w:rPr>
          <w:rFonts w:ascii="Times New Roman" w:cs="Times New Roman" w:eastAsia="Times New Roman" w:hAnsi="Times New Roman"/>
          <w:sz w:val="13"/>
          <w:szCs w:val="13"/>
          <w:i w:val="1"/>
          <w:iCs w:val="1"/>
          <w:color w:val="auto"/>
        </w:rPr>
        <w:t>Note 6 - Leases</w:t>
      </w:r>
      <w:r>
        <w:rPr>
          <w:rFonts w:ascii="Times New Roman" w:cs="Times New Roman" w:eastAsia="Times New Roman" w:hAnsi="Times New Roman"/>
          <w:sz w:val="13"/>
          <w:szCs w:val="13"/>
          <w:color w:val="auto"/>
        </w:rPr>
        <w:t xml:space="preserve"> for more details on the Group's ROU assets and operating leases.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Property, plant and equipment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40" w:type="dxa"/>
            <w:vAlign w:val="bottom"/>
            <w:vMerge w:val="restart"/>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Buildings and land</w:t>
            </w:r>
          </w:p>
        </w:tc>
        <w:tc>
          <w:tcPr>
            <w:tcW w:w="16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Machinery and</w:t>
            </w:r>
          </w:p>
        </w:tc>
        <w:tc>
          <w:tcPr>
            <w:tcW w:w="120" w:type="dxa"/>
            <w:vAlign w:val="bottom"/>
            <w:shd w:val="clear" w:color="auto" w:fill="DBDBDB"/>
          </w:tcPr>
          <w:p>
            <w:pPr>
              <w:spacing w:after="0"/>
              <w:rPr>
                <w:sz w:val="16"/>
                <w:szCs w:val="16"/>
                <w:color w:val="auto"/>
              </w:rPr>
            </w:pPr>
          </w:p>
        </w:tc>
        <w:tc>
          <w:tcPr>
            <w:tcW w:w="1160" w:type="dxa"/>
            <w:vAlign w:val="bottom"/>
            <w:tcBorders>
              <w:right w:val="single" w:sz="8" w:color="auto"/>
            </w:tcBorders>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8"/>
              </w:rPr>
              <w:t>Machinery under</w:t>
            </w:r>
          </w:p>
        </w:tc>
        <w:tc>
          <w:tcPr>
            <w:tcW w:w="260" w:type="dxa"/>
            <w:vAlign w:val="bottom"/>
            <w:shd w:val="clear" w:color="auto" w:fill="DBDBDB"/>
          </w:tcPr>
          <w:p>
            <w:pPr>
              <w:spacing w:after="0"/>
              <w:rPr>
                <w:sz w:val="16"/>
                <w:szCs w:val="16"/>
                <w:color w:val="auto"/>
              </w:rPr>
            </w:pPr>
          </w:p>
        </w:tc>
        <w:tc>
          <w:tcPr>
            <w:tcW w:w="980" w:type="dxa"/>
            <w:vAlign w:val="bottom"/>
            <w:vMerge w:val="restart"/>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8"/>
        </w:trPr>
        <w:tc>
          <w:tcPr>
            <w:tcW w:w="6260" w:type="dxa"/>
            <w:vAlign w:val="bottom"/>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vMerge w:val="continue"/>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100" w:type="dxa"/>
            <w:vAlign w:val="bottom"/>
            <w:tcBorders>
              <w:bottom w:val="single" w:sz="8" w:color="auto"/>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120" w:type="dxa"/>
            <w:vAlign w:val="bottom"/>
            <w:tcBorders>
              <w:bottom w:val="single" w:sz="8" w:color="auto"/>
            </w:tcBorders>
            <w:shd w:val="clear" w:color="auto" w:fill="DBDBDB"/>
          </w:tcPr>
          <w:p>
            <w:pPr>
              <w:spacing w:after="0"/>
              <w:rPr>
                <w:sz w:val="16"/>
                <w:szCs w:val="16"/>
                <w:color w:val="auto"/>
              </w:rPr>
            </w:pPr>
          </w:p>
        </w:tc>
        <w:tc>
          <w:tcPr>
            <w:tcW w:w="1160" w:type="dxa"/>
            <w:vAlign w:val="bottom"/>
            <w:tcBorders>
              <w:bottom w:val="single" w:sz="8" w:color="auto"/>
              <w:right w:val="single" w:sz="8" w:color="auto"/>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development</w:t>
            </w:r>
          </w:p>
        </w:tc>
        <w:tc>
          <w:tcPr>
            <w:tcW w:w="26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vMerge w:val="continue"/>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Acquisition Cost</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8,916</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180,945</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94,142</w:t>
            </w:r>
          </w:p>
        </w:tc>
        <w:tc>
          <w:tcPr>
            <w:tcW w:w="260" w:type="dxa"/>
            <w:vAlign w:val="bottom"/>
            <w:tcBorders>
              <w:bottom w:val="single" w:sz="8" w:color="DBDBDB"/>
            </w:tcBorders>
            <w:shd w:val="clear" w:color="auto" w:fill="DBDBDB"/>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284,003</w:t>
            </w:r>
          </w:p>
        </w:tc>
        <w:tc>
          <w:tcPr>
            <w:tcW w:w="0" w:type="dxa"/>
            <w:vAlign w:val="bottom"/>
          </w:tcPr>
          <w:p>
            <w:pPr>
              <w:spacing w:after="0"/>
              <w:rPr>
                <w:sz w:val="1"/>
                <w:szCs w:val="1"/>
                <w:color w:val="auto"/>
              </w:rPr>
            </w:pPr>
          </w:p>
        </w:tc>
      </w:tr>
      <w:tr>
        <w:trPr>
          <w:trHeight w:val="201"/>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Additions</w:t>
            </w:r>
            <w:r>
              <w:rPr>
                <w:rFonts w:ascii="Times New Roman" w:cs="Times New Roman" w:eastAsia="Times New Roman" w:hAnsi="Times New Roman"/>
                <w:sz w:val="16"/>
                <w:szCs w:val="16"/>
                <w:color w:val="auto"/>
                <w:vertAlign w:val="superscript"/>
              </w:rPr>
              <w:t>1</w:t>
            </w: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2,732</w:t>
            </w: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71,867</w:t>
            </w:r>
          </w:p>
        </w:tc>
        <w:tc>
          <w:tcPr>
            <w:tcW w:w="120" w:type="dxa"/>
            <w:vAlign w:val="bottom"/>
            <w:tcBorders>
              <w:top w:val="single" w:sz="8" w:color="auto"/>
            </w:tcBorders>
          </w:tcPr>
          <w:p>
            <w:pPr>
              <w:spacing w:after="0"/>
              <w:rPr>
                <w:sz w:val="17"/>
                <w:szCs w:val="17"/>
                <w:color w:val="auto"/>
              </w:rPr>
            </w:pPr>
          </w:p>
        </w:tc>
        <w:tc>
          <w:tcPr>
            <w:tcW w:w="11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186,296</w:t>
            </w: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260,895</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Divestments and disposals</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Reclassifications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58,017</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(59,979)</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Effect of foreign currency exchange differences</w:t>
            </w:r>
          </w:p>
        </w:tc>
        <w:tc>
          <w:tcPr>
            <w:tcW w:w="10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60" w:type="dxa"/>
            <w:vAlign w:val="bottom"/>
            <w:tcBorders>
              <w:bottom w:val="single" w:sz="8" w:color="DBDBDB"/>
            </w:tcBorders>
            <w:shd w:val="clear" w:color="auto" w:fill="DBDBDB"/>
          </w:tcPr>
          <w:p>
            <w:pPr>
              <w:spacing w:after="0"/>
              <w:rPr>
                <w:sz w:val="18"/>
                <w:szCs w:val="18"/>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(6,002)</w:t>
            </w:r>
          </w:p>
        </w:tc>
        <w:tc>
          <w:tcPr>
            <w:tcW w:w="12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(2,611)</w:t>
            </w:r>
          </w:p>
        </w:tc>
        <w:tc>
          <w:tcPr>
            <w:tcW w:w="26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(8,882)</w:t>
            </w:r>
          </w:p>
        </w:tc>
        <w:tc>
          <w:tcPr>
            <w:tcW w:w="0" w:type="dxa"/>
            <w:vAlign w:val="bottom"/>
          </w:tcPr>
          <w:p>
            <w:pPr>
              <w:spacing w:after="0"/>
              <w:rPr>
                <w:sz w:val="1"/>
                <w:szCs w:val="1"/>
                <w:color w:val="auto"/>
              </w:rPr>
            </w:pPr>
          </w:p>
        </w:tc>
      </w:tr>
      <w:tr>
        <w:trPr>
          <w:trHeight w:val="17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13,341</w:t>
            </w: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304,757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217,848</w:t>
            </w:r>
          </w:p>
        </w:tc>
        <w:tc>
          <w:tcPr>
            <w:tcW w:w="260" w:type="dxa"/>
            <w:vAlign w:val="bottom"/>
            <w:tcBorders>
              <w:top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535,946</w:t>
            </w:r>
          </w:p>
        </w:tc>
        <w:tc>
          <w:tcPr>
            <w:tcW w:w="0" w:type="dxa"/>
            <w:vAlign w:val="bottom"/>
          </w:tcPr>
          <w:p>
            <w:pPr>
              <w:spacing w:after="0"/>
              <w:rPr>
                <w:sz w:val="1"/>
                <w:szCs w:val="1"/>
                <w:color w:val="auto"/>
              </w:rPr>
            </w:pPr>
          </w:p>
        </w:tc>
      </w:tr>
      <w:tr>
        <w:trPr>
          <w:trHeight w:val="29"/>
        </w:trPr>
        <w:tc>
          <w:tcPr>
            <w:tcW w:w="62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Depreciation and impairment</w:t>
            </w:r>
          </w:p>
        </w:tc>
        <w:tc>
          <w:tcPr>
            <w:tcW w:w="100" w:type="dxa"/>
            <w:vAlign w:val="bottom"/>
            <w:tcBorders>
              <w:bottom w:val="single" w:sz="8" w:color="DBDBDB"/>
            </w:tcBorders>
            <w:shd w:val="clear" w:color="auto" w:fill="DBDBDB"/>
          </w:tcPr>
          <w:p>
            <w:pPr>
              <w:spacing w:after="0"/>
              <w:rPr>
                <w:sz w:val="14"/>
                <w:szCs w:val="14"/>
                <w:color w:val="auto"/>
              </w:rPr>
            </w:pPr>
          </w:p>
        </w:tc>
        <w:tc>
          <w:tcPr>
            <w:tcW w:w="1140" w:type="dxa"/>
            <w:vAlign w:val="bottom"/>
            <w:tcBorders>
              <w:bottom w:val="single" w:sz="8" w:color="DBDBDB"/>
            </w:tcBorders>
            <w:shd w:val="clear" w:color="auto" w:fill="DBDBDB"/>
          </w:tcPr>
          <w:p>
            <w:pPr>
              <w:spacing w:after="0"/>
              <w:rPr>
                <w:sz w:val="14"/>
                <w:szCs w:val="14"/>
                <w:color w:val="auto"/>
              </w:rPr>
            </w:pPr>
          </w:p>
        </w:tc>
        <w:tc>
          <w:tcPr>
            <w:tcW w:w="160" w:type="dxa"/>
            <w:vAlign w:val="bottom"/>
            <w:tcBorders>
              <w:bottom w:val="single" w:sz="8" w:color="DBDBDB"/>
            </w:tcBorders>
            <w:shd w:val="clear" w:color="auto" w:fill="DBDBDB"/>
          </w:tcPr>
          <w:p>
            <w:pPr>
              <w:spacing w:after="0"/>
              <w:rPr>
                <w:sz w:val="14"/>
                <w:szCs w:val="14"/>
                <w:color w:val="auto"/>
              </w:rPr>
            </w:pPr>
          </w:p>
        </w:tc>
        <w:tc>
          <w:tcPr>
            <w:tcW w:w="1100" w:type="dxa"/>
            <w:vAlign w:val="bottom"/>
            <w:tcBorders>
              <w:bottom w:val="single" w:sz="8" w:color="DBDBDB"/>
            </w:tcBorders>
            <w:shd w:val="clear" w:color="auto" w:fill="DBDBDB"/>
          </w:tcPr>
          <w:p>
            <w:pPr>
              <w:spacing w:after="0"/>
              <w:rPr>
                <w:sz w:val="14"/>
                <w:szCs w:val="14"/>
                <w:color w:val="auto"/>
              </w:rPr>
            </w:pPr>
          </w:p>
        </w:tc>
        <w:tc>
          <w:tcPr>
            <w:tcW w:w="12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right w:val="single" w:sz="8" w:color="auto"/>
            </w:tcBorders>
            <w:shd w:val="clear" w:color="auto" w:fill="DBDBDB"/>
          </w:tcPr>
          <w:p>
            <w:pPr>
              <w:spacing w:after="0"/>
              <w:rPr>
                <w:sz w:val="14"/>
                <w:szCs w:val="14"/>
                <w:color w:val="auto"/>
              </w:rPr>
            </w:pPr>
          </w:p>
        </w:tc>
        <w:tc>
          <w:tcPr>
            <w:tcW w:w="260" w:type="dxa"/>
            <w:vAlign w:val="bottom"/>
            <w:tcBorders>
              <w:bottom w:val="single" w:sz="8" w:color="DBDBDB"/>
            </w:tcBorders>
            <w:shd w:val="clear" w:color="auto" w:fill="DBDBDB"/>
          </w:tcPr>
          <w:p>
            <w:pPr>
              <w:spacing w:after="0"/>
              <w:rPr>
                <w:sz w:val="14"/>
                <w:szCs w:val="14"/>
                <w:color w:val="auto"/>
              </w:rPr>
            </w:pPr>
          </w:p>
        </w:tc>
        <w:tc>
          <w:tcPr>
            <w:tcW w:w="98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as of January 1, 2024</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(2,709)</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(62,043)</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(602)</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(65,354)</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Depreciation expense</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(1,287)</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2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(3,092)</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capitalized into inventory</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(2,398)</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Divestments and disposals</w:t>
            </w:r>
          </w:p>
        </w:tc>
        <w:tc>
          <w:tcPr>
            <w:tcW w:w="1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DBDBDB"/>
            </w:tcBorders>
            <w:shd w:val="clear" w:color="auto" w:fill="DBDBDB"/>
          </w:tcPr>
          <w:p>
            <w:pPr>
              <w:spacing w:after="0"/>
              <w:rPr>
                <w:sz w:val="16"/>
                <w:szCs w:val="16"/>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2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0" w:type="dxa"/>
            <w:vAlign w:val="bottom"/>
          </w:tcPr>
          <w:p>
            <w:pPr>
              <w:spacing w:after="0"/>
              <w:rPr>
                <w:sz w:val="1"/>
                <w:szCs w:val="1"/>
                <w:color w:val="auto"/>
              </w:rPr>
            </w:pPr>
          </w:p>
        </w:tc>
      </w:tr>
      <w:tr>
        <w:trPr>
          <w:trHeight w:val="182"/>
        </w:trPr>
        <w:tc>
          <w:tcPr>
            <w:tcW w:w="6260" w:type="dxa"/>
            <w:vAlign w:val="bottom"/>
          </w:tcPr>
          <w:p>
            <w:pPr>
              <w:spacing w:after="0"/>
              <w:rPr>
                <w:sz w:val="20"/>
                <w:szCs w:val="20"/>
                <w:color w:val="auto"/>
              </w:rPr>
            </w:pPr>
            <w:r>
              <w:rPr>
                <w:rFonts w:ascii="Times New Roman" w:cs="Times New Roman" w:eastAsia="Times New Roman" w:hAnsi="Times New Roman"/>
                <w:sz w:val="13"/>
                <w:szCs w:val="13"/>
                <w:color w:val="auto"/>
              </w:rPr>
              <w:t>Effect of foreign currency exchange differences</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120" w:type="dxa"/>
            <w:vAlign w:val="bottom"/>
          </w:tcPr>
          <w:p>
            <w:pPr>
              <w:spacing w:after="0"/>
              <w:rPr>
                <w:sz w:val="15"/>
                <w:szCs w:val="15"/>
                <w:color w:val="auto"/>
              </w:rPr>
            </w:pPr>
          </w:p>
        </w:tc>
        <w:tc>
          <w:tcPr>
            <w:tcW w:w="11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1,213</w:t>
            </w:r>
          </w:p>
        </w:tc>
        <w:tc>
          <w:tcPr>
            <w:tcW w:w="0" w:type="dxa"/>
            <w:vAlign w:val="bottom"/>
          </w:tcPr>
          <w:p>
            <w:pPr>
              <w:spacing w:after="0"/>
              <w:rPr>
                <w:sz w:val="1"/>
                <w:szCs w:val="1"/>
                <w:color w:val="auto"/>
              </w:rPr>
            </w:pPr>
          </w:p>
        </w:tc>
      </w:tr>
      <w:tr>
        <w:trPr>
          <w:trHeight w:val="29"/>
        </w:trPr>
        <w:tc>
          <w:tcPr>
            <w:tcW w:w="626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(3,927)</w:t>
            </w: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(65,068)</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(602)</w:t>
            </w:r>
          </w:p>
        </w:tc>
        <w:tc>
          <w:tcPr>
            <w:tcW w:w="260" w:type="dxa"/>
            <w:vAlign w:val="bottom"/>
            <w:tcBorders>
              <w:bottom w:val="single" w:sz="8" w:color="DBDBDB"/>
            </w:tcBorders>
            <w:shd w:val="clear" w:color="auto" w:fill="DBDBDB"/>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(69,597)</w:t>
            </w:r>
          </w:p>
        </w:tc>
        <w:tc>
          <w:tcPr>
            <w:tcW w:w="0" w:type="dxa"/>
            <w:vAlign w:val="bottom"/>
          </w:tcPr>
          <w:p>
            <w:pPr>
              <w:spacing w:after="0"/>
              <w:rPr>
                <w:sz w:val="1"/>
                <w:szCs w:val="1"/>
                <w:color w:val="auto"/>
              </w:rPr>
            </w:pPr>
          </w:p>
        </w:tc>
      </w:tr>
      <w:tr>
        <w:trPr>
          <w:trHeight w:val="172"/>
        </w:trPr>
        <w:tc>
          <w:tcPr>
            <w:tcW w:w="62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right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Carrying amount at June 30,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9,414</w:t>
            </w:r>
          </w:p>
        </w:tc>
        <w:tc>
          <w:tcPr>
            <w:tcW w:w="160" w:type="dxa"/>
            <w:vAlign w:val="bottom"/>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239,689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217,246</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466,349</w:t>
            </w:r>
          </w:p>
        </w:tc>
        <w:tc>
          <w:tcPr>
            <w:tcW w:w="0" w:type="dxa"/>
            <w:vAlign w:val="bottom"/>
          </w:tcPr>
          <w:p>
            <w:pPr>
              <w:spacing w:after="0"/>
              <w:rPr>
                <w:sz w:val="1"/>
                <w:szCs w:val="1"/>
                <w:color w:val="auto"/>
              </w:rPr>
            </w:pPr>
          </w:p>
        </w:tc>
      </w:tr>
      <w:tr>
        <w:trPr>
          <w:trHeight w:val="29"/>
        </w:trPr>
        <w:tc>
          <w:tcPr>
            <w:tcW w:w="6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00"/>
        <w:spacing w:after="0" w:line="238" w:lineRule="auto"/>
        <w:rPr>
          <w:sz w:val="20"/>
          <w:szCs w:val="20"/>
          <w:color w:val="auto"/>
        </w:rPr>
      </w:pPr>
      <w:r>
        <w:rPr>
          <w:rFonts w:ascii="Times New Roman" w:cs="Times New Roman" w:eastAsia="Times New Roman" w:hAnsi="Times New Roman"/>
          <w:sz w:val="8"/>
          <w:szCs w:val="8"/>
          <w:color w:val="auto"/>
        </w:rPr>
        <w:t>1 - Of $260,895 in additions for the six months ended June 30, 2024, $64,464 has been settled in cash. These $64,464 are included in the $83,884 in the cash-flow from investing activities related to additions to property, plant and equipment, and the remaining $19,420 relates to decreases in Trade payables - related parties from prior years which were settled in cash during the six months ended June 30,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10 - Financial instruments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shows the carrying amounts of financial assets and liabilities measured at fair value through profit and loss on a recurring basis: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680" w:type="dxa"/>
            <w:vAlign w:val="bottom"/>
            <w:tcBorders>
              <w:right w:val="single" w:sz="8" w:color="DBDBDB"/>
            </w:tcBorders>
            <w:gridSpan w:val="3"/>
            <w:shd w:val="clear" w:color="auto" w:fill="DBDBDB"/>
          </w:tcPr>
          <w:p>
            <w:pPr>
              <w:jc w:val="right"/>
              <w:ind w:right="336"/>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620" w:type="dxa"/>
            <w:vAlign w:val="bottom"/>
            <w:tcBorders>
              <w:right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100" w:type="dxa"/>
            <w:vAlign w:val="bottom"/>
            <w:shd w:val="clear" w:color="auto" w:fill="DBDBDB"/>
          </w:tcPr>
          <w:p>
            <w:pPr>
              <w:spacing w:after="0"/>
              <w:rPr>
                <w:sz w:val="15"/>
                <w:szCs w:val="15"/>
                <w:color w:val="auto"/>
              </w:rPr>
            </w:pPr>
          </w:p>
        </w:tc>
        <w:tc>
          <w:tcPr>
            <w:tcW w:w="800" w:type="dxa"/>
            <w:vAlign w:val="bottom"/>
            <w:shd w:val="clear" w:color="auto" w:fill="DBDBDB"/>
          </w:tcPr>
          <w:p>
            <w:pPr>
              <w:spacing w:after="0"/>
              <w:rPr>
                <w:sz w:val="15"/>
                <w:szCs w:val="15"/>
                <w:color w:val="auto"/>
              </w:rPr>
            </w:pP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 measured at FVTPL</w:t>
            </w:r>
          </w:p>
        </w:tc>
        <w:tc>
          <w:tcPr>
            <w:tcW w:w="18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80" w:type="dxa"/>
            <w:vAlign w:val="bottom"/>
          </w:tcPr>
          <w:p>
            <w:pPr>
              <w:spacing w:after="0"/>
              <w:rPr>
                <w:sz w:val="15"/>
                <w:szCs w:val="15"/>
                <w:color w:val="auto"/>
              </w:rPr>
            </w:pPr>
          </w:p>
        </w:tc>
        <w:tc>
          <w:tcPr>
            <w:tcW w:w="74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80" w:type="dxa"/>
            <w:vAlign w:val="bottom"/>
          </w:tcPr>
          <w:p>
            <w:pPr>
              <w:spacing w:after="0"/>
              <w:rPr>
                <w:sz w:val="15"/>
                <w:szCs w:val="15"/>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5"/>
                <w:szCs w:val="15"/>
                <w:color w:val="auto"/>
              </w:rPr>
            </w:pPr>
          </w:p>
        </w:tc>
        <w:tc>
          <w:tcPr>
            <w:tcW w:w="720" w:type="dxa"/>
            <w:vAlign w:val="bottom"/>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220" w:type="dxa"/>
            <w:vAlign w:val="bottom"/>
          </w:tcPr>
          <w:p>
            <w:pPr>
              <w:spacing w:after="0"/>
              <w:rPr>
                <w:sz w:val="15"/>
                <w:szCs w:val="15"/>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840" w:type="dxa"/>
            <w:vAlign w:val="bottom"/>
            <w:tcBorders>
              <w:right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00" w:type="dxa"/>
            <w:vAlign w:val="bottom"/>
          </w:tcPr>
          <w:p>
            <w:pPr>
              <w:spacing w:after="0"/>
              <w:rPr>
                <w:sz w:val="15"/>
                <w:szCs w:val="15"/>
                <w:color w:val="auto"/>
              </w:rPr>
            </w:pPr>
          </w:p>
        </w:tc>
        <w:tc>
          <w:tcPr>
            <w:tcW w:w="800" w:type="dxa"/>
            <w:vAlign w:val="bottom"/>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29"/>
        </w:trPr>
        <w:tc>
          <w:tcPr>
            <w:tcW w:w="3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investments</w:t>
            </w:r>
          </w:p>
        </w:tc>
        <w:tc>
          <w:tcPr>
            <w:tcW w:w="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2,285</w:t>
            </w:r>
          </w:p>
        </w:tc>
        <w:tc>
          <w:tcPr>
            <w:tcW w:w="180" w:type="dxa"/>
            <w:vAlign w:val="bottom"/>
            <w:tcBorders>
              <w:bottom w:val="single" w:sz="8" w:color="DBDBDB"/>
            </w:tcBorders>
            <w:shd w:val="clear" w:color="auto" w:fill="DBDBDB"/>
          </w:tcPr>
          <w:p>
            <w:pPr>
              <w:spacing w:after="0"/>
              <w:rPr>
                <w:sz w:val="17"/>
                <w:szCs w:val="17"/>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2,285</w:t>
            </w:r>
          </w:p>
        </w:tc>
        <w:tc>
          <w:tcPr>
            <w:tcW w:w="160" w:type="dxa"/>
            <w:vAlign w:val="bottom"/>
            <w:tcBorders>
              <w:bottom w:val="single" w:sz="8" w:color="DBDBDB"/>
            </w:tcBorders>
            <w:shd w:val="clear" w:color="auto" w:fill="DBDBDB"/>
          </w:tcPr>
          <w:p>
            <w:pPr>
              <w:spacing w:after="0"/>
              <w:rPr>
                <w:sz w:val="17"/>
                <w:szCs w:val="17"/>
                <w:color w:val="auto"/>
              </w:rPr>
            </w:pPr>
          </w:p>
        </w:tc>
        <w:tc>
          <w:tcPr>
            <w:tcW w:w="16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2,414</w:t>
            </w:r>
          </w:p>
        </w:tc>
        <w:tc>
          <w:tcPr>
            <w:tcW w:w="10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2,414</w:t>
            </w: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financial assets measured at FVTPL</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 $</w:t>
            </w:r>
          </w:p>
        </w:tc>
        <w:tc>
          <w:tcPr>
            <w:tcW w:w="920" w:type="dxa"/>
            <w:vAlign w:val="bottom"/>
            <w:tcBorders>
              <w:top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 $</w:t>
            </w:r>
          </w:p>
        </w:tc>
        <w:tc>
          <w:tcPr>
            <w:tcW w:w="76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2,285</w:t>
            </w:r>
          </w:p>
        </w:tc>
        <w:tc>
          <w:tcPr>
            <w:tcW w:w="18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2,285</w:t>
            </w:r>
          </w:p>
        </w:tc>
        <w:tc>
          <w:tcPr>
            <w:tcW w:w="160" w:type="dxa"/>
            <w:vAlign w:val="bottom"/>
          </w:tcPr>
          <w:p>
            <w:pPr>
              <w:spacing w:after="0"/>
              <w:rPr>
                <w:sz w:val="14"/>
                <w:szCs w:val="14"/>
                <w:color w:val="auto"/>
              </w:rPr>
            </w:pPr>
          </w:p>
        </w:tc>
        <w:tc>
          <w:tcPr>
            <w:tcW w:w="1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tcBorders>
            <w:gridSpan w:val="2"/>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 $</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84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2,414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2,414</w:t>
            </w:r>
          </w:p>
        </w:tc>
      </w:tr>
      <w:tr>
        <w:trPr>
          <w:trHeight w:val="29"/>
        </w:trPr>
        <w:tc>
          <w:tcPr>
            <w:tcW w:w="3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72"/>
        </w:trPr>
        <w:tc>
          <w:tcPr>
            <w:tcW w:w="388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40" w:type="dxa"/>
            <w:vAlign w:val="bottom"/>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60" w:type="dxa"/>
            <w:vAlign w:val="bottom"/>
            <w:tcBorders>
              <w:right w:val="single" w:sz="8" w:color="auto"/>
            </w:tcBorders>
            <w:shd w:val="clear" w:color="auto" w:fill="DBDBDB"/>
          </w:tcPr>
          <w:p>
            <w:pPr>
              <w:spacing w:after="0"/>
              <w:rPr>
                <w:sz w:val="14"/>
                <w:szCs w:val="14"/>
                <w:color w:val="auto"/>
              </w:rPr>
            </w:pPr>
          </w:p>
        </w:tc>
        <w:tc>
          <w:tcPr>
            <w:tcW w:w="180" w:type="dxa"/>
            <w:vAlign w:val="bottom"/>
            <w:shd w:val="clear" w:color="auto" w:fill="DBDBDB"/>
          </w:tcPr>
          <w:p>
            <w:pPr>
              <w:spacing w:after="0"/>
              <w:rPr>
                <w:sz w:val="14"/>
                <w:szCs w:val="14"/>
                <w:color w:val="auto"/>
              </w:rPr>
            </w:pPr>
          </w:p>
        </w:tc>
        <w:tc>
          <w:tcPr>
            <w:tcW w:w="70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2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840" w:type="dxa"/>
            <w:vAlign w:val="bottom"/>
            <w:tcBorders>
              <w:right w:val="single" w:sz="8" w:color="auto"/>
            </w:tcBorders>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800" w:type="dxa"/>
            <w:vAlign w:val="bottom"/>
            <w:shd w:val="clear" w:color="auto" w:fill="DBDBDB"/>
          </w:tcPr>
          <w:p>
            <w:pPr>
              <w:spacing w:after="0"/>
              <w:rPr>
                <w:sz w:val="14"/>
                <w:szCs w:val="14"/>
                <w:color w:val="auto"/>
              </w:rPr>
            </w:pP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Earn-out rights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15,764</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15,764</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155,402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155,402</w:t>
            </w:r>
          </w:p>
        </w:tc>
      </w:tr>
      <w:tr>
        <w:trPr>
          <w:trHeight w:val="29"/>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2"/>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Class C-1 Shares</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4,920</w:t>
            </w:r>
          </w:p>
        </w:tc>
        <w:tc>
          <w:tcPr>
            <w:tcW w:w="22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4,920</w:t>
            </w: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Class C-2 Shares</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80" w:type="dxa"/>
            <w:vAlign w:val="bottom"/>
          </w:tcPr>
          <w:p>
            <w:pPr>
              <w:spacing w:after="0"/>
              <w:rPr>
                <w:sz w:val="15"/>
                <w:szCs w:val="15"/>
                <w:color w:val="auto"/>
              </w:rPr>
            </w:pPr>
          </w:p>
        </w:tc>
        <w:tc>
          <w:tcPr>
            <w:tcW w:w="76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630</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rPr>
              <w:t>1,080</w:t>
            </w: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1,080</w:t>
            </w:r>
          </w:p>
        </w:tc>
      </w:tr>
      <w:tr>
        <w:trPr>
          <w:trHeight w:val="29"/>
        </w:trPr>
        <w:tc>
          <w:tcPr>
            <w:tcW w:w="38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81"/>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financial liabilities measured at FVTPL</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2,870</w:t>
            </w:r>
          </w:p>
        </w:tc>
        <w:tc>
          <w:tcPr>
            <w:tcW w:w="1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630</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15,764</w:t>
            </w:r>
          </w:p>
        </w:tc>
        <w:tc>
          <w:tcPr>
            <w:tcW w:w="180" w:type="dxa"/>
            <w:vAlign w:val="bottom"/>
            <w:tcBorders>
              <w:bottom w:val="single" w:sz="8" w:color="DBDBDB"/>
            </w:tcBorders>
            <w:shd w:val="clear" w:color="auto" w:fill="DBDBDB"/>
          </w:tcPr>
          <w:p>
            <w:pPr>
              <w:jc w:val="right"/>
              <w:ind w:right="6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19,264</w:t>
            </w:r>
          </w:p>
        </w:tc>
        <w:tc>
          <w:tcPr>
            <w:tcW w:w="160" w:type="dxa"/>
            <w:vAlign w:val="bottom"/>
            <w:tcBorders>
              <w:bottom w:val="single" w:sz="8" w:color="DBDBDB"/>
            </w:tcBorders>
            <w:shd w:val="clear" w:color="auto" w:fill="DBDBDB"/>
          </w:tcPr>
          <w:p>
            <w:pPr>
              <w:spacing w:after="0"/>
              <w:rPr>
                <w:sz w:val="15"/>
                <w:szCs w:val="15"/>
                <w:color w:val="auto"/>
              </w:rPr>
            </w:pPr>
          </w:p>
        </w:tc>
        <w:tc>
          <w:tcPr>
            <w:tcW w:w="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4,920</w:t>
            </w:r>
          </w:p>
        </w:tc>
        <w:tc>
          <w:tcPr>
            <w:tcW w:w="22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1,080 $</w:t>
            </w:r>
          </w:p>
        </w:tc>
        <w:tc>
          <w:tcPr>
            <w:tcW w:w="840" w:type="dxa"/>
            <w:vAlign w:val="bottom"/>
            <w:tcBorders>
              <w:bottom w:val="single" w:sz="8" w:color="DBDBDB"/>
              <w:right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155,402</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161,402</w:t>
            </w:r>
          </w:p>
        </w:tc>
      </w:tr>
      <w:tr>
        <w:trPr>
          <w:trHeight w:val="20"/>
        </w:trPr>
        <w:tc>
          <w:tcPr>
            <w:tcW w:w="3880" w:type="dxa"/>
            <w:vAlign w:val="bottom"/>
          </w:tcPr>
          <w:p>
            <w:pPr>
              <w:spacing w:after="0" w:line="20" w:lineRule="exact"/>
              <w:rPr>
                <w:sz w:val="1"/>
                <w:szCs w:val="1"/>
                <w:color w:val="auto"/>
              </w:rPr>
            </w:pPr>
          </w:p>
        </w:tc>
        <w:tc>
          <w:tcPr>
            <w:tcW w:w="2760" w:type="dxa"/>
            <w:vAlign w:val="bottom"/>
            <w:tcBorders>
              <w:right w:val="single" w:sz="8" w:color="auto"/>
            </w:tcBorders>
            <w:gridSpan w:val="6"/>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Borders>
              <w:right w:val="single" w:sz="8" w:color="auto"/>
            </w:tcBorders>
            <w:gridSpan w:val="5"/>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68"/>
        </w:trPr>
        <w:tc>
          <w:tcPr>
            <w:tcW w:w="1040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Note 1 - Overview and basis of preparation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i w:val="1"/>
                <w:iCs w:val="1"/>
                <w:color w:val="auto"/>
              </w:rPr>
              <w:t>Note 11 - Reverse recapitalization</w:t>
            </w:r>
            <w:r>
              <w:rPr>
                <w:rFonts w:ascii="Times New Roman" w:cs="Times New Roman" w:eastAsia="Times New Roman" w:hAnsi="Times New Roman"/>
                <w:sz w:val="13"/>
                <w:szCs w:val="13"/>
                <w:color w:val="auto"/>
              </w:rPr>
              <w:t xml:space="preserve"> for more details on the financial liabilities related to the Class C Shares and the Earn-out rights.</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12"/>
        </w:trPr>
        <w:tc>
          <w:tcPr>
            <w:tcW w:w="5700" w:type="dxa"/>
            <w:vAlign w:val="bottom"/>
            <w:gridSpan w:val="5"/>
          </w:tcPr>
          <w:p>
            <w:pPr>
              <w:spacing w:after="0"/>
              <w:rPr>
                <w:sz w:val="20"/>
                <w:szCs w:val="20"/>
                <w:color w:val="auto"/>
              </w:rPr>
            </w:pPr>
            <w:r>
              <w:rPr>
                <w:rFonts w:ascii="Times New Roman" w:cs="Times New Roman" w:eastAsia="Times New Roman" w:hAnsi="Times New Roman"/>
                <w:sz w:val="13"/>
                <w:szCs w:val="13"/>
                <w:color w:val="auto"/>
                <w:w w:val="99"/>
              </w:rPr>
              <w:t>The following table shows the carrying amounts of financial assets and liabilities measured at amortized cost:</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59"/>
        </w:trPr>
        <w:tc>
          <w:tcPr>
            <w:tcW w:w="388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60" w:type="dxa"/>
            <w:vAlign w:val="bottom"/>
            <w:tcBorders>
              <w:right w:val="single" w:sz="8" w:color="DBDBDB"/>
            </w:tcBorders>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70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2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1740" w:type="dxa"/>
            <w:vAlign w:val="bottom"/>
            <w:gridSpan w:val="3"/>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As of December, 31,</w:t>
            </w:r>
          </w:p>
        </w:tc>
      </w:tr>
      <w:tr>
        <w:trPr>
          <w:trHeight w:val="178"/>
        </w:trPr>
        <w:tc>
          <w:tcPr>
            <w:tcW w:w="388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60" w:type="dxa"/>
            <w:vAlign w:val="bottom"/>
            <w:tcBorders>
              <w:right w:val="single" w:sz="8" w:color="DBDBDB"/>
            </w:tcBorders>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620" w:type="dxa"/>
            <w:vAlign w:val="bottom"/>
            <w:tcBorders>
              <w:bottom w:val="single" w:sz="8" w:color="auto"/>
              <w:right w:val="single" w:sz="8" w:color="DBDBDB"/>
            </w:tcBorders>
            <w:gridSpan w:val="2"/>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0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w w:val="94"/>
              </w:rPr>
              <w:t>668,911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768,927</w:t>
            </w:r>
          </w:p>
        </w:tc>
      </w:tr>
      <w:tr>
        <w:trPr>
          <w:trHeight w:val="29"/>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2"/>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Trade receivables and trade receivables - related parties</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right w:val="single" w:sz="8" w:color="DBDBDB"/>
            </w:tcBorders>
            <w:shd w:val="clear" w:color="auto" w:fill="DBDBDB"/>
          </w:tcPr>
          <w:p>
            <w:pPr>
              <w:jc w:val="right"/>
              <w:ind w:right="356"/>
              <w:spacing w:after="0"/>
              <w:rPr>
                <w:sz w:val="20"/>
                <w:szCs w:val="20"/>
                <w:color w:val="auto"/>
              </w:rPr>
            </w:pPr>
            <w:r>
              <w:rPr>
                <w:rFonts w:ascii="Times New Roman" w:cs="Times New Roman" w:eastAsia="Times New Roman" w:hAnsi="Times New Roman"/>
                <w:sz w:val="13"/>
                <w:szCs w:val="13"/>
                <w:color w:val="auto"/>
                <w:w w:val="94"/>
              </w:rPr>
              <w:t>184,065</w:t>
            </w:r>
          </w:p>
        </w:tc>
        <w:tc>
          <w:tcPr>
            <w:tcW w:w="10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187,231</w:t>
            </w: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34,135</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152,605</w:t>
            </w:r>
          </w:p>
        </w:tc>
      </w:tr>
      <w:tr>
        <w:trPr>
          <w:trHeight w:val="29"/>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2"/>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current receivables and other current receivables - related parties</w:t>
            </w:r>
          </w:p>
        </w:tc>
        <w:tc>
          <w:tcPr>
            <w:tcW w:w="18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74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760" w:type="dxa"/>
            <w:vAlign w:val="bottom"/>
            <w:tcBorders>
              <w:bottom w:val="single" w:sz="8" w:color="DBDBDB"/>
              <w:right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70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720" w:type="dxa"/>
            <w:vAlign w:val="bottom"/>
            <w:tcBorders>
              <w:bottom w:val="single" w:sz="8" w:color="DBDBDB"/>
            </w:tcBorders>
            <w:shd w:val="clear" w:color="auto" w:fill="DBDBDB"/>
          </w:tcPr>
          <w:p>
            <w:pPr>
              <w:spacing w:after="0"/>
              <w:rPr>
                <w:sz w:val="16"/>
                <w:szCs w:val="16"/>
                <w:color w:val="auto"/>
              </w:rPr>
            </w:pPr>
          </w:p>
        </w:tc>
        <w:tc>
          <w:tcPr>
            <w:tcW w:w="22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right w:val="single" w:sz="8" w:color="DBDBDB"/>
            </w:tcBorders>
            <w:shd w:val="clear" w:color="auto" w:fill="DBDBDB"/>
          </w:tcPr>
          <w:p>
            <w:pPr>
              <w:jc w:val="right"/>
              <w:ind w:right="356"/>
              <w:spacing w:after="0"/>
              <w:rPr>
                <w:sz w:val="20"/>
                <w:szCs w:val="20"/>
                <w:color w:val="auto"/>
              </w:rPr>
            </w:pPr>
            <w:r>
              <w:rPr>
                <w:rFonts w:ascii="Times New Roman" w:cs="Times New Roman" w:eastAsia="Times New Roman" w:hAnsi="Times New Roman"/>
                <w:sz w:val="13"/>
                <w:szCs w:val="13"/>
                <w:color w:val="auto"/>
              </w:rPr>
              <w:t>18,056</w:t>
            </w:r>
          </w:p>
        </w:tc>
        <w:tc>
          <w:tcPr>
            <w:tcW w:w="10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25,920</w:t>
            </w:r>
          </w:p>
        </w:tc>
      </w:tr>
      <w:tr>
        <w:trPr>
          <w:trHeight w:val="182"/>
        </w:trPr>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receivables</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color w:val="auto"/>
              </w:rPr>
              <w:t>6,091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5,378</w:t>
            </w:r>
          </w:p>
        </w:tc>
      </w:tr>
      <w:tr>
        <w:trPr>
          <w:trHeight w:val="29"/>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12"/>
        </w:trPr>
        <w:tc>
          <w:tcPr>
            <w:tcW w:w="38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18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740" w:type="dxa"/>
            <w:vAlign w:val="bottom"/>
            <w:tcBorders>
              <w:bottom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right w:val="single" w:sz="8" w:color="DBDBDB"/>
            </w:tcBorders>
            <w:shd w:val="clear" w:color="auto" w:fill="DBDBDB"/>
          </w:tcPr>
          <w:p>
            <w:pPr>
              <w:spacing w:after="0"/>
              <w:rPr>
                <w:sz w:val="18"/>
                <w:szCs w:val="18"/>
                <w:color w:val="auto"/>
              </w:rPr>
            </w:pPr>
          </w:p>
        </w:tc>
        <w:tc>
          <w:tcPr>
            <w:tcW w:w="180" w:type="dxa"/>
            <w:vAlign w:val="bottom"/>
            <w:tcBorders>
              <w:bottom w:val="single" w:sz="8" w:color="DBDBDB"/>
            </w:tcBorders>
            <w:shd w:val="clear" w:color="auto" w:fill="DBDBDB"/>
          </w:tcPr>
          <w:p>
            <w:pPr>
              <w:spacing w:after="0"/>
              <w:rPr>
                <w:sz w:val="18"/>
                <w:szCs w:val="18"/>
                <w:color w:val="auto"/>
              </w:rPr>
            </w:pPr>
          </w:p>
        </w:tc>
        <w:tc>
          <w:tcPr>
            <w:tcW w:w="7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72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DBDBDB"/>
              <w:right w:val="single" w:sz="8" w:color="DBDBDB"/>
            </w:tcBorders>
            <w:shd w:val="clear" w:color="auto" w:fill="DBDBDB"/>
          </w:tcPr>
          <w:p>
            <w:pPr>
              <w:jc w:val="right"/>
              <w:ind w:right="356"/>
              <w:spacing w:after="0"/>
              <w:rPr>
                <w:sz w:val="20"/>
                <w:szCs w:val="20"/>
                <w:color w:val="auto"/>
              </w:rPr>
            </w:pPr>
            <w:r>
              <w:rPr>
                <w:rFonts w:ascii="Times New Roman" w:cs="Times New Roman" w:eastAsia="Times New Roman" w:hAnsi="Times New Roman"/>
                <w:sz w:val="13"/>
                <w:szCs w:val="13"/>
                <w:color w:val="auto"/>
              </w:rPr>
              <w:t>21,490</w:t>
            </w:r>
          </w:p>
        </w:tc>
        <w:tc>
          <w:tcPr>
            <w:tcW w:w="100" w:type="dxa"/>
            <w:vAlign w:val="bottom"/>
            <w:tcBorders>
              <w:bottom w:val="single" w:sz="8" w:color="DBDBDB"/>
            </w:tcBorders>
            <w:shd w:val="clear" w:color="auto" w:fill="DBDBDB"/>
          </w:tcPr>
          <w:p>
            <w:pPr>
              <w:spacing w:after="0"/>
              <w:rPr>
                <w:sz w:val="18"/>
                <w:szCs w:val="18"/>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1,834</w:t>
            </w: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financial assets measured at amortized cost</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932,748 $</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1,141,895</w:t>
            </w:r>
          </w:p>
        </w:tc>
      </w:tr>
      <w:tr>
        <w:trPr>
          <w:trHeight w:val="29"/>
        </w:trPr>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7171690" cy="1219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1690" cy="1219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Current and non-current liabilities to credit institutions</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2,484,108</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2,023,582</w:t>
            </w:r>
          </w:p>
        </w:tc>
      </w:tr>
      <w:tr>
        <w:trPr>
          <w:trHeight w:val="29"/>
        </w:trPr>
        <w:tc>
          <w:tcPr>
            <w:tcW w:w="8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non-current interest bearing liabilities and other non-current interest bearing liabilities - related parties</w:t>
            </w:r>
          </w:p>
        </w:tc>
        <w:tc>
          <w:tcPr>
            <w:tcW w:w="4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1,427,304</w:t>
            </w:r>
          </w:p>
        </w:tc>
        <w:tc>
          <w:tcPr>
            <w:tcW w:w="4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1,463,683</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 and accrued expenses - related parties</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559,463</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593,056</w:t>
            </w:r>
          </w:p>
        </w:tc>
      </w:tr>
      <w:tr>
        <w:trPr>
          <w:trHeight w:val="29"/>
        </w:trPr>
        <w:tc>
          <w:tcPr>
            <w:tcW w:w="8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Trade payables and trade payables - related parties</w:t>
            </w:r>
          </w:p>
        </w:tc>
        <w:tc>
          <w:tcPr>
            <w:tcW w:w="4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482,383</w:t>
            </w:r>
          </w:p>
        </w:tc>
        <w:tc>
          <w:tcPr>
            <w:tcW w:w="4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368,145</w:t>
            </w:r>
          </w:p>
        </w:tc>
      </w:tr>
      <w:tr>
        <w:trPr>
          <w:trHeight w:val="21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Interest-bearing current liabilities</w:t>
            </w: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 xml:space="preserve"> and interest bearing current liabilities - related parties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119,121</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87,879</w:t>
            </w: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non-current liabilities and other non-current liabilities - related parties</w:t>
            </w:r>
          </w:p>
        </w:tc>
        <w:tc>
          <w:tcPr>
            <w:tcW w:w="4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4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73,149</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Current and non-current liabilities related to repurchase commitments</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117,751</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58,482</w:t>
            </w:r>
          </w:p>
        </w:tc>
      </w:tr>
      <w:tr>
        <w:trPr>
          <w:trHeight w:val="29"/>
        </w:trPr>
        <w:tc>
          <w:tcPr>
            <w:tcW w:w="8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92"/>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400" w:type="dxa"/>
            <w:vAlign w:val="bottom"/>
            <w:tcBorders>
              <w:bottom w:val="single" w:sz="8" w:color="DBDBDB"/>
            </w:tcBorders>
            <w:shd w:val="clear" w:color="auto" w:fill="DBDBDB"/>
          </w:tcPr>
          <w:p>
            <w:pPr>
              <w:spacing w:after="0"/>
              <w:rPr>
                <w:sz w:val="16"/>
                <w:szCs w:val="16"/>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18,694</w:t>
            </w:r>
          </w:p>
        </w:tc>
        <w:tc>
          <w:tcPr>
            <w:tcW w:w="40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16,415</w:t>
            </w:r>
          </w:p>
        </w:tc>
      </w:tr>
      <w:tr>
        <w:trPr>
          <w:trHeight w:val="182"/>
        </w:trPr>
        <w:tc>
          <w:tcPr>
            <w:tcW w:w="878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liabilities and other current liabilities - related parties</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64,142</w:t>
            </w:r>
          </w:p>
        </w:tc>
        <w:tc>
          <w:tcPr>
            <w:tcW w:w="4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606</w:t>
            </w:r>
          </w:p>
        </w:tc>
      </w:tr>
      <w:tr>
        <w:trPr>
          <w:trHeight w:val="29"/>
        </w:trPr>
        <w:tc>
          <w:tcPr>
            <w:tcW w:w="8780" w:type="dxa"/>
            <w:vAlign w:val="bottom"/>
            <w:tcBorders>
              <w:bottom w:val="single" w:sz="8" w:color="DBDBDB"/>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1"/>
        </w:trPr>
        <w:tc>
          <w:tcPr>
            <w:tcW w:w="87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financial liabilities measured at amortized cost</w:t>
            </w:r>
          </w:p>
        </w:tc>
        <w:tc>
          <w:tcPr>
            <w:tcW w:w="400" w:type="dxa"/>
            <w:vAlign w:val="bottom"/>
            <w:tcBorders>
              <w:bottom w:val="single" w:sz="8" w:color="DBDBDB"/>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5,284,537</w:t>
            </w:r>
          </w:p>
        </w:tc>
        <w:tc>
          <w:tcPr>
            <w:tcW w:w="40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4,684,997</w:t>
            </w:r>
          </w:p>
        </w:tc>
      </w:tr>
      <w:tr>
        <w:trPr>
          <w:trHeight w:val="20"/>
        </w:trPr>
        <w:tc>
          <w:tcPr>
            <w:tcW w:w="8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 – The Group’s current and non-current lease liabilities are included in Interest-bearing current liabilities and Other non-current interest-bearing liabilities, respectively. These amounts are presented separately in Note 6 - Leases.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Total interest income arising on financial assets measured at amortized cost related to cash and cash equivalents for the six months ended June 30, 2024 and 2023 amounted to $5,606 and $12,489, respectively. Total</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interest expense arising on financial liabilities measured at amortized cost related to liabilities to credit institutions, lease liabilities, other financing obligations, and related party liabilities for the six months ended June 30, 2024 and 2023 amounted to $165,215 and $73,869,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table shows the maturities for the Group’s non-derivative financial assets and liabilities as of June 30, 2024:</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80" w:type="dxa"/>
            <w:vAlign w:val="bottom"/>
            <w:tcBorders>
              <w:top w:val="single" w:sz="8" w:color="DBDBDB"/>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1120" w:type="dxa"/>
            <w:vAlign w:val="bottom"/>
            <w:tcBorders>
              <w:top w:val="single" w:sz="8" w:color="auto"/>
            </w:tcBorders>
            <w:shd w:val="clear" w:color="auto" w:fill="DBDBDB"/>
          </w:tcPr>
          <w:p>
            <w:pPr>
              <w:spacing w:after="0"/>
              <w:rPr>
                <w:sz w:val="15"/>
                <w:szCs w:val="15"/>
                <w:color w:val="auto"/>
              </w:rPr>
            </w:pPr>
          </w:p>
        </w:tc>
        <w:tc>
          <w:tcPr>
            <w:tcW w:w="1260" w:type="dxa"/>
            <w:vAlign w:val="bottom"/>
            <w:tcBorders>
              <w:top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Due between 1 and 5</w:t>
            </w:r>
          </w:p>
        </w:tc>
        <w:tc>
          <w:tcPr>
            <w:tcW w:w="100" w:type="dxa"/>
            <w:vAlign w:val="bottom"/>
            <w:tcBorders>
              <w:top w:val="single" w:sz="8" w:color="auto"/>
            </w:tcBorders>
            <w:shd w:val="clear" w:color="auto" w:fill="DBDBDB"/>
          </w:tcPr>
          <w:p>
            <w:pPr>
              <w:spacing w:after="0"/>
              <w:rPr>
                <w:sz w:val="15"/>
                <w:szCs w:val="15"/>
                <w:color w:val="auto"/>
              </w:rPr>
            </w:pPr>
          </w:p>
        </w:tc>
        <w:tc>
          <w:tcPr>
            <w:tcW w:w="1180" w:type="dxa"/>
            <w:vAlign w:val="bottom"/>
            <w:tcBorders>
              <w:top w:val="single" w:sz="8" w:color="auto"/>
              <w:right w:val="single" w:sz="8" w:color="auto"/>
            </w:tcBorders>
            <w:shd w:val="clear" w:color="auto" w:fill="DBDBDB"/>
          </w:tcPr>
          <w:p>
            <w:pPr>
              <w:spacing w:after="0"/>
              <w:rPr>
                <w:sz w:val="15"/>
                <w:szCs w:val="15"/>
                <w:color w:val="auto"/>
              </w:rPr>
            </w:pPr>
          </w:p>
        </w:tc>
        <w:tc>
          <w:tcPr>
            <w:tcW w:w="260" w:type="dxa"/>
            <w:vAlign w:val="bottom"/>
            <w:tcBorders>
              <w:top w:val="single" w:sz="8" w:color="auto"/>
            </w:tcBorders>
            <w:shd w:val="clear" w:color="auto" w:fill="DBDBDB"/>
          </w:tcPr>
          <w:p>
            <w:pPr>
              <w:spacing w:after="0"/>
              <w:rPr>
                <w:sz w:val="15"/>
                <w:szCs w:val="15"/>
                <w:color w:val="auto"/>
              </w:rPr>
            </w:pPr>
          </w:p>
        </w:tc>
        <w:tc>
          <w:tcPr>
            <w:tcW w:w="980" w:type="dxa"/>
            <w:vAlign w:val="bottom"/>
            <w:tcBorders>
              <w:top w:val="single" w:sz="8" w:color="auto"/>
            </w:tcBorders>
            <w:shd w:val="clear" w:color="auto" w:fill="DBDBDB"/>
          </w:tcPr>
          <w:p>
            <w:pPr>
              <w:spacing w:after="0"/>
              <w:rPr>
                <w:sz w:val="15"/>
                <w:szCs w:val="15"/>
                <w:color w:val="auto"/>
              </w:rPr>
            </w:pPr>
          </w:p>
        </w:tc>
      </w:tr>
      <w:tr>
        <w:trPr>
          <w:trHeight w:val="198"/>
        </w:trPr>
        <w:tc>
          <w:tcPr>
            <w:tcW w:w="62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9"/>
              </w:rPr>
              <w:t>Due within 1 year</w:t>
            </w:r>
          </w:p>
        </w:tc>
        <w:tc>
          <w:tcPr>
            <w:tcW w:w="3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years</w:t>
            </w:r>
          </w:p>
        </w:tc>
        <w:tc>
          <w:tcPr>
            <w:tcW w:w="10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right w:val="single" w:sz="8" w:color="auto"/>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7"/>
              </w:rPr>
              <w:t>Due beyond 5 years</w:t>
            </w:r>
          </w:p>
        </w:tc>
        <w:tc>
          <w:tcPr>
            <w:tcW w:w="26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Trade receivables and trade receivables - related parties</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184,065</w:t>
            </w: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184,065</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Accrued income - related parties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34,135</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34,135</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Other current receivables and other current receivables - related parties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18,056</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18,056</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non-current receivables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6,091</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6,091</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21,490</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21,490</w:t>
            </w:r>
          </w:p>
        </w:tc>
      </w:tr>
      <w:tr>
        <w:trPr>
          <w:trHeight w:val="29"/>
        </w:trPr>
        <w:tc>
          <w:tcPr>
            <w:tcW w:w="628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financial assets</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236,256</w:t>
            </w:r>
          </w:p>
        </w:tc>
        <w:tc>
          <w:tcPr>
            <w:tcW w:w="30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27,581</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DBDBDB"/>
            </w:tcBorders>
            <w:shd w:val="clear" w:color="auto" w:fill="DBDBDB"/>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263,837</w:t>
            </w:r>
          </w:p>
        </w:tc>
      </w:tr>
      <w:tr>
        <w:trPr>
          <w:trHeight w:val="172"/>
        </w:trPr>
        <w:tc>
          <w:tcPr>
            <w:tcW w:w="6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80" w:type="dxa"/>
            <w:vAlign w:val="bottom"/>
            <w:tcBorders>
              <w:top w:val="single" w:sz="8" w:color="auto"/>
              <w:right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and non-current liabilities to credit institutions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1,536,819</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947,289</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2,484,108</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interest bearing liabilities and other non-current interest bearing liabilities - related parties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1,406,713</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20,591</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1,427,304</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Accrued expenses and accrued expenses - related parties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559,463</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559,463</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Trade payables and trade payables - related parties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482,383</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482,383</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Interest-bearing current liabilities and interest bearing current liabilities - related parties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119,121</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119,121</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Other non-current liabilities and other non-current liabilities - related parties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11,571</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Current and non-current liabilities related to repurchase commitments</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81,202</w:t>
            </w:r>
          </w:p>
        </w:tc>
        <w:tc>
          <w:tcPr>
            <w:tcW w:w="3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36,549</w:t>
            </w:r>
          </w:p>
        </w:tc>
        <w:tc>
          <w:tcPr>
            <w:tcW w:w="10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117,751</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Advance payments from customers</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18,694</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80" w:type="dxa"/>
            <w:vAlign w:val="bottom"/>
            <w:tcBorders>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18,694</w:t>
            </w:r>
          </w:p>
        </w:tc>
      </w:tr>
      <w:tr>
        <w:trPr>
          <w:trHeight w:val="29"/>
        </w:trPr>
        <w:tc>
          <w:tcPr>
            <w:tcW w:w="6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current liabilities and other current liabilities - related parties</w:t>
            </w:r>
          </w:p>
        </w:tc>
        <w:tc>
          <w:tcPr>
            <w:tcW w:w="12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64,142</w:t>
            </w:r>
          </w:p>
        </w:tc>
        <w:tc>
          <w:tcPr>
            <w:tcW w:w="30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DBDBDB"/>
              <w:right w:val="single" w:sz="8" w:color="auto"/>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64,142</w:t>
            </w: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financial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2,861,824</w:t>
            </w: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2,402,122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80" w:type="dxa"/>
            <w:vAlign w:val="bottom"/>
            <w:tcBorders>
              <w:top w:val="single" w:sz="8" w:color="auto"/>
              <w:right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20,591</w:t>
            </w:r>
          </w:p>
        </w:tc>
        <w:tc>
          <w:tcPr>
            <w:tcW w:w="260" w:type="dxa"/>
            <w:vAlign w:val="bottom"/>
            <w:tcBorders>
              <w:top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5,284,537</w:t>
            </w:r>
          </w:p>
        </w:tc>
      </w:tr>
      <w:tr>
        <w:trPr>
          <w:trHeight w:val="29"/>
        </w:trPr>
        <w:tc>
          <w:tcPr>
            <w:tcW w:w="6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11 - Reverse recapitalization</w:t>
      </w:r>
    </w:p>
    <w:p>
      <w:pPr>
        <w:spacing w:after="0" w:line="64"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 xml:space="preserve">Polestar underwent a reverse recapitalization through the merger with GGI and related arrangements on June 23, 2022. For more detail on the reverse capitalization, including the net assets of GGI assumed by the Group and the Class C Shares and Earn out rights issued in connection with the merger that are accounted for as derivative liabilities in accordance with IAS 32, </w:t>
      </w:r>
      <w:r>
        <w:rPr>
          <w:rFonts w:ascii="Times New Roman" w:cs="Times New Roman" w:eastAsia="Times New Roman" w:hAnsi="Times New Roman"/>
          <w:sz w:val="12"/>
          <w:szCs w:val="12"/>
          <w:i w:val="1"/>
          <w:iCs w:val="1"/>
          <w:color w:val="auto"/>
        </w:rPr>
        <w:t>Financial Instruments: Presentation</w:t>
      </w:r>
      <w:r>
        <w:rPr>
          <w:rFonts w:ascii="Times New Roman" w:cs="Times New Roman" w:eastAsia="Times New Roman" w:hAnsi="Times New Roman"/>
          <w:sz w:val="12"/>
          <w:szCs w:val="12"/>
          <w:color w:val="auto"/>
        </w:rPr>
        <w:t xml:space="preserve"> (“IAS 32”)</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and IFRS 9, </w:t>
      </w:r>
      <w:r>
        <w:rPr>
          <w:rFonts w:ascii="Times New Roman" w:cs="Times New Roman" w:eastAsia="Times New Roman" w:hAnsi="Times New Roman"/>
          <w:sz w:val="12"/>
          <w:szCs w:val="12"/>
          <w:i w:val="1"/>
          <w:iCs w:val="1"/>
          <w:color w:val="auto"/>
        </w:rPr>
        <w:t xml:space="preserve">Financial Instruments </w:t>
      </w:r>
      <w:r>
        <w:rPr>
          <w:rFonts w:ascii="Times New Roman" w:cs="Times New Roman" w:eastAsia="Times New Roman" w:hAnsi="Times New Roman"/>
          <w:sz w:val="12"/>
          <w:szCs w:val="12"/>
          <w:color w:val="auto"/>
        </w:rPr>
        <w:t>(“IFRS 9”), refer to</w:t>
      </w:r>
      <w:r>
        <w:rPr>
          <w:rFonts w:ascii="Times New Roman" w:cs="Times New Roman" w:eastAsia="Times New Roman" w:hAnsi="Times New Roman"/>
          <w:sz w:val="12"/>
          <w:szCs w:val="12"/>
          <w:i w:val="1"/>
          <w:iCs w:val="1"/>
          <w:color w:val="auto"/>
        </w:rPr>
        <w:t xml:space="preserve"> Note 1 - Overview and basis of preparation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2"/>
          <w:szCs w:val="12"/>
          <w:i w:val="1"/>
          <w:iCs w:val="1"/>
          <w:color w:val="auto"/>
        </w:rPr>
        <w:t xml:space="preserve"> Note 18 - Reverse recapitalization </w:t>
      </w:r>
      <w:r>
        <w:rPr>
          <w:rFonts w:ascii="Times New Roman" w:cs="Times New Roman" w:eastAsia="Times New Roman" w:hAnsi="Times New Roman"/>
          <w:sz w:val="12"/>
          <w:szCs w:val="12"/>
          <w:color w:val="auto"/>
        </w:rPr>
        <w:t>in the Consolidated Financial Statements for Polestar Automotive Holding UK PLC, as of</w:t>
      </w:r>
    </w:p>
    <w:p>
      <w:pPr>
        <w:spacing w:after="0"/>
        <w:rPr>
          <w:sz w:val="20"/>
          <w:szCs w:val="20"/>
          <w:color w:val="auto"/>
        </w:rPr>
      </w:pPr>
      <w:r>
        <w:rPr>
          <w:rFonts w:ascii="Times New Roman" w:cs="Times New Roman" w:eastAsia="Times New Roman" w:hAnsi="Times New Roman"/>
          <w:sz w:val="13"/>
          <w:szCs w:val="13"/>
          <w:color w:val="auto"/>
        </w:rPr>
        <w:t>December 31, 2023 and 2022, and for the three years ended December 31, 2023, that were included in the Form 20-F filed with the SEC on August 14, 2024.</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Class C Shares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1" w:name="page32"/>
    <w:bookmarkEnd w:id="31"/>
    <w:p>
      <w:pPr>
        <w:jc w:val="center"/>
        <w:ind w:right="6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6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ind w:right="80"/>
        <w:spacing w:after="0" w:line="219" w:lineRule="auto"/>
        <w:rPr>
          <w:sz w:val="20"/>
          <w:szCs w:val="20"/>
          <w:color w:val="auto"/>
        </w:rPr>
      </w:pPr>
      <w:r>
        <w:rPr>
          <w:rFonts w:ascii="Times New Roman" w:cs="Times New Roman" w:eastAsia="Times New Roman" w:hAnsi="Times New Roman"/>
          <w:sz w:val="13"/>
          <w:szCs w:val="13"/>
          <w:color w:val="auto"/>
        </w:rPr>
        <w:t xml:space="preserve">The Class C-1 Shares are publicly traded on the Nasdaq (i.e., Level 1 input) and the closing share price of the GGI Public Warrants on June 23, 2022 was used to measure their fair value upon initial recognition. The Class C-2 Shares are not publicly traded and require a valuation approach leveraging Level 2 inputs. Refer to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for further details on the valuation methodology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utilized to determine the fair value of the Class C-2 Shares upon initial recognition and subsequently thereafter.</w:t>
      </w:r>
    </w:p>
    <w:p>
      <w:pPr>
        <w:spacing w:after="0" w:line="80" w:lineRule="exact"/>
        <w:rPr>
          <w:sz w:val="20"/>
          <w:szCs w:val="20"/>
          <w:color w:val="auto"/>
        </w:rPr>
      </w:pPr>
    </w:p>
    <w:tbl>
      <w:tblPr>
        <w:tblLayout w:type="fixed"/>
        <w:tblInd w:w="240" w:type="dxa"/>
        <w:tblCellMar>
          <w:top w:w="0" w:type="dxa"/>
          <w:left w:w="0" w:type="dxa"/>
          <w:bottom w:w="0" w:type="dxa"/>
          <w:right w:w="0" w:type="dxa"/>
        </w:tblCellMar>
      </w:tblPr>
      <w:tr>
        <w:trPr>
          <w:trHeight w:val="190"/>
        </w:trPr>
        <w:tc>
          <w:tcPr>
            <w:tcW w:w="220" w:type="dxa"/>
            <w:vAlign w:val="bottom"/>
            <w:shd w:val="clear" w:color="auto" w:fill="DBDBDB"/>
          </w:tcPr>
          <w:p>
            <w:pPr>
              <w:spacing w:after="0"/>
              <w:rPr>
                <w:sz w:val="16"/>
                <w:szCs w:val="16"/>
                <w:color w:val="auto"/>
              </w:rPr>
            </w:pPr>
          </w:p>
        </w:tc>
        <w:tc>
          <w:tcPr>
            <w:tcW w:w="2800" w:type="dxa"/>
            <w:vAlign w:val="bottom"/>
            <w:shd w:val="clear" w:color="auto" w:fill="DBDBDB"/>
          </w:tcPr>
          <w:p>
            <w:pPr>
              <w:spacing w:after="0"/>
              <w:rPr>
                <w:sz w:val="16"/>
                <w:szCs w:val="16"/>
                <w:color w:val="auto"/>
              </w:rPr>
            </w:pPr>
          </w:p>
        </w:tc>
        <w:tc>
          <w:tcPr>
            <w:tcW w:w="3840" w:type="dxa"/>
            <w:vAlign w:val="bottom"/>
            <w:tcBorders>
              <w:bottom w:val="single" w:sz="8" w:color="auto"/>
            </w:tcBorders>
            <w:gridSpan w:val="3"/>
            <w:shd w:val="clear" w:color="auto" w:fill="DBDBDB"/>
          </w:tcPr>
          <w:p>
            <w:pPr>
              <w:jc w:val="right"/>
              <w:ind w:right="1316"/>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20" w:type="dxa"/>
            <w:vAlign w:val="bottom"/>
            <w:shd w:val="clear" w:color="auto" w:fill="DBDBDB"/>
          </w:tcPr>
          <w:p>
            <w:pPr>
              <w:spacing w:after="0"/>
              <w:rPr>
                <w:sz w:val="16"/>
                <w:szCs w:val="16"/>
                <w:color w:val="auto"/>
              </w:rPr>
            </w:pPr>
          </w:p>
        </w:tc>
        <w:tc>
          <w:tcPr>
            <w:tcW w:w="240" w:type="dxa"/>
            <w:vAlign w:val="bottom"/>
            <w:tcBorders>
              <w:bottom w:val="single" w:sz="8" w:color="auto"/>
            </w:tcBorders>
            <w:shd w:val="clear" w:color="auto" w:fill="DBDBDB"/>
          </w:tcPr>
          <w:p>
            <w:pPr>
              <w:spacing w:after="0"/>
              <w:rPr>
                <w:sz w:val="16"/>
                <w:szCs w:val="16"/>
                <w:color w:val="auto"/>
              </w:rPr>
            </w:pPr>
          </w:p>
        </w:tc>
        <w:tc>
          <w:tcPr>
            <w:tcW w:w="2780" w:type="dxa"/>
            <w:vAlign w:val="bottom"/>
            <w:tcBorders>
              <w:bottom w:val="single" w:sz="8" w:color="auto"/>
            </w:tcBorders>
            <w:gridSpan w:val="4"/>
            <w:shd w:val="clear" w:color="auto" w:fill="DBDBDB"/>
          </w:tcPr>
          <w:p>
            <w:pPr>
              <w:ind w:left="980"/>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800" w:type="dxa"/>
            <w:vAlign w:val="bottom"/>
            <w:tcBorders>
              <w:bottom w:val="single" w:sz="8" w:color="auto"/>
            </w:tcBorders>
            <w:shd w:val="clear" w:color="auto" w:fill="DBDBDB"/>
          </w:tcPr>
          <w:p>
            <w:pPr>
              <w:spacing w:after="0"/>
              <w:rPr>
                <w:sz w:val="16"/>
                <w:szCs w:val="16"/>
                <w:color w:val="auto"/>
              </w:rPr>
            </w:pPr>
          </w:p>
        </w:tc>
        <w:tc>
          <w:tcPr>
            <w:tcW w:w="320" w:type="dxa"/>
            <w:vAlign w:val="bottom"/>
          </w:tcPr>
          <w:p>
            <w:pPr>
              <w:spacing w:after="0"/>
              <w:rPr>
                <w:sz w:val="16"/>
                <w:szCs w:val="16"/>
                <w:color w:val="auto"/>
              </w:rPr>
            </w:pPr>
          </w:p>
        </w:tc>
      </w:tr>
      <w:tr>
        <w:trPr>
          <w:trHeight w:val="174"/>
        </w:trPr>
        <w:tc>
          <w:tcPr>
            <w:tcW w:w="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Liability Fair Value</w:t>
            </w:r>
          </w:p>
        </w:tc>
        <w:tc>
          <w:tcPr>
            <w:tcW w:w="540" w:type="dxa"/>
            <w:vAlign w:val="bottom"/>
          </w:tcPr>
          <w:p>
            <w:pPr>
              <w:spacing w:after="0"/>
              <w:rPr>
                <w:sz w:val="15"/>
                <w:szCs w:val="15"/>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Number Outstanding</w:t>
            </w:r>
          </w:p>
        </w:tc>
        <w:tc>
          <w:tcPr>
            <w:tcW w:w="240" w:type="dxa"/>
            <w:vAlign w:val="bottom"/>
          </w:tcPr>
          <w:p>
            <w:pPr>
              <w:spacing w:after="0"/>
              <w:rPr>
                <w:sz w:val="15"/>
                <w:szCs w:val="15"/>
                <w:color w:val="auto"/>
              </w:rPr>
            </w:pPr>
          </w:p>
        </w:tc>
        <w:tc>
          <w:tcPr>
            <w:tcW w:w="1820" w:type="dxa"/>
            <w:vAlign w:val="bottom"/>
          </w:tcPr>
          <w:p>
            <w:pPr>
              <w:jc w:val="right"/>
              <w:ind w:right="516"/>
              <w:spacing w:after="0"/>
              <w:rPr>
                <w:sz w:val="20"/>
                <w:szCs w:val="20"/>
                <w:color w:val="auto"/>
              </w:rPr>
            </w:pPr>
            <w:r>
              <w:rPr>
                <w:rFonts w:ascii="Times New Roman" w:cs="Times New Roman" w:eastAsia="Times New Roman" w:hAnsi="Times New Roman"/>
                <w:sz w:val="13"/>
                <w:szCs w:val="13"/>
                <w:b w:val="1"/>
                <w:bCs w:val="1"/>
                <w:color w:val="auto"/>
              </w:rPr>
              <w:t>Liability Fair Value</w:t>
            </w:r>
          </w:p>
        </w:tc>
        <w:tc>
          <w:tcPr>
            <w:tcW w:w="2080" w:type="dxa"/>
            <w:vAlign w:val="bottom"/>
            <w:gridSpan w:val="5"/>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w w:val="97"/>
              </w:rPr>
              <w:t>Number Outstanding</w:t>
            </w:r>
          </w:p>
        </w:tc>
      </w:tr>
      <w:tr>
        <w:trPr>
          <w:trHeight w:val="29"/>
        </w:trPr>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2"/>
        </w:trPr>
        <w:tc>
          <w:tcPr>
            <w:tcW w:w="30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Class C-1 Shares</w:t>
            </w:r>
          </w:p>
        </w:tc>
        <w:tc>
          <w:tcPr>
            <w:tcW w:w="154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2,870</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20,499,965</w:t>
            </w:r>
          </w:p>
        </w:tc>
        <w:tc>
          <w:tcPr>
            <w:tcW w:w="120" w:type="dxa"/>
            <w:vAlign w:val="bottom"/>
            <w:tcBorders>
              <w:bottom w:val="single" w:sz="8" w:color="DBDBDB"/>
            </w:tcBorders>
            <w:shd w:val="clear" w:color="auto" w:fill="DBDBDB"/>
          </w:tcPr>
          <w:p>
            <w:pPr>
              <w:spacing w:after="0"/>
              <w:rPr>
                <w:sz w:val="16"/>
                <w:szCs w:val="16"/>
                <w:color w:val="auto"/>
              </w:rPr>
            </w:pPr>
          </w:p>
        </w:tc>
        <w:tc>
          <w:tcPr>
            <w:tcW w:w="240" w:type="dxa"/>
            <w:vAlign w:val="bottom"/>
            <w:tcBorders>
              <w:bottom w:val="single" w:sz="8" w:color="DBDBDB"/>
            </w:tcBorders>
            <w:shd w:val="clear" w:color="auto" w:fill="DBDBDB"/>
          </w:tcPr>
          <w:p>
            <w:pPr>
              <w:spacing w:after="0"/>
              <w:rPr>
                <w:sz w:val="16"/>
                <w:szCs w:val="16"/>
                <w:color w:val="auto"/>
              </w:rPr>
            </w:pPr>
          </w:p>
        </w:tc>
        <w:tc>
          <w:tcPr>
            <w:tcW w:w="182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color w:val="auto"/>
              </w:rPr>
              <w:t>4,920</w:t>
            </w:r>
          </w:p>
        </w:tc>
        <w:tc>
          <w:tcPr>
            <w:tcW w:w="760" w:type="dxa"/>
            <w:vAlign w:val="bottom"/>
            <w:tcBorders>
              <w:bottom w:val="single" w:sz="8" w:color="DBDBDB"/>
            </w:tcBorders>
            <w:shd w:val="clear" w:color="auto" w:fill="DBDBDB"/>
          </w:tcPr>
          <w:p>
            <w:pPr>
              <w:spacing w:after="0"/>
              <w:rPr>
                <w:sz w:val="16"/>
                <w:szCs w:val="16"/>
                <w:color w:val="auto"/>
              </w:rPr>
            </w:pPr>
          </w:p>
        </w:tc>
        <w:tc>
          <w:tcPr>
            <w:tcW w:w="6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20,499,965</w:t>
            </w:r>
          </w:p>
        </w:tc>
        <w:tc>
          <w:tcPr>
            <w:tcW w:w="320" w:type="dxa"/>
            <w:vAlign w:val="bottom"/>
          </w:tcPr>
          <w:p>
            <w:pPr>
              <w:spacing w:after="0"/>
              <w:rPr>
                <w:sz w:val="16"/>
                <w:szCs w:val="16"/>
                <w:color w:val="auto"/>
              </w:rPr>
            </w:pPr>
          </w:p>
        </w:tc>
      </w:tr>
      <w:tr>
        <w:trPr>
          <w:trHeight w:val="18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C-2 Shares</w:t>
            </w:r>
          </w:p>
        </w:tc>
        <w:tc>
          <w:tcPr>
            <w:tcW w:w="1540" w:type="dxa"/>
            <w:vAlign w:val="bottom"/>
          </w:tcPr>
          <w:p>
            <w:pPr>
              <w:spacing w:after="0"/>
              <w:rPr>
                <w:sz w:val="15"/>
                <w:szCs w:val="15"/>
                <w:color w:val="auto"/>
              </w:rPr>
            </w:pPr>
          </w:p>
        </w:tc>
        <w:tc>
          <w:tcPr>
            <w:tcW w:w="5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630</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rPr>
              <w:t>1,080</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4,500,000</w:t>
            </w:r>
          </w:p>
        </w:tc>
        <w:tc>
          <w:tcPr>
            <w:tcW w:w="320" w:type="dxa"/>
            <w:vAlign w:val="bottom"/>
          </w:tcPr>
          <w:p>
            <w:pPr>
              <w:spacing w:after="0"/>
              <w:rPr>
                <w:sz w:val="15"/>
                <w:szCs w:val="15"/>
                <w:color w:val="auto"/>
              </w:rPr>
            </w:pPr>
          </w:p>
        </w:tc>
      </w:tr>
      <w:tr>
        <w:trPr>
          <w:trHeight w:val="29"/>
        </w:trPr>
        <w:tc>
          <w:tcPr>
            <w:tcW w:w="220" w:type="dxa"/>
            <w:vAlign w:val="bottom"/>
            <w:tcBorders>
              <w:bottom w:val="single" w:sz="8" w:color="DBDBDB"/>
            </w:tcBorders>
          </w:tcPr>
          <w:p>
            <w:pPr>
              <w:spacing w:after="0"/>
              <w:rPr>
                <w:sz w:val="2"/>
                <w:szCs w:val="2"/>
                <w:color w:val="auto"/>
              </w:rPr>
            </w:pPr>
          </w:p>
        </w:tc>
        <w:tc>
          <w:tcPr>
            <w:tcW w:w="2800" w:type="dxa"/>
            <w:vAlign w:val="bottom"/>
            <w:tcBorders>
              <w:bottom w:val="single" w:sz="8" w:color="DBDBDB"/>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1"/>
        </w:trPr>
        <w:tc>
          <w:tcPr>
            <w:tcW w:w="3020" w:type="dxa"/>
            <w:vAlign w:val="bottom"/>
            <w:tcBorders>
              <w:bottom w:val="single" w:sz="8" w:color="DBDBDB"/>
            </w:tcBorders>
            <w:gridSpan w:val="2"/>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540" w:type="dxa"/>
            <w:vAlign w:val="bottom"/>
            <w:tcBorders>
              <w:bottom w:val="single" w:sz="8" w:color="DBDBDB"/>
            </w:tcBorders>
            <w:shd w:val="clear" w:color="auto" w:fill="DBDBDB"/>
          </w:tcPr>
          <w:p>
            <w:pPr>
              <w:jc w:val="right"/>
              <w:ind w:right="13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3,500</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24,999,965</w:t>
            </w:r>
          </w:p>
        </w:tc>
        <w:tc>
          <w:tcPr>
            <w:tcW w:w="12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jc w:val="right"/>
              <w:ind w:right="1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820" w:type="dxa"/>
            <w:vAlign w:val="bottom"/>
            <w:tcBorders>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6,000</w:t>
            </w:r>
          </w:p>
        </w:tc>
        <w:tc>
          <w:tcPr>
            <w:tcW w:w="760" w:type="dxa"/>
            <w:vAlign w:val="bottom"/>
            <w:tcBorders>
              <w:bottom w:val="single" w:sz="8" w:color="DBDBDB"/>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14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24,999,965</w:t>
            </w:r>
          </w:p>
        </w:tc>
        <w:tc>
          <w:tcPr>
            <w:tcW w:w="320" w:type="dxa"/>
            <w:vAlign w:val="bottom"/>
          </w:tcPr>
          <w:p>
            <w:pPr>
              <w:spacing w:after="0"/>
              <w:rPr>
                <w:sz w:val="17"/>
                <w:szCs w:val="17"/>
                <w:color w:val="auto"/>
              </w:rPr>
            </w:pPr>
          </w:p>
        </w:tc>
      </w:tr>
      <w:tr>
        <w:trPr>
          <w:trHeight w:val="153"/>
        </w:trPr>
        <w:tc>
          <w:tcPr>
            <w:tcW w:w="2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5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r>
      <w:tr>
        <w:trPr>
          <w:trHeight w:val="183"/>
        </w:trPr>
        <w:tc>
          <w:tcPr>
            <w:tcW w:w="220" w:type="dxa"/>
            <w:vAlign w:val="bottom"/>
          </w:tcPr>
          <w:p>
            <w:pPr>
              <w:spacing w:after="0"/>
              <w:rPr>
                <w:sz w:val="15"/>
                <w:szCs w:val="15"/>
                <w:color w:val="auto"/>
              </w:rPr>
            </w:pPr>
          </w:p>
        </w:tc>
        <w:tc>
          <w:tcPr>
            <w:tcW w:w="28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7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82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6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gridSpan w:val="2"/>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Class C-1 Shares</w:t>
            </w:r>
          </w:p>
        </w:tc>
      </w:tr>
      <w:tr>
        <w:trPr>
          <w:trHeight w:val="182"/>
        </w:trPr>
        <w:tc>
          <w:tcPr>
            <w:tcW w:w="220" w:type="dxa"/>
            <w:vAlign w:val="bottom"/>
          </w:tcPr>
          <w:p>
            <w:pPr>
              <w:spacing w:after="0"/>
              <w:rPr>
                <w:sz w:val="15"/>
                <w:szCs w:val="15"/>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 of January 1, 2024</w:t>
            </w:r>
          </w:p>
        </w:tc>
        <w:tc>
          <w:tcPr>
            <w:tcW w:w="1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29"/>
        </w:trPr>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r>
      <w:tr>
        <w:trPr>
          <w:trHeight w:val="212"/>
        </w:trPr>
        <w:tc>
          <w:tcPr>
            <w:tcW w:w="220" w:type="dxa"/>
            <w:vAlign w:val="bottom"/>
          </w:tcPr>
          <w:p>
            <w:pPr>
              <w:spacing w:after="0"/>
              <w:rPr>
                <w:sz w:val="18"/>
                <w:szCs w:val="18"/>
                <w:color w:val="auto"/>
              </w:rPr>
            </w:pPr>
          </w:p>
        </w:tc>
        <w:tc>
          <w:tcPr>
            <w:tcW w:w="280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Changes in fair value measurement</w:t>
            </w:r>
          </w:p>
        </w:tc>
        <w:tc>
          <w:tcPr>
            <w:tcW w:w="154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1760" w:type="dxa"/>
            <w:vAlign w:val="bottom"/>
            <w:tcBorders>
              <w:bottom w:val="single" w:sz="8" w:color="DBDBDB"/>
            </w:tcBorders>
            <w:shd w:val="clear" w:color="auto" w:fill="DBDBDB"/>
          </w:tcPr>
          <w:p>
            <w:pPr>
              <w:spacing w:after="0"/>
              <w:rPr>
                <w:sz w:val="18"/>
                <w:szCs w:val="18"/>
                <w:color w:val="auto"/>
              </w:rPr>
            </w:pPr>
          </w:p>
        </w:tc>
        <w:tc>
          <w:tcPr>
            <w:tcW w:w="12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820" w:type="dxa"/>
            <w:vAlign w:val="bottom"/>
            <w:tcBorders>
              <w:bottom w:val="single" w:sz="8" w:color="DBDBDB"/>
            </w:tcBorders>
            <w:shd w:val="clear" w:color="auto" w:fill="DBDBDB"/>
          </w:tcPr>
          <w:p>
            <w:pPr>
              <w:spacing w:after="0"/>
              <w:rPr>
                <w:sz w:val="18"/>
                <w:szCs w:val="18"/>
                <w:color w:val="auto"/>
              </w:rPr>
            </w:pPr>
          </w:p>
        </w:tc>
        <w:tc>
          <w:tcPr>
            <w:tcW w:w="760" w:type="dxa"/>
            <w:vAlign w:val="bottom"/>
            <w:tcBorders>
              <w:bottom w:val="single" w:sz="8" w:color="DBDBDB"/>
            </w:tcBorders>
            <w:shd w:val="clear" w:color="auto" w:fill="DBDBDB"/>
          </w:tcPr>
          <w:p>
            <w:pPr>
              <w:spacing w:after="0"/>
              <w:rPr>
                <w:sz w:val="18"/>
                <w:szCs w:val="18"/>
                <w:color w:val="auto"/>
              </w:rPr>
            </w:pPr>
          </w:p>
        </w:tc>
        <w:tc>
          <w:tcPr>
            <w:tcW w:w="6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220" w:type="dxa"/>
            <w:vAlign w:val="bottom"/>
          </w:tcPr>
          <w:p>
            <w:pPr>
              <w:spacing w:after="0"/>
              <w:rPr>
                <w:sz w:val="14"/>
                <w:szCs w:val="14"/>
                <w:color w:val="auto"/>
              </w:rPr>
            </w:pPr>
          </w:p>
        </w:tc>
        <w:tc>
          <w:tcPr>
            <w:tcW w:w="2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r>
      <w:tr>
        <w:trPr>
          <w:trHeight w:val="29"/>
        </w:trPr>
        <w:tc>
          <w:tcPr>
            <w:tcW w:w="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r>
      <w:tr>
        <w:trPr>
          <w:trHeight w:val="144"/>
        </w:trPr>
        <w:tc>
          <w:tcPr>
            <w:tcW w:w="2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spacing w:after="0"/>
              <w:rPr>
                <w:sz w:val="12"/>
                <w:szCs w:val="12"/>
                <w:color w:val="auto"/>
              </w:rPr>
            </w:pPr>
          </w:p>
        </w:tc>
      </w:tr>
      <w:tr>
        <w:trPr>
          <w:trHeight w:val="183"/>
        </w:trPr>
        <w:tc>
          <w:tcPr>
            <w:tcW w:w="220" w:type="dxa"/>
            <w:vAlign w:val="bottom"/>
          </w:tcPr>
          <w:p>
            <w:pPr>
              <w:spacing w:after="0"/>
              <w:rPr>
                <w:sz w:val="15"/>
                <w:szCs w:val="15"/>
                <w:color w:val="auto"/>
              </w:rPr>
            </w:pPr>
          </w:p>
        </w:tc>
        <w:tc>
          <w:tcPr>
            <w:tcW w:w="2800" w:type="dxa"/>
            <w:vAlign w:val="bottom"/>
            <w:shd w:val="clear" w:color="auto" w:fill="DBDBDB"/>
          </w:tcPr>
          <w:p>
            <w:pPr>
              <w:spacing w:after="0"/>
              <w:rPr>
                <w:sz w:val="15"/>
                <w:szCs w:val="15"/>
                <w:color w:val="auto"/>
              </w:rPr>
            </w:pPr>
          </w:p>
        </w:tc>
        <w:tc>
          <w:tcPr>
            <w:tcW w:w="154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7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820" w:type="dxa"/>
            <w:vAlign w:val="bottom"/>
            <w:shd w:val="clear" w:color="auto" w:fill="DBDBDB"/>
          </w:tcPr>
          <w:p>
            <w:pPr>
              <w:spacing w:after="0"/>
              <w:rPr>
                <w:sz w:val="15"/>
                <w:szCs w:val="15"/>
                <w:color w:val="auto"/>
              </w:rPr>
            </w:pPr>
          </w:p>
        </w:tc>
        <w:tc>
          <w:tcPr>
            <w:tcW w:w="76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Class C-2 Shares</w:t>
            </w:r>
          </w:p>
        </w:tc>
      </w:tr>
    </w:tbl>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0" w:type="dxa"/>
            <w:vAlign w:val="bottom"/>
          </w:tcPr>
          <w:p>
            <w:pPr>
              <w:spacing w:after="0"/>
              <w:rPr>
                <w:sz w:val="14"/>
                <w:szCs w:val="14"/>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 of January 1, 2024</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80" w:type="dxa"/>
            <w:vAlign w:val="bottom"/>
            <w:tcBorders>
              <w:right w:val="single" w:sz="8" w:color="DBDBDB"/>
            </w:tcBorders>
          </w:tcPr>
          <w:p>
            <w:pPr>
              <w:spacing w:after="0"/>
              <w:rPr>
                <w:sz w:val="18"/>
                <w:szCs w:val="18"/>
                <w:color w:val="auto"/>
              </w:rPr>
            </w:pPr>
          </w:p>
        </w:tc>
        <w:tc>
          <w:tcPr>
            <w:tcW w:w="754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Changes in fair value measurement</w:t>
            </w:r>
          </w:p>
        </w:tc>
        <w:tc>
          <w:tcPr>
            <w:tcW w:w="7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520" w:type="dxa"/>
            <w:vAlign w:val="bottom"/>
            <w:tcBorders>
              <w:bottom w:val="single" w:sz="8" w:color="DBDBDB"/>
            </w:tcBorders>
            <w:shd w:val="clear" w:color="auto" w:fill="DBDBDB"/>
          </w:tcPr>
          <w:p>
            <w:pPr>
              <w:spacing w:after="0"/>
              <w:rPr>
                <w:sz w:val="18"/>
                <w:szCs w:val="18"/>
                <w:color w:val="auto"/>
              </w:rPr>
            </w:pPr>
          </w:p>
        </w:tc>
        <w:tc>
          <w:tcPr>
            <w:tcW w:w="4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left w:val="single" w:sz="8" w:color="DBDBDB"/>
              <w:bottom w:val="single" w:sz="8" w:color="DBDBDB"/>
            </w:tcBorders>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80" w:type="dxa"/>
            <w:vAlign w:val="bottom"/>
          </w:tcPr>
          <w:p>
            <w:pPr>
              <w:spacing w:after="0"/>
              <w:rPr>
                <w:sz w:val="14"/>
                <w:szCs w:val="14"/>
                <w:color w:val="auto"/>
              </w:rPr>
            </w:pPr>
          </w:p>
        </w:tc>
        <w:tc>
          <w:tcPr>
            <w:tcW w:w="7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0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The fair value change for the Class C Shares are as follows:</w:t>
            </w: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02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80" w:type="dxa"/>
            <w:vAlign w:val="bottom"/>
          </w:tcPr>
          <w:p>
            <w:pPr>
              <w:spacing w:after="0"/>
              <w:rPr>
                <w:sz w:val="6"/>
                <w:szCs w:val="6"/>
                <w:color w:val="auto"/>
              </w:rPr>
            </w:pPr>
          </w:p>
        </w:tc>
        <w:tc>
          <w:tcPr>
            <w:tcW w:w="7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gridSpan w:val="2"/>
          </w:tcPr>
          <w:p>
            <w:pPr>
              <w:spacing w:after="0"/>
              <w:rPr>
                <w:sz w:val="6"/>
                <w:szCs w:val="6"/>
                <w:color w:val="auto"/>
              </w:rPr>
            </w:pPr>
          </w:p>
        </w:tc>
        <w:tc>
          <w:tcPr>
            <w:tcW w:w="1160" w:type="dxa"/>
            <w:vAlign w:val="bottom"/>
            <w:gridSpan w:val="4"/>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80" w:type="dxa"/>
            <w:vAlign w:val="bottom"/>
            <w:tcBorders>
              <w:right w:val="single" w:sz="8" w:color="DBDBDB"/>
            </w:tcBorders>
            <w:shd w:val="clear" w:color="auto" w:fill="DBDBDB"/>
          </w:tcPr>
          <w:p>
            <w:pPr>
              <w:spacing w:after="0"/>
              <w:rPr>
                <w:sz w:val="15"/>
                <w:szCs w:val="15"/>
                <w:color w:val="auto"/>
              </w:rPr>
            </w:pPr>
          </w:p>
        </w:tc>
        <w:tc>
          <w:tcPr>
            <w:tcW w:w="734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3240" w:type="dxa"/>
            <w:vAlign w:val="bottom"/>
            <w:tcBorders>
              <w:bottom w:val="single" w:sz="8" w:color="auto"/>
            </w:tcBorders>
            <w:gridSpan w:val="8"/>
            <w:shd w:val="clear" w:color="auto" w:fill="DBDBDB"/>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0" w:type="dxa"/>
            <w:vAlign w:val="bottom"/>
            <w:tcBorders>
              <w:bottom w:val="single" w:sz="8" w:color="DBDBDB"/>
            </w:tcBorders>
          </w:tcPr>
          <w:p>
            <w:pPr>
              <w:spacing w:after="0"/>
              <w:rPr>
                <w:sz w:val="15"/>
                <w:szCs w:val="15"/>
                <w:color w:val="auto"/>
              </w:rPr>
            </w:pPr>
          </w:p>
        </w:tc>
        <w:tc>
          <w:tcPr>
            <w:tcW w:w="7340" w:type="dxa"/>
            <w:vAlign w:val="bottom"/>
            <w:tcBorders>
              <w:bottom w:val="single" w:sz="8" w:color="DBDBDB"/>
            </w:tcBorders>
          </w:tcPr>
          <w:p>
            <w:pPr>
              <w:spacing w:after="0"/>
              <w:rPr>
                <w:sz w:val="15"/>
                <w:szCs w:val="15"/>
                <w:color w:val="auto"/>
              </w:rPr>
            </w:pPr>
          </w:p>
        </w:tc>
        <w:tc>
          <w:tcPr>
            <w:tcW w:w="200" w:type="dxa"/>
            <w:vAlign w:val="bottom"/>
            <w:tcBorders>
              <w:bottom w:val="single" w:sz="8" w:color="DBDBDB"/>
            </w:tcBorders>
          </w:tcPr>
          <w:p>
            <w:pPr>
              <w:spacing w:after="0"/>
              <w:rPr>
                <w:sz w:val="15"/>
                <w:szCs w:val="15"/>
                <w:color w:val="auto"/>
              </w:rPr>
            </w:pPr>
          </w:p>
        </w:tc>
        <w:tc>
          <w:tcPr>
            <w:tcW w:w="1260" w:type="dxa"/>
            <w:vAlign w:val="bottom"/>
            <w:tcBorders>
              <w:bottom w:val="single" w:sz="8" w:color="auto"/>
            </w:tcBorders>
            <w:gridSpan w:val="2"/>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20" w:type="dxa"/>
            <w:vAlign w:val="bottom"/>
            <w:tcBorders>
              <w:bottom w:val="single" w:sz="8" w:color="DBDBDB"/>
            </w:tcBorders>
            <w:gridSpan w:val="3"/>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Fair value change - Class C-1 Shares</w:t>
            </w:r>
          </w:p>
        </w:tc>
        <w:tc>
          <w:tcPr>
            <w:tcW w:w="72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spacing w:after="0"/>
              <w:rPr>
                <w:sz w:val="16"/>
                <w:szCs w:val="16"/>
                <w:color w:val="auto"/>
              </w:rPr>
            </w:pPr>
          </w:p>
        </w:tc>
        <w:tc>
          <w:tcPr>
            <w:tcW w:w="3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2,050</w:t>
            </w:r>
          </w:p>
        </w:tc>
        <w:tc>
          <w:tcPr>
            <w:tcW w:w="2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gridSpan w:val="2"/>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color w:val="auto"/>
              </w:rPr>
              <w:t>3,775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Fair value change - Class C-2 Shares</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6,975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80" w:type="dxa"/>
            <w:vAlign w:val="bottom"/>
            <w:tcBorders>
              <w:bottom w:val="single" w:sz="8" w:color="DBDBDB"/>
            </w:tcBorders>
          </w:tcPr>
          <w:p>
            <w:pPr>
              <w:spacing w:after="0"/>
              <w:rPr>
                <w:sz w:val="2"/>
                <w:szCs w:val="2"/>
                <w:color w:val="auto"/>
              </w:rPr>
            </w:pPr>
          </w:p>
        </w:tc>
        <w:tc>
          <w:tcPr>
            <w:tcW w:w="7340" w:type="dxa"/>
            <w:vAlign w:val="bottom"/>
            <w:tcBorders>
              <w:bottom w:val="single" w:sz="8" w:color="DBDBDB"/>
            </w:tcBorders>
          </w:tcPr>
          <w:p>
            <w:pPr>
              <w:spacing w:after="0"/>
              <w:rPr>
                <w:sz w:val="2"/>
                <w:szCs w:val="2"/>
                <w:color w:val="auto"/>
              </w:rPr>
            </w:pPr>
          </w:p>
        </w:tc>
        <w:tc>
          <w:tcPr>
            <w:tcW w:w="200" w:type="dxa"/>
            <w:vAlign w:val="bottom"/>
            <w:tcBorders>
              <w:bottom w:val="single" w:sz="8" w:color="DBDBDB"/>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020" w:type="dxa"/>
            <w:vAlign w:val="bottom"/>
            <w:tcBorders>
              <w:bottom w:val="single" w:sz="8" w:color="DBDBDB"/>
            </w:tcBorders>
            <w:gridSpan w:val="3"/>
            <w:shd w:val="clear" w:color="auto" w:fill="DBDBDB"/>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change - Class C Shares</w:t>
            </w:r>
          </w:p>
        </w:tc>
        <w:tc>
          <w:tcPr>
            <w:tcW w:w="720" w:type="dxa"/>
            <w:vAlign w:val="bottom"/>
            <w:tcBorders>
              <w:bottom w:val="single" w:sz="8" w:color="DBDBDB"/>
            </w:tcBorders>
            <w:shd w:val="clear" w:color="auto" w:fill="DBDBDB"/>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540" w:type="dxa"/>
            <w:vAlign w:val="bottom"/>
            <w:tcBorders>
              <w:bottom w:val="single" w:sz="8" w:color="DBDBDB"/>
            </w:tcBorders>
            <w:shd w:val="clear" w:color="auto" w:fill="DBDBDB"/>
          </w:tcPr>
          <w:p>
            <w:pPr>
              <w:spacing w:after="0"/>
              <w:rPr>
                <w:sz w:val="17"/>
                <w:szCs w:val="17"/>
                <w:color w:val="auto"/>
              </w:rPr>
            </w:pPr>
          </w:p>
        </w:tc>
        <w:tc>
          <w:tcPr>
            <w:tcW w:w="660" w:type="dxa"/>
            <w:vAlign w:val="bottom"/>
            <w:tcBorders>
              <w:bottom w:val="single" w:sz="8" w:color="DBDBDB"/>
            </w:tcBorders>
            <w:gridSpan w:val="2"/>
            <w:shd w:val="clear" w:color="auto" w:fill="DBDBDB"/>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2,500 $</w:t>
            </w:r>
          </w:p>
        </w:tc>
        <w:tc>
          <w:tcPr>
            <w:tcW w:w="160" w:type="dxa"/>
            <w:vAlign w:val="bottom"/>
            <w:tcBorders>
              <w:bottom w:val="single" w:sz="8" w:color="DBDBDB"/>
            </w:tcBorders>
            <w:shd w:val="clear" w:color="auto" w:fill="DBDBDB"/>
          </w:tcPr>
          <w:p>
            <w:pPr>
              <w:spacing w:after="0"/>
              <w:rPr>
                <w:sz w:val="17"/>
                <w:szCs w:val="17"/>
                <w:color w:val="auto"/>
              </w:rPr>
            </w:pPr>
          </w:p>
        </w:tc>
        <w:tc>
          <w:tcPr>
            <w:tcW w:w="200" w:type="dxa"/>
            <w:vAlign w:val="bottom"/>
            <w:tcBorders>
              <w:bottom w:val="single" w:sz="8" w:color="DBDBDB"/>
            </w:tcBorders>
            <w:shd w:val="clear" w:color="auto" w:fill="DBDBDB"/>
          </w:tcPr>
          <w:p>
            <w:pPr>
              <w:spacing w:after="0"/>
              <w:rPr>
                <w:sz w:val="17"/>
                <w:szCs w:val="17"/>
                <w:color w:val="auto"/>
              </w:rPr>
            </w:pPr>
          </w:p>
        </w:tc>
        <w:tc>
          <w:tcPr>
            <w:tcW w:w="960" w:type="dxa"/>
            <w:vAlign w:val="bottom"/>
            <w:tcBorders>
              <w:bottom w:val="single" w:sz="8" w:color="DBDBDB"/>
            </w:tcBorders>
            <w:gridSpan w:val="2"/>
            <w:shd w:val="clear" w:color="auto" w:fill="DBDBDB"/>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10,750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8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Earn-out rights</w:t>
            </w:r>
          </w:p>
        </w:tc>
        <w:tc>
          <w:tcPr>
            <w:tcW w:w="7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28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 xml:space="preserve">Refer to </w:t>
            </w:r>
            <w:r>
              <w:rPr>
                <w:rFonts w:ascii="Times New Roman" w:cs="Times New Roman" w:eastAsia="Times New Roman" w:hAnsi="Times New Roman"/>
                <w:sz w:val="13"/>
                <w:szCs w:val="13"/>
                <w:i w:val="1"/>
                <w:iCs w:val="1"/>
                <w:color w:val="auto"/>
              </w:rPr>
              <w:t>Note 2 - Significant accounting policies and judgements</w:t>
            </w:r>
            <w:r>
              <w:rPr>
                <w:rFonts w:ascii="Times New Roman" w:cs="Times New Roman" w:eastAsia="Times New Roman" w:hAnsi="Times New Roman"/>
                <w:sz w:val="13"/>
                <w:szCs w:val="13"/>
                <w:color w:val="auto"/>
              </w:rPr>
              <w:t xml:space="preserve"> for further details on the valuation methodology utilized to determine the fair value of the earn-out.</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480" w:type="dxa"/>
            <w:vAlign w:val="bottom"/>
          </w:tcPr>
          <w:p>
            <w:pPr>
              <w:spacing w:after="0"/>
              <w:rPr>
                <w:sz w:val="7"/>
                <w:szCs w:val="7"/>
                <w:color w:val="auto"/>
              </w:rPr>
            </w:pPr>
          </w:p>
        </w:tc>
        <w:tc>
          <w:tcPr>
            <w:tcW w:w="7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3"/>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80" w:type="dxa"/>
            <w:vAlign w:val="bottom"/>
            <w:tcBorders>
              <w:right w:val="single" w:sz="8" w:color="DBDBDB"/>
            </w:tcBorders>
            <w:shd w:val="clear" w:color="auto" w:fill="DBDBDB"/>
          </w:tcPr>
          <w:p>
            <w:pPr>
              <w:spacing w:after="0"/>
              <w:rPr>
                <w:sz w:val="15"/>
                <w:szCs w:val="15"/>
                <w:color w:val="auto"/>
              </w:rPr>
            </w:pPr>
          </w:p>
        </w:tc>
        <w:tc>
          <w:tcPr>
            <w:tcW w:w="734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28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gridSpan w:val="4"/>
            <w:shd w:val="clear" w:color="auto" w:fill="DBDBDB"/>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Earn out rights</w:t>
            </w:r>
          </w:p>
        </w:tc>
        <w:tc>
          <w:tcPr>
            <w:tcW w:w="100" w:type="dxa"/>
            <w:vAlign w:val="bottom"/>
            <w:tcBorders>
              <w:left w:val="single" w:sz="8" w:color="DBDBDB"/>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As of January 1, 2024</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155,402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80" w:type="dxa"/>
            <w:vAlign w:val="bottom"/>
          </w:tcPr>
          <w:p>
            <w:pPr>
              <w:spacing w:after="0"/>
              <w:rPr>
                <w:sz w:val="2"/>
                <w:szCs w:val="2"/>
                <w:color w:val="auto"/>
              </w:rPr>
            </w:pPr>
          </w:p>
        </w:tc>
        <w:tc>
          <w:tcPr>
            <w:tcW w:w="7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02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Changes in fair value measurement</w:t>
            </w:r>
          </w:p>
        </w:tc>
        <w:tc>
          <w:tcPr>
            <w:tcW w:w="72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shd w:val="clear" w:color="auto" w:fill="DBDBDB"/>
          </w:tcPr>
          <w:p>
            <w:pPr>
              <w:spacing w:after="0"/>
              <w:rPr>
                <w:sz w:val="18"/>
                <w:szCs w:val="18"/>
                <w:color w:val="auto"/>
              </w:rPr>
            </w:pPr>
          </w:p>
        </w:tc>
        <w:tc>
          <w:tcPr>
            <w:tcW w:w="38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DBDBDB"/>
            </w:tcBorders>
            <w:shd w:val="clear" w:color="auto" w:fill="DBDBDB"/>
          </w:tcPr>
          <w:p>
            <w:pPr>
              <w:spacing w:after="0"/>
              <w:rPr>
                <w:sz w:val="18"/>
                <w:szCs w:val="18"/>
                <w:color w:val="auto"/>
              </w:rPr>
            </w:pPr>
          </w:p>
        </w:tc>
        <w:tc>
          <w:tcPr>
            <w:tcW w:w="9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(139,638)</w:t>
            </w:r>
          </w:p>
        </w:tc>
        <w:tc>
          <w:tcPr>
            <w:tcW w:w="100" w:type="dxa"/>
            <w:vAlign w:val="bottom"/>
            <w:tcBorders>
              <w:left w:val="single" w:sz="8" w:color="DBDBDB"/>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Borders>
              <w:top w:val="single" w:sz="8" w:color="auto"/>
              <w:bottom w:val="single" w:sz="8" w:color="DBDBDB"/>
            </w:tcBorders>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60" w:type="dxa"/>
            <w:vAlign w:val="bottom"/>
            <w:tcBorders>
              <w:top w:val="single" w:sz="8" w:color="auto"/>
              <w:bottom w:val="single" w:sz="8" w:color="DBDBDB"/>
            </w:tcBorders>
            <w:shd w:val="clear" w:color="auto" w:fill="DBDBDB"/>
          </w:tcPr>
          <w:p>
            <w:pPr>
              <w:spacing w:after="0"/>
              <w:rPr>
                <w:sz w:val="17"/>
                <w:szCs w:val="17"/>
                <w:color w:val="auto"/>
              </w:rPr>
            </w:pPr>
          </w:p>
        </w:tc>
        <w:tc>
          <w:tcPr>
            <w:tcW w:w="200" w:type="dxa"/>
            <w:vAlign w:val="bottom"/>
            <w:tcBorders>
              <w:top w:val="single" w:sz="8" w:color="auto"/>
              <w:bottom w:val="single" w:sz="8" w:color="DBDBDB"/>
            </w:tcBorders>
            <w:shd w:val="clear" w:color="auto" w:fill="DBDBDB"/>
          </w:tcPr>
          <w:p>
            <w:pPr>
              <w:spacing w:after="0"/>
              <w:rPr>
                <w:sz w:val="17"/>
                <w:szCs w:val="17"/>
                <w:color w:val="auto"/>
              </w:rPr>
            </w:pPr>
          </w:p>
        </w:tc>
        <w:tc>
          <w:tcPr>
            <w:tcW w:w="960" w:type="dxa"/>
            <w:vAlign w:val="bottom"/>
            <w:tcBorders>
              <w:top w:val="single" w:sz="8" w:color="auto"/>
              <w:bottom w:val="single" w:sz="8" w:color="DBDBDB"/>
            </w:tcBorders>
            <w:gridSpan w:val="2"/>
            <w:shd w:val="clear" w:color="auto" w:fill="DBDBDB"/>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15,764</w:t>
            </w:r>
          </w:p>
        </w:tc>
        <w:tc>
          <w:tcPr>
            <w:tcW w:w="100" w:type="dxa"/>
            <w:vAlign w:val="bottom"/>
            <w:tcBorders>
              <w:left w:val="single" w:sz="8" w:color="DBDBDB"/>
            </w:tcBorders>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80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fair value change for the Earn-out rights are as follows:</w:t>
            </w: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4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
        </w:trPr>
        <w:tc>
          <w:tcPr>
            <w:tcW w:w="480" w:type="dxa"/>
            <w:vAlign w:val="bottom"/>
          </w:tcPr>
          <w:p>
            <w:pPr>
              <w:spacing w:after="0"/>
              <w:rPr>
                <w:sz w:val="7"/>
                <w:szCs w:val="7"/>
                <w:color w:val="auto"/>
              </w:rPr>
            </w:pPr>
          </w:p>
        </w:tc>
        <w:tc>
          <w:tcPr>
            <w:tcW w:w="7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560" w:type="dxa"/>
            <w:vAlign w:val="bottom"/>
            <w:gridSpan w:val="5"/>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7340" w:type="dxa"/>
            <w:vAlign w:val="bottom"/>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2280" w:type="dxa"/>
            <w:vAlign w:val="bottom"/>
            <w:tcBorders>
              <w:bottom w:val="single" w:sz="8" w:color="auto"/>
            </w:tcBorders>
            <w:gridSpan w:val="6"/>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520" w:type="dxa"/>
            <w:vAlign w:val="bottom"/>
            <w:tcBorders>
              <w:bottom w:val="single" w:sz="8" w:color="auto"/>
            </w:tcBorders>
            <w:shd w:val="clear" w:color="auto" w:fill="DBDBDB"/>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734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80" w:type="dxa"/>
            <w:vAlign w:val="bottom"/>
          </w:tcPr>
          <w:p>
            <w:pPr>
              <w:spacing w:after="0"/>
              <w:rPr>
                <w:sz w:val="16"/>
                <w:szCs w:val="16"/>
                <w:color w:val="auto"/>
              </w:rPr>
            </w:pPr>
          </w:p>
        </w:tc>
        <w:tc>
          <w:tcPr>
            <w:tcW w:w="754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1260" w:type="dxa"/>
            <w:vAlign w:val="bottom"/>
            <w:tcBorders>
              <w:bottom w:val="single" w:sz="8" w:color="DBDBDB"/>
            </w:tcBorders>
            <w:gridSpan w:val="2"/>
            <w:shd w:val="clear" w:color="auto" w:fill="DBDBDB"/>
          </w:tcPr>
          <w:p>
            <w:pPr>
              <w:ind w:left="840"/>
              <w:spacing w:after="0"/>
              <w:rPr>
                <w:sz w:val="20"/>
                <w:szCs w:val="20"/>
                <w:color w:val="auto"/>
              </w:rPr>
            </w:pPr>
            <w:r>
              <w:rPr>
                <w:rFonts w:ascii="Times New Roman" w:cs="Times New Roman" w:eastAsia="Times New Roman" w:hAnsi="Times New Roman"/>
                <w:sz w:val="13"/>
                <w:szCs w:val="13"/>
                <w:color w:val="auto"/>
                <w:w w:val="94"/>
              </w:rPr>
              <w:t>139,638</w:t>
            </w:r>
          </w:p>
        </w:tc>
        <w:tc>
          <w:tcPr>
            <w:tcW w:w="380" w:type="dxa"/>
            <w:vAlign w:val="bottom"/>
            <w:tcBorders>
              <w:bottom w:val="single" w:sz="8" w:color="DBDBDB"/>
            </w:tcBorders>
            <w:shd w:val="clear" w:color="auto" w:fill="DBDBDB"/>
          </w:tcPr>
          <w:p>
            <w:pPr>
              <w:spacing w:after="0"/>
              <w:rPr>
                <w:sz w:val="16"/>
                <w:szCs w:val="16"/>
                <w:color w:val="auto"/>
              </w:rPr>
            </w:pPr>
          </w:p>
        </w:tc>
        <w:tc>
          <w:tcPr>
            <w:tcW w:w="280" w:type="dxa"/>
            <w:vAlign w:val="bottom"/>
            <w:tcBorders>
              <w:bottom w:val="single" w:sz="8" w:color="DBDBDB"/>
            </w:tcBorders>
            <w:shd w:val="clear" w:color="auto" w:fill="DBDBDB"/>
          </w:tcPr>
          <w:p>
            <w:pPr>
              <w:spacing w:after="0"/>
              <w:rPr>
                <w:sz w:val="16"/>
                <w:szCs w:val="16"/>
                <w:color w:val="auto"/>
              </w:rPr>
            </w:pPr>
          </w:p>
        </w:tc>
        <w:tc>
          <w:tcPr>
            <w:tcW w:w="16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5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80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Note 12 - Inventories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80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The Group’s inventory primarily consisted of vehicles as follows:</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480" w:type="dxa"/>
            <w:vAlign w:val="bottom"/>
          </w:tcPr>
          <w:p>
            <w:pPr>
              <w:spacing w:after="0"/>
              <w:rPr>
                <w:sz w:val="6"/>
                <w:szCs w:val="6"/>
                <w:color w:val="auto"/>
              </w:rPr>
            </w:pPr>
          </w:p>
        </w:tc>
        <w:tc>
          <w:tcPr>
            <w:tcW w:w="7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gridSpan w:val="5"/>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480" w:type="dxa"/>
            <w:vAlign w:val="bottom"/>
            <w:tcBorders>
              <w:right w:val="single" w:sz="8" w:color="DBDBDB"/>
            </w:tcBorders>
            <w:shd w:val="clear" w:color="auto" w:fill="DBDBDB"/>
          </w:tcPr>
          <w:p>
            <w:pPr>
              <w:spacing w:after="0"/>
              <w:rPr>
                <w:sz w:val="15"/>
                <w:szCs w:val="15"/>
                <w:color w:val="auto"/>
              </w:rPr>
            </w:pPr>
          </w:p>
        </w:tc>
        <w:tc>
          <w:tcPr>
            <w:tcW w:w="734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200" w:type="dxa"/>
            <w:vAlign w:val="bottom"/>
            <w:gridSpan w:val="3"/>
            <w:vMerge w:val="restart"/>
            <w:shd w:val="clear" w:color="auto" w:fill="DBDBDB"/>
          </w:tcPr>
          <w:p>
            <w:pPr>
              <w:ind w:left="100"/>
              <w:spacing w:after="0"/>
              <w:rPr>
                <w:sz w:val="20"/>
                <w:szCs w:val="20"/>
                <w:color w:val="auto"/>
              </w:rPr>
            </w:pPr>
            <w:r>
              <w:rPr>
                <w:rFonts w:ascii="Times New Roman" w:cs="Times New Roman" w:eastAsia="Times New Roman" w:hAnsi="Times New Roman"/>
                <w:sz w:val="13"/>
                <w:szCs w:val="13"/>
                <w:b w:val="1"/>
                <w:bCs w:val="1"/>
                <w:color w:val="auto"/>
              </w:rPr>
              <w:t>As of June 30, 2024</w:t>
            </w:r>
          </w:p>
        </w:tc>
        <w:tc>
          <w:tcPr>
            <w:tcW w:w="1320" w:type="dxa"/>
            <w:vAlign w:val="bottom"/>
            <w:gridSpan w:val="4"/>
            <w:shd w:val="clear" w:color="auto" w:fill="DBDBDB"/>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80" w:type="dxa"/>
            <w:vAlign w:val="bottom"/>
            <w:tcBorders>
              <w:right w:val="single" w:sz="8" w:color="DBDBDB"/>
            </w:tcBorders>
            <w:shd w:val="clear" w:color="auto" w:fill="DBDBDB"/>
          </w:tcPr>
          <w:p>
            <w:pPr>
              <w:spacing w:after="0"/>
              <w:rPr>
                <w:sz w:val="16"/>
                <w:szCs w:val="16"/>
                <w:color w:val="auto"/>
              </w:rPr>
            </w:pPr>
          </w:p>
        </w:tc>
        <w:tc>
          <w:tcPr>
            <w:tcW w:w="734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1200" w:type="dxa"/>
            <w:vAlign w:val="bottom"/>
            <w:gridSpan w:val="3"/>
            <w:vMerge w:val="continue"/>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5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shd w:val="clear" w:color="auto" w:fill="DBDBDB"/>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Finished goods and goods for resale</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805,540</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1,070,897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020" w:type="dxa"/>
            <w:vAlign w:val="bottom"/>
            <w:gridSpan w:val="3"/>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02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2"/>
                <w:szCs w:val="12"/>
                <w:color w:val="auto"/>
              </w:rPr>
              <w:t>Work in progress</w:t>
            </w:r>
          </w:p>
        </w:tc>
        <w:tc>
          <w:tcPr>
            <w:tcW w:w="72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spacing w:after="0"/>
              <w:rPr>
                <w:sz w:val="16"/>
                <w:szCs w:val="16"/>
                <w:color w:val="auto"/>
              </w:rPr>
            </w:pPr>
          </w:p>
        </w:tc>
        <w:tc>
          <w:tcPr>
            <w:tcW w:w="6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tcBorders>
              <w:bottom w:val="single" w:sz="8" w:color="DBDBDB"/>
            </w:tcBorders>
            <w:shd w:val="clear" w:color="auto" w:fill="DBDBDB"/>
          </w:tcPr>
          <w:p>
            <w:pPr>
              <w:spacing w:after="0"/>
              <w:rPr>
                <w:sz w:val="16"/>
                <w:szCs w:val="16"/>
                <w:color w:val="auto"/>
              </w:rPr>
            </w:pPr>
          </w:p>
        </w:tc>
        <w:tc>
          <w:tcPr>
            <w:tcW w:w="200" w:type="dxa"/>
            <w:vAlign w:val="bottom"/>
            <w:tcBorders>
              <w:bottom w:val="single" w:sz="8" w:color="DBDBDB"/>
            </w:tcBorders>
            <w:shd w:val="clear" w:color="auto" w:fill="DBDBDB"/>
          </w:tcPr>
          <w:p>
            <w:pPr>
              <w:spacing w:after="0"/>
              <w:rPr>
                <w:sz w:val="16"/>
                <w:szCs w:val="16"/>
                <w:color w:val="auto"/>
              </w:rPr>
            </w:pPr>
          </w:p>
        </w:tc>
        <w:tc>
          <w:tcPr>
            <w:tcW w:w="96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Provision for impairment</w:t>
            </w: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jc w:val="right"/>
              <w:ind w:right="56"/>
              <w:spacing w:after="0"/>
              <w:rPr>
                <w:sz w:val="20"/>
                <w:szCs w:val="20"/>
                <w:color w:val="auto"/>
              </w:rPr>
            </w:pPr>
            <w:r>
              <w:rPr>
                <w:rFonts w:ascii="Times New Roman" w:cs="Times New Roman" w:eastAsia="Times New Roman" w:hAnsi="Times New Roman"/>
                <w:sz w:val="13"/>
                <w:szCs w:val="13"/>
                <w:color w:val="auto"/>
              </w:rPr>
              <w:t>(79,554)</w:t>
            </w:r>
          </w:p>
        </w:tc>
        <w:tc>
          <w:tcPr>
            <w:tcW w:w="200" w:type="dxa"/>
            <w:vAlign w:val="bottom"/>
          </w:tcPr>
          <w:p>
            <w:pPr>
              <w:spacing w:after="0"/>
              <w:rPr>
                <w:sz w:val="15"/>
                <w:szCs w:val="15"/>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(131,570)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020" w:type="dxa"/>
            <w:vAlign w:val="bottom"/>
            <w:tcBorders>
              <w:bottom w:val="single" w:sz="8" w:color="DBDBDB"/>
            </w:tcBorders>
            <w:gridSpan w:val="3"/>
          </w:tcPr>
          <w:p>
            <w:pPr>
              <w:spacing w:after="0"/>
              <w:rPr>
                <w:sz w:val="2"/>
                <w:szCs w:val="2"/>
                <w:color w:val="auto"/>
              </w:rPr>
            </w:pPr>
          </w:p>
        </w:tc>
        <w:tc>
          <w:tcPr>
            <w:tcW w:w="720" w:type="dxa"/>
            <w:vAlign w:val="bottom"/>
            <w:tcBorders>
              <w:bottom w:val="single" w:sz="8" w:color="DBDBDB"/>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02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20" w:type="dxa"/>
            <w:vAlign w:val="bottom"/>
            <w:tcBorders>
              <w:bottom w:val="single" w:sz="8" w:color="DBDBDB"/>
            </w:tcBorders>
            <w:shd w:val="clear" w:color="auto" w:fill="DBDBDB"/>
          </w:tcPr>
          <w:p>
            <w:pPr>
              <w:spacing w:after="0"/>
              <w:rPr>
                <w:sz w:val="15"/>
                <w:szCs w:val="15"/>
                <w:color w:val="auto"/>
              </w:rPr>
            </w:pPr>
          </w:p>
        </w:tc>
        <w:tc>
          <w:tcPr>
            <w:tcW w:w="540" w:type="dxa"/>
            <w:vAlign w:val="bottom"/>
            <w:tcBorders>
              <w:bottom w:val="single" w:sz="8" w:color="DBDBDB"/>
            </w:tcBorders>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66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726,017</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DBDBDB"/>
            </w:tcBorders>
            <w:shd w:val="clear" w:color="auto" w:fill="DBDBDB"/>
          </w:tcPr>
          <w:p>
            <w:pPr>
              <w:spacing w:after="0"/>
              <w:rPr>
                <w:sz w:val="15"/>
                <w:szCs w:val="15"/>
                <w:color w:val="auto"/>
              </w:rPr>
            </w:pPr>
          </w:p>
        </w:tc>
        <w:tc>
          <w:tcPr>
            <w:tcW w:w="960" w:type="dxa"/>
            <w:vAlign w:val="bottom"/>
            <w:tcBorders>
              <w:bottom w:val="single" w:sz="8" w:color="DBDBDB"/>
            </w:tcBorders>
            <w:gridSpan w:val="2"/>
            <w:shd w:val="clear" w:color="auto" w:fill="DBDBDB"/>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939,359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60"/>
          </w:cols>
          <w:pgMar w:left="300" w:top="120"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3"/>
          <w:szCs w:val="13"/>
          <w:color w:val="auto"/>
        </w:rPr>
        <w:t>Inventories recognized as an expense during the six months ended June 30, 2024, and 2023 amounted to $969,844 and $1,155,622, respectively, and were included in Cost of sales in the Unaudited Condensed Consolidated Statement of Loss and Comprehensive Loss.</w:t>
      </w:r>
    </w:p>
    <w:p>
      <w:pPr>
        <w:spacing w:after="0" w:line="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3"/>
          <w:szCs w:val="13"/>
          <w:color w:val="auto"/>
        </w:rPr>
        <w:t>As of June 30, 2024, and 2023 write-downs of inventories to net realizable value amounted to $27,132, and $11,795 respectively. The write down was recognized as an expense during the six months ended June 30, 2024, and 2023, and was included in Cost of sales in the Unaudited Condensed Consolidated Statement of Loss and Comprehensive Loss.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Inventories have been pledged as security for liabilities. Refer to </w:t>
      </w:r>
      <w:r>
        <w:rPr>
          <w:rFonts w:ascii="Times New Roman" w:cs="Times New Roman" w:eastAsia="Times New Roman" w:hAnsi="Times New Roman"/>
          <w:sz w:val="13"/>
          <w:szCs w:val="13"/>
          <w:i w:val="1"/>
          <w:iCs w:val="1"/>
          <w:color w:val="auto"/>
        </w:rPr>
        <w:t>Note 14 - Liabilities to credit institutions</w:t>
      </w:r>
      <w:r>
        <w:rPr>
          <w:rFonts w:ascii="Times New Roman" w:cs="Times New Roman" w:eastAsia="Times New Roman" w:hAnsi="Times New Roman"/>
          <w:sz w:val="13"/>
          <w:szCs w:val="13"/>
          <w:color w:val="auto"/>
        </w:rPr>
        <w:t xml:space="preserve"> for further details.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13 - Equity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Changes in the Group's equity during the six months ended June 30, 2024 were as follows:</w:t>
      </w:r>
    </w:p>
    <w:p>
      <w:pPr>
        <w:spacing w:after="0" w:line="9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900" w:type="dxa"/>
            <w:vAlign w:val="bottom"/>
            <w:shd w:val="clear" w:color="auto" w:fill="DBDBDB"/>
          </w:tcPr>
          <w:p>
            <w:pPr>
              <w:spacing w:after="0"/>
              <w:rPr>
                <w:sz w:val="16"/>
                <w:szCs w:val="16"/>
                <w:color w:val="auto"/>
              </w:rPr>
            </w:pPr>
          </w:p>
        </w:tc>
        <w:tc>
          <w:tcPr>
            <w:tcW w:w="1440" w:type="dxa"/>
            <w:vAlign w:val="bottom"/>
            <w:vMerge w:val="restart"/>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Class A Shares</w:t>
            </w:r>
          </w:p>
        </w:tc>
        <w:tc>
          <w:tcPr>
            <w:tcW w:w="1220" w:type="dxa"/>
            <w:vAlign w:val="bottom"/>
            <w:vMerge w:val="restart"/>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Class B Shares</w:t>
            </w:r>
          </w:p>
        </w:tc>
        <w:tc>
          <w:tcPr>
            <w:tcW w:w="200" w:type="dxa"/>
            <w:vAlign w:val="bottom"/>
            <w:shd w:val="clear" w:color="auto" w:fill="DBDBDB"/>
          </w:tcPr>
          <w:p>
            <w:pPr>
              <w:spacing w:after="0"/>
              <w:rPr>
                <w:sz w:val="16"/>
                <w:szCs w:val="16"/>
                <w:color w:val="auto"/>
              </w:rPr>
            </w:pPr>
          </w:p>
        </w:tc>
        <w:tc>
          <w:tcPr>
            <w:tcW w:w="1140" w:type="dxa"/>
            <w:vAlign w:val="bottom"/>
            <w:vMerge w:val="restart"/>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Share capital</w:t>
            </w:r>
          </w:p>
        </w:tc>
        <w:tc>
          <w:tcPr>
            <w:tcW w:w="12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Other contributed</w:t>
            </w:r>
          </w:p>
        </w:tc>
        <w:tc>
          <w:tcPr>
            <w:tcW w:w="0" w:type="dxa"/>
            <w:vAlign w:val="bottom"/>
          </w:tcPr>
          <w:p>
            <w:pPr>
              <w:spacing w:after="0"/>
              <w:rPr>
                <w:sz w:val="1"/>
                <w:szCs w:val="1"/>
                <w:color w:val="auto"/>
              </w:rPr>
            </w:pPr>
          </w:p>
        </w:tc>
      </w:tr>
      <w:tr>
        <w:trPr>
          <w:trHeight w:val="178"/>
        </w:trPr>
        <w:tc>
          <w:tcPr>
            <w:tcW w:w="4900" w:type="dxa"/>
            <w:vAlign w:val="bottom"/>
            <w:shd w:val="clear" w:color="auto" w:fill="DBDBDB"/>
          </w:tcPr>
          <w:p>
            <w:pPr>
              <w:spacing w:after="0"/>
              <w:rPr>
                <w:sz w:val="15"/>
                <w:szCs w:val="15"/>
                <w:color w:val="auto"/>
              </w:rPr>
            </w:pPr>
          </w:p>
        </w:tc>
        <w:tc>
          <w:tcPr>
            <w:tcW w:w="1440" w:type="dxa"/>
            <w:vAlign w:val="bottom"/>
            <w:tcBorders>
              <w:bottom w:val="single" w:sz="8" w:color="auto"/>
            </w:tcBorders>
            <w:vMerge w:val="continue"/>
            <w:shd w:val="clear" w:color="auto" w:fill="DBDBDB"/>
          </w:tcPr>
          <w:p>
            <w:pPr>
              <w:spacing w:after="0"/>
              <w:rPr>
                <w:sz w:val="15"/>
                <w:szCs w:val="15"/>
                <w:color w:val="auto"/>
              </w:rPr>
            </w:pPr>
          </w:p>
        </w:tc>
        <w:tc>
          <w:tcPr>
            <w:tcW w:w="1220" w:type="dxa"/>
            <w:vAlign w:val="bottom"/>
            <w:tcBorders>
              <w:bottom w:val="single" w:sz="8" w:color="auto"/>
            </w:tcBorders>
            <w:vMerge w:val="continue"/>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vMerge w:val="continue"/>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1240" w:type="dxa"/>
            <w:vAlign w:val="bottom"/>
            <w:tcBorders>
              <w:bottom w:val="single" w:sz="8" w:color="auto"/>
            </w:tcBorders>
            <w:shd w:val="clear" w:color="auto" w:fill="DBDBDB"/>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0" w:type="dxa"/>
            <w:vAlign w:val="bottom"/>
          </w:tcPr>
          <w:p>
            <w:pPr>
              <w:spacing w:after="0"/>
              <w:rPr>
                <w:sz w:val="1"/>
                <w:szCs w:val="1"/>
                <w:color w:val="auto"/>
              </w:rPr>
            </w:pPr>
          </w:p>
        </w:tc>
      </w:tr>
      <w:tr>
        <w:trPr>
          <w:trHeight w:val="211"/>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Balance as of January 1, 2024</w:t>
            </w: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467,976,748</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1,642,233,575</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(21,168)</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(3,615,187)</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Conversion from Class B to Class A</w:t>
            </w:r>
          </w:p>
        </w:tc>
        <w:tc>
          <w:tcPr>
            <w:tcW w:w="14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color w:val="auto"/>
              </w:rPr>
              <w:t>1,592,341,000</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(1,592,341,000)</w:t>
            </w:r>
          </w:p>
        </w:tc>
        <w:tc>
          <w:tcPr>
            <w:tcW w:w="20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DBDBDB"/>
            </w:tcBorders>
            <w:shd w:val="clear" w:color="auto" w:fill="DBDBDB"/>
          </w:tcPr>
          <w:p>
            <w:pPr>
              <w:spacing w:after="0"/>
              <w:rPr>
                <w:sz w:val="16"/>
                <w:szCs w:val="16"/>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4900" w:type="dxa"/>
            <w:vAlign w:val="bottom"/>
          </w:tcPr>
          <w:p>
            <w:pPr>
              <w:spacing w:after="0"/>
              <w:rPr>
                <w:sz w:val="20"/>
                <w:szCs w:val="20"/>
                <w:color w:val="auto"/>
              </w:rPr>
            </w:pPr>
            <w:r>
              <w:rPr>
                <w:rFonts w:ascii="Times New Roman" w:cs="Times New Roman" w:eastAsia="Times New Roman" w:hAnsi="Times New Roman"/>
                <w:sz w:val="13"/>
                <w:szCs w:val="13"/>
                <w:color w:val="auto"/>
              </w:rPr>
              <w:t>Equity-settled share-based payment</w:t>
            </w:r>
          </w:p>
        </w:tc>
        <w:tc>
          <w:tcPr>
            <w:tcW w:w="14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144,249</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(6,074)</w:t>
            </w:r>
          </w:p>
        </w:tc>
        <w:tc>
          <w:tcPr>
            <w:tcW w:w="0" w:type="dxa"/>
            <w:vAlign w:val="bottom"/>
          </w:tcPr>
          <w:p>
            <w:pPr>
              <w:spacing w:after="0"/>
              <w:rPr>
                <w:sz w:val="1"/>
                <w:szCs w:val="1"/>
                <w:color w:val="auto"/>
              </w:rPr>
            </w:pPr>
          </w:p>
        </w:tc>
      </w:tr>
      <w:tr>
        <w:trPr>
          <w:trHeight w:val="29"/>
        </w:trPr>
        <w:tc>
          <w:tcPr>
            <w:tcW w:w="4900" w:type="dxa"/>
            <w:vAlign w:val="bottom"/>
            <w:tcBorders>
              <w:bottom w:val="single" w:sz="8" w:color="DBDBDB"/>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9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Balance as of June 30, 2024</w:t>
            </w:r>
          </w:p>
        </w:tc>
        <w:tc>
          <w:tcPr>
            <w:tcW w:w="14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2,060,461,997</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49,892,575</w:t>
            </w:r>
          </w:p>
        </w:tc>
        <w:tc>
          <w:tcPr>
            <w:tcW w:w="200" w:type="dxa"/>
            <w:vAlign w:val="bottom"/>
            <w:tcBorders>
              <w:bottom w:val="single" w:sz="8" w:color="DBDBDB"/>
            </w:tcBorders>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(21,169)</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2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(3,621,261)</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following instruments of the Parent were issued and outstanding as of June 30, 2024:</w:t>
      </w:r>
    </w:p>
    <w:p>
      <w:pPr>
        <w:spacing w:after="0" w:line="53" w:lineRule="exact"/>
        <w:rPr>
          <w:sz w:val="20"/>
          <w:szCs w:val="20"/>
          <w:color w:val="auto"/>
        </w:rPr>
      </w:pPr>
    </w:p>
    <w:p>
      <w:pPr>
        <w:ind w:left="460" w:hanging="232"/>
        <w:spacing w:after="0"/>
        <w:tabs>
          <w:tab w:leader="none" w:pos="4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2,060,461,997 Class A Shares with a par value of $0.01, of which 1,675,841,017 were owned by related parties;</w:t>
      </w:r>
    </w:p>
    <w:p>
      <w:pPr>
        <w:spacing w:after="0" w:line="71" w:lineRule="exact"/>
        <w:rPr>
          <w:rFonts w:ascii="Times New Roman" w:cs="Times New Roman" w:eastAsia="Times New Roman" w:hAnsi="Times New Roman"/>
          <w:sz w:val="13"/>
          <w:szCs w:val="13"/>
          <w:color w:val="auto"/>
        </w:rPr>
      </w:pPr>
    </w:p>
    <w:p>
      <w:pPr>
        <w:ind w:left="460" w:hanging="23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49,892,575 Class B Shares with a par value of $0.01, of which all were owned by related parties;</w:t>
      </w:r>
    </w:p>
    <w:p>
      <w:pPr>
        <w:spacing w:after="0" w:line="5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20,499,965 Class C-1 Shares with a par value of $0.10;</w:t>
      </w:r>
    </w:p>
    <w:p>
      <w:pPr>
        <w:spacing w:after="0" w:line="6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4,500,000 Class C-2 Shares with a par value of $0.10; and</w:t>
      </w:r>
    </w:p>
    <w:p>
      <w:pPr>
        <w:spacing w:after="0" w:line="60" w:lineRule="exact"/>
        <w:rPr>
          <w:rFonts w:ascii="Times New Roman" w:cs="Times New Roman" w:eastAsia="Times New Roman" w:hAnsi="Times New Roman"/>
          <w:sz w:val="14"/>
          <w:szCs w:val="14"/>
          <w:color w:val="auto"/>
        </w:rPr>
      </w:pPr>
    </w:p>
    <w:p>
      <w:pPr>
        <w:ind w:left="460" w:hanging="232"/>
        <w:spacing w:after="0"/>
        <w:tabs>
          <w:tab w:leader="none" w:pos="4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50,000 Redeemable Preferred Shares with a par value of GBP 1.00.</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of June 30, 2024, there were an additional 2,939,538,003 Class A Shares and 1,727,474,164 Class B Shares with par values of $0.01 authorized for issuance. No additional Class C Shares or Redeemable Preferred</w:t>
      </w:r>
    </w:p>
    <w:p>
      <w:pPr>
        <w:jc w:val="both"/>
        <w:spacing w:after="0" w:line="223" w:lineRule="auto"/>
        <w:rPr>
          <w:sz w:val="20"/>
          <w:szCs w:val="20"/>
          <w:color w:val="auto"/>
        </w:rPr>
      </w:pPr>
      <w:r>
        <w:rPr>
          <w:rFonts w:ascii="Times New Roman" w:cs="Times New Roman" w:eastAsia="Times New Roman" w:hAnsi="Times New Roman"/>
          <w:sz w:val="12"/>
          <w:szCs w:val="12"/>
          <w:color w:val="auto"/>
        </w:rPr>
        <w:t>Shares were authorized for issuance. Holders of Class A Shares in Parent are entitled to one vote per share and holders of Class B Shares in Parent are entitled to ten votes per share. Holders of Class C Shares in Parent are entitled to one vote per share for certain matters, but have no voting rights with respect to general matters voted on by holders of Class A Shares and Class B Shares in Parent. Additionally, holders of GBP Redeemable Preferred Shares in Parent have no voting rights. Any dividends or other distributions paid by Parent shall be issued to holders of outstanding Class A Shares and Class B Shares in Parent. Holders of Class C</w:t>
      </w:r>
    </w:p>
    <w:p>
      <w:pPr>
        <w:jc w:val="both"/>
        <w:spacing w:after="0" w:line="222" w:lineRule="auto"/>
        <w:rPr>
          <w:sz w:val="20"/>
          <w:szCs w:val="20"/>
          <w:color w:val="auto"/>
        </w:rPr>
      </w:pPr>
      <w:r>
        <w:rPr>
          <w:rFonts w:ascii="Times New Roman" w:cs="Times New Roman" w:eastAsia="Times New Roman" w:hAnsi="Times New Roman"/>
          <w:sz w:val="13"/>
          <w:szCs w:val="13"/>
          <w:color w:val="auto"/>
        </w:rPr>
        <w:t xml:space="preserve">Shares and GBP Redeemable Preferred Shares in Parent are not entitled to participate in any dividends or other distributions. Refer to </w:t>
      </w:r>
      <w:r>
        <w:rPr>
          <w:rFonts w:ascii="Times New Roman" w:cs="Times New Roman" w:eastAsia="Times New Roman" w:hAnsi="Times New Roman"/>
          <w:sz w:val="13"/>
          <w:szCs w:val="13"/>
          <w:i w:val="1"/>
          <w:iCs w:val="1"/>
          <w:color w:val="auto"/>
        </w:rPr>
        <w:t>Note 11 - Reverse recapitalization</w:t>
      </w:r>
      <w:r>
        <w:rPr>
          <w:rFonts w:ascii="Times New Roman" w:cs="Times New Roman" w:eastAsia="Times New Roman" w:hAnsi="Times New Roman"/>
          <w:sz w:val="13"/>
          <w:szCs w:val="13"/>
          <w:color w:val="auto"/>
        </w:rPr>
        <w:t xml:space="preserve"> for additional information on the Class C Shares which are accounted for as derivative financial liabilities in accordance with IAS 32 and IFRS 9.</w:t>
      </w:r>
    </w:p>
    <w:p>
      <w:pPr>
        <w:sectPr>
          <w:pgSz w:w="11900" w:h="16838" w:orient="portrait"/>
          <w:cols w:equalWidth="0" w:num="1">
            <w:col w:w="11280"/>
          </w:cols>
          <w:pgMar w:left="300" w:top="120" w:right="319" w:bottom="1440" w:gutter="0" w:footer="0" w:header="0"/>
        </w:sectPr>
      </w:pP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14 - Liabilities to credit institutions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carrying amount of Polestar Group’s liabilities to credit institutions as of June 30, 2024 and December 31, 2023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67310</wp:posOffset>
            </wp:positionV>
            <wp:extent cx="6346825" cy="2197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46825" cy="219710"/>
                    </a:xfrm>
                    <a:prstGeom prst="rect">
                      <a:avLst/>
                    </a:prstGeom>
                    <a:noFill/>
                  </pic:spPr>
                </pic:pic>
              </a:graphicData>
            </a:graphic>
          </wp:anchor>
        </w:drawing>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Liabilities to credit institutions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30480</wp:posOffset>
            </wp:positionV>
            <wp:extent cx="6346825" cy="134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46825" cy="134620"/>
                    </a:xfrm>
                    <a:prstGeom prst="rect">
                      <a:avLst/>
                    </a:prstGeom>
                    <a:noFill/>
                  </pic:spPr>
                </pic:pic>
              </a:graphicData>
            </a:graphic>
          </wp:anchor>
        </w:drawing>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Working capital loans from banks</w:t>
      </w:r>
    </w:p>
    <w:p>
      <w:pPr>
        <w:spacing w:after="0" w:line="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Floorplan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6346825" cy="134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46825" cy="134620"/>
                    </a:xfrm>
                    <a:prstGeom prst="rect">
                      <a:avLst/>
                    </a:prstGeom>
                    <a:noFill/>
                  </pic:spPr>
                </pic:pic>
              </a:graphicData>
            </a:graphic>
          </wp:anchor>
        </w:drawing>
      </w:r>
    </w:p>
    <w:p>
      <w:pPr>
        <w:spacing w:after="0" w:line="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color w:val="auto"/>
        </w:rPr>
        <w:t>Sale-leaseback facilities</w:t>
      </w:r>
    </w:p>
    <w:p>
      <w:pPr>
        <w:spacing w:after="0" w:line="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30480</wp:posOffset>
            </wp:positionV>
            <wp:extent cx="6346825"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46825" cy="134620"/>
                    </a:xfrm>
                    <a:prstGeom prst="rect">
                      <a:avLst/>
                    </a:prstGeom>
                    <a:noFill/>
                  </pic:spPr>
                </pic:pic>
              </a:graphicData>
            </a:graphic>
          </wp:anchor>
        </w:drawing>
      </w:r>
    </w:p>
    <w:p>
      <w:pPr>
        <w:spacing w:after="0" w:line="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3"/>
          <w:szCs w:val="13"/>
          <w:b w:val="1"/>
          <w:bCs w:val="1"/>
          <w:color w:val="auto"/>
        </w:rPr>
        <w:t>Non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r>
      <w:tr>
        <w:trPr>
          <w:trHeight w:val="178"/>
        </w:trPr>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84"/>
        </w:trPr>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1,438,390</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1,923,755</w:t>
            </w:r>
          </w:p>
        </w:tc>
      </w:tr>
      <w:tr>
        <w:trPr>
          <w:trHeight w:val="212"/>
        </w:trPr>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84,445</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87,039</w:t>
            </w:r>
          </w:p>
        </w:tc>
      </w:tr>
      <w:tr>
        <w:trPr>
          <w:trHeight w:val="212"/>
        </w:trPr>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13,984</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12,788</w:t>
            </w:r>
          </w:p>
        </w:tc>
      </w:tr>
      <w:tr>
        <w:trPr>
          <w:trHeight w:val="29"/>
        </w:trPr>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2"/>
        </w:trPr>
        <w:tc>
          <w:tcPr>
            <w:tcW w:w="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1,536,819</w:t>
            </w:r>
          </w:p>
        </w:tc>
        <w:tc>
          <w:tcPr>
            <w:tcW w:w="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2,023,582</w:t>
            </w:r>
          </w:p>
        </w:tc>
      </w:tr>
      <w:tr>
        <w:trPr>
          <w:trHeight w:val="29"/>
        </w:trPr>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15" w:lineRule="exact"/>
        <w:rPr>
          <w:sz w:val="20"/>
          <w:szCs w:val="20"/>
          <w:color w:val="auto"/>
        </w:rPr>
      </w:pPr>
    </w:p>
    <w:p>
      <w:pPr>
        <w:sectPr>
          <w:pgSz w:w="11900" w:h="16838" w:orient="portrait"/>
          <w:cols w:equalWidth="0" w:num="2">
            <w:col w:w="7700" w:space="720"/>
            <w:col w:w="2860"/>
          </w:cols>
          <w:pgMar w:left="300" w:top="120" w:right="319" w:bottom="1440" w:gutter="0" w:footer="0" w:header="0"/>
          <w:type w:val="continuous"/>
        </w:sectPr>
      </w:pPr>
    </w:p>
    <w:tbl>
      <w:tblPr>
        <w:tblLayout w:type="fixed"/>
        <w:tblInd w:w="660" w:type="dxa"/>
        <w:tblCellMar>
          <w:top w:w="0" w:type="dxa"/>
          <w:left w:w="0" w:type="dxa"/>
          <w:bottom w:w="0" w:type="dxa"/>
          <w:right w:w="0" w:type="dxa"/>
        </w:tblCellMar>
      </w:tblPr>
      <w:tr>
        <w:trPr>
          <w:trHeight w:val="168"/>
        </w:trPr>
        <w:tc>
          <w:tcPr>
            <w:tcW w:w="7760" w:type="dxa"/>
            <w:vAlign w:val="bottom"/>
          </w:tcPr>
          <w:p>
            <w:pPr>
              <w:spacing w:after="0"/>
              <w:rPr>
                <w:sz w:val="20"/>
                <w:szCs w:val="20"/>
                <w:color w:val="auto"/>
              </w:rPr>
            </w:pPr>
            <w:r>
              <w:rPr>
                <w:rFonts w:ascii="Times New Roman" w:cs="Times New Roman" w:eastAsia="Times New Roman" w:hAnsi="Times New Roman"/>
                <w:sz w:val="13"/>
                <w:szCs w:val="13"/>
                <w:color w:val="auto"/>
              </w:rPr>
              <w:t>Syndicated loan from banks</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947,289</w:t>
            </w:r>
          </w:p>
        </w:tc>
        <w:tc>
          <w:tcPr>
            <w:tcW w:w="3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9"/>
        </w:trPr>
        <w:tc>
          <w:tcPr>
            <w:tcW w:w="776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1"/>
        </w:trPr>
        <w:tc>
          <w:tcPr>
            <w:tcW w:w="77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00" w:type="dxa"/>
            <w:vAlign w:val="bottom"/>
            <w:tcBorders>
              <w:bottom w:val="single" w:sz="8" w:color="DBDBDB"/>
            </w:tcBorders>
            <w:shd w:val="clear" w:color="auto" w:fill="DBDBDB"/>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947,289</w:t>
            </w:r>
          </w:p>
        </w:tc>
        <w:tc>
          <w:tcPr>
            <w:tcW w:w="34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3"/>
        </w:trPr>
        <w:tc>
          <w:tcPr>
            <w:tcW w:w="7760" w:type="dxa"/>
            <w:vAlign w:val="bottom"/>
            <w:tcBorders>
              <w:bottom w:val="single" w:sz="8" w:color="DBDBDB"/>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spacing w:after="0"/>
              <w:rPr>
                <w:sz w:val="14"/>
                <w:szCs w:val="14"/>
                <w:color w:val="auto"/>
              </w:rPr>
            </w:pPr>
          </w:p>
        </w:tc>
      </w:tr>
      <w:tr>
        <w:trPr>
          <w:trHeight w:val="181"/>
        </w:trPr>
        <w:tc>
          <w:tcPr>
            <w:tcW w:w="77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 liabilities to credit institutions</w:t>
            </w:r>
          </w:p>
        </w:tc>
        <w:tc>
          <w:tcPr>
            <w:tcW w:w="300" w:type="dxa"/>
            <w:vAlign w:val="bottom"/>
            <w:tcBorders>
              <w:bottom w:val="single" w:sz="8" w:color="DBDBDB"/>
            </w:tcBorders>
            <w:shd w:val="clear" w:color="auto" w:fill="DBDBDB"/>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2,484,108</w:t>
            </w:r>
          </w:p>
        </w:tc>
        <w:tc>
          <w:tcPr>
            <w:tcW w:w="34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2,023,582</w:t>
            </w:r>
          </w:p>
        </w:tc>
      </w:tr>
      <w:tr>
        <w:trPr>
          <w:trHeight w:val="20"/>
        </w:trPr>
        <w:tc>
          <w:tcPr>
            <w:tcW w:w="7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has the following current working capital loans outstanding as of June 30, 2024:</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type w:val="continuous"/>
        </w:sectPr>
      </w:pPr>
    </w:p>
    <w:bookmarkStart w:id="33" w:name="page34"/>
    <w:bookmarkEnd w:id="33"/>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00" w:type="dxa"/>
            <w:vAlign w:val="bottom"/>
            <w:shd w:val="clear" w:color="auto" w:fill="DBDBDB"/>
          </w:tcPr>
          <w:p>
            <w:pPr>
              <w:spacing w:after="0"/>
              <w:rPr>
                <w:sz w:val="13"/>
                <w:szCs w:val="13"/>
                <w:color w:val="auto"/>
              </w:rPr>
            </w:pPr>
          </w:p>
        </w:tc>
        <w:tc>
          <w:tcPr>
            <w:tcW w:w="240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4000" w:type="dxa"/>
            <w:vAlign w:val="bottom"/>
            <w:shd w:val="clear" w:color="auto" w:fill="DBDBDB"/>
          </w:tcPr>
          <w:p>
            <w:pPr>
              <w:spacing w:after="0"/>
              <w:rPr>
                <w:sz w:val="13"/>
                <w:szCs w:val="13"/>
                <w:color w:val="auto"/>
              </w:rPr>
            </w:pP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Nominal amount in</w:t>
            </w: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r>
      <w:tr>
        <w:trPr>
          <w:trHeight w:val="154"/>
        </w:trPr>
        <w:tc>
          <w:tcPr>
            <w:tcW w:w="900" w:type="dxa"/>
            <w:vAlign w:val="bottom"/>
            <w:shd w:val="clear" w:color="auto" w:fill="DBDBDB"/>
          </w:tcPr>
          <w:p>
            <w:pPr>
              <w:spacing w:after="0"/>
              <w:rPr>
                <w:sz w:val="13"/>
                <w:szCs w:val="13"/>
                <w:color w:val="auto"/>
              </w:rPr>
            </w:pPr>
          </w:p>
        </w:tc>
        <w:tc>
          <w:tcPr>
            <w:tcW w:w="240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4000" w:type="dxa"/>
            <w:vAlign w:val="bottom"/>
            <w:shd w:val="clear" w:color="auto" w:fill="DBDBDB"/>
          </w:tcPr>
          <w:p>
            <w:pPr>
              <w:spacing w:after="0"/>
              <w:rPr>
                <w:sz w:val="13"/>
                <w:szCs w:val="13"/>
                <w:color w:val="auto"/>
              </w:rPr>
            </w:pPr>
          </w:p>
        </w:tc>
        <w:tc>
          <w:tcPr>
            <w:tcW w:w="124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respective currency</w:t>
            </w:r>
          </w:p>
        </w:tc>
        <w:tc>
          <w:tcPr>
            <w:tcW w:w="140" w:type="dxa"/>
            <w:vAlign w:val="bottom"/>
            <w:shd w:val="clear" w:color="auto" w:fill="DBDBDB"/>
          </w:tcPr>
          <w:p>
            <w:pPr>
              <w:spacing w:after="0"/>
              <w:rPr>
                <w:sz w:val="13"/>
                <w:szCs w:val="13"/>
                <w:color w:val="auto"/>
              </w:rPr>
            </w:pPr>
          </w:p>
        </w:tc>
        <w:tc>
          <w:tcPr>
            <w:tcW w:w="1120" w:type="dxa"/>
            <w:vAlign w:val="bottom"/>
            <w:shd w:val="clear" w:color="auto" w:fill="DBDBDB"/>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Amount in USD</w:t>
            </w:r>
          </w:p>
        </w:tc>
      </w:tr>
      <w:tr>
        <w:trPr>
          <w:trHeight w:val="178"/>
        </w:trPr>
        <w:tc>
          <w:tcPr>
            <w:tcW w:w="900" w:type="dxa"/>
            <w:vAlign w:val="bottom"/>
            <w:tcBorders>
              <w:bottom w:val="single" w:sz="8" w:color="auto"/>
            </w:tcBorders>
            <w:shd w:val="clear" w:color="auto" w:fill="DBDBDB"/>
          </w:tcPr>
          <w:p>
            <w:pPr>
              <w:ind w:left="240"/>
              <w:spacing w:after="0"/>
              <w:rPr>
                <w:sz w:val="20"/>
                <w:szCs w:val="20"/>
                <w:color w:val="auto"/>
              </w:rPr>
            </w:pPr>
            <w:r>
              <w:rPr>
                <w:rFonts w:ascii="Times New Roman" w:cs="Times New Roman" w:eastAsia="Times New Roman" w:hAnsi="Times New Roman"/>
                <w:sz w:val="13"/>
                <w:szCs w:val="13"/>
                <w:b w:val="1"/>
                <w:bCs w:val="1"/>
                <w:color w:val="auto"/>
              </w:rPr>
              <w:t>Currency</w:t>
            </w:r>
          </w:p>
        </w:tc>
        <w:tc>
          <w:tcPr>
            <w:tcW w:w="2400" w:type="dxa"/>
            <w:vAlign w:val="bottom"/>
            <w:tcBorders>
              <w:bottom w:val="single" w:sz="8" w:color="auto"/>
            </w:tcBorders>
            <w:shd w:val="clear" w:color="auto" w:fill="DBDBDB"/>
          </w:tcPr>
          <w:p>
            <w:pPr>
              <w:ind w:left="1360"/>
              <w:spacing w:after="0"/>
              <w:rPr>
                <w:sz w:val="20"/>
                <w:szCs w:val="20"/>
                <w:color w:val="auto"/>
              </w:rPr>
            </w:pPr>
            <w:r>
              <w:rPr>
                <w:rFonts w:ascii="Times New Roman" w:cs="Times New Roman" w:eastAsia="Times New Roman" w:hAnsi="Times New Roman"/>
                <w:sz w:val="13"/>
                <w:szCs w:val="13"/>
                <w:b w:val="1"/>
                <w:bCs w:val="1"/>
                <w:color w:val="auto"/>
              </w:rPr>
              <w:t>Term</w:t>
            </w:r>
          </w:p>
        </w:tc>
        <w:tc>
          <w:tcPr>
            <w:tcW w:w="1500" w:type="dxa"/>
            <w:vAlign w:val="bottom"/>
            <w:tcBorders>
              <w:bottom w:val="single" w:sz="8" w:color="auto"/>
            </w:tcBorders>
            <w:shd w:val="clear" w:color="auto" w:fill="DBDBDB"/>
          </w:tcPr>
          <w:p>
            <w:pPr>
              <w:ind w:left="86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4000" w:type="dxa"/>
            <w:vAlign w:val="bottom"/>
            <w:tcBorders>
              <w:bottom w:val="single" w:sz="8" w:color="auto"/>
            </w:tcBorders>
            <w:shd w:val="clear" w:color="auto" w:fill="DBDBDB"/>
          </w:tcPr>
          <w:p>
            <w:pPr>
              <w:ind w:left="188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40" w:type="dxa"/>
            <w:vAlign w:val="bottom"/>
            <w:tcBorders>
              <w:bottom w:val="single" w:sz="8" w:color="auto"/>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(thousands)</w:t>
            </w:r>
          </w:p>
        </w:tc>
        <w:tc>
          <w:tcPr>
            <w:tcW w:w="140" w:type="dxa"/>
            <w:vAlign w:val="bottom"/>
            <w:tcBorders>
              <w:bottom w:val="single" w:sz="8" w:color="auto"/>
            </w:tcBorders>
            <w:shd w:val="clear" w:color="auto" w:fill="DBDBDB"/>
          </w:tcPr>
          <w:p>
            <w:pPr>
              <w:spacing w:after="0"/>
              <w:rPr>
                <w:sz w:val="15"/>
                <w:szCs w:val="15"/>
                <w:color w:val="auto"/>
              </w:rPr>
            </w:pPr>
          </w:p>
        </w:tc>
        <w:tc>
          <w:tcPr>
            <w:tcW w:w="1120" w:type="dxa"/>
            <w:vAlign w:val="bottom"/>
            <w:tcBorders>
              <w:bottom w:val="single" w:sz="8" w:color="auto"/>
            </w:tcBorders>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(thousands)</w:t>
            </w:r>
          </w:p>
        </w:tc>
      </w:tr>
      <w:tr>
        <w:trPr>
          <w:trHeight w:val="211"/>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August 2023 - August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3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2.3%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402,000</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August 2023 - August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3</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0.9%,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320,000</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August 2023 - August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1.1%,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82,000</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September 2023 - September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0.25%,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68,830</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September 2023 - September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0.65%,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118,000</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September 2023 - September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3</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1.11% settled semi-annual</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100,000</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October 2023 - October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0.15%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27,532</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December 2023 - December 2024</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1.05%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92,000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12,665</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USD</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December 2023 - December 2024</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3</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SOFR</w:t>
            </w: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 xml:space="preserve"> plus 1.7%, settled semi-annual</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133,000</w:t>
            </w:r>
          </w:p>
        </w:tc>
      </w:tr>
      <w:tr>
        <w:trPr>
          <w:trHeight w:val="187"/>
        </w:trPr>
        <w:tc>
          <w:tcPr>
            <w:tcW w:w="900" w:type="dxa"/>
            <w:vAlign w:val="bottom"/>
            <w:shd w:val="clear" w:color="auto" w:fill="DBDBDB"/>
          </w:tcPr>
          <w:p>
            <w:pPr>
              <w:spacing w:after="0"/>
              <w:rPr>
                <w:sz w:val="16"/>
                <w:szCs w:val="16"/>
                <w:color w:val="auto"/>
              </w:rPr>
            </w:pPr>
          </w:p>
        </w:tc>
        <w:tc>
          <w:tcPr>
            <w:tcW w:w="240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w w:val="99"/>
              </w:rPr>
              <w:t>3 month EURIBOR</w:t>
            </w:r>
            <w:r>
              <w:rPr>
                <w:rFonts w:ascii="Times New Roman" w:cs="Times New Roman" w:eastAsia="Times New Roman" w:hAnsi="Times New Roman"/>
                <w:sz w:val="16"/>
                <w:szCs w:val="16"/>
                <w:color w:val="auto"/>
                <w:w w:val="99"/>
                <w:vertAlign w:val="superscript"/>
              </w:rPr>
              <w:t>6</w:t>
            </w:r>
            <w:r>
              <w:rPr>
                <w:rFonts w:ascii="Times New Roman" w:cs="Times New Roman" w:eastAsia="Times New Roman" w:hAnsi="Times New Roman"/>
                <w:sz w:val="13"/>
                <w:szCs w:val="13"/>
                <w:color w:val="auto"/>
                <w:w w:val="99"/>
              </w:rPr>
              <w:t xml:space="preserve"> plus 2.3% and an arrangement fee of 0.15%, settled</w:t>
            </w:r>
          </w:p>
        </w:tc>
        <w:tc>
          <w:tcPr>
            <w:tcW w:w="124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120" w:type="dxa"/>
            <w:vAlign w:val="bottom"/>
            <w:shd w:val="clear" w:color="auto" w:fill="DBDBDB"/>
          </w:tcPr>
          <w:p>
            <w:pPr>
              <w:spacing w:after="0"/>
              <w:rPr>
                <w:sz w:val="16"/>
                <w:szCs w:val="16"/>
                <w:color w:val="auto"/>
              </w:rPr>
            </w:pPr>
          </w:p>
        </w:tc>
      </w:tr>
      <w:tr>
        <w:trPr>
          <w:trHeight w:val="198"/>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EUR</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February 2024 - February 2025</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Secured</w:t>
            </w:r>
            <w:r>
              <w:rPr>
                <w:rFonts w:ascii="Times New Roman" w:cs="Times New Roman" w:eastAsia="Times New Roman" w:hAnsi="Times New Roman"/>
                <w:sz w:val="16"/>
                <w:szCs w:val="16"/>
                <w:color w:val="auto"/>
                <w:vertAlign w:val="superscript"/>
              </w:rPr>
              <w:t>5</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38,290</w:t>
            </w:r>
          </w:p>
        </w:tc>
        <w:tc>
          <w:tcPr>
            <w:tcW w:w="140" w:type="dxa"/>
            <w:vAlign w:val="bottom"/>
            <w:shd w:val="clear" w:color="auto" w:fill="DBDBDB"/>
          </w:tcPr>
          <w:p>
            <w:pPr>
              <w:spacing w:after="0"/>
              <w:rPr>
                <w:sz w:val="17"/>
                <w:szCs w:val="17"/>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40,971</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March 2024 - March 2025</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1.05%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24,366</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April 2024 - April 2025</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7</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0.35%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473,000</w:t>
            </w:r>
          </w:p>
        </w:tc>
        <w:tc>
          <w:tcPr>
            <w:tcW w:w="14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65,113</w:t>
            </w:r>
          </w:p>
        </w:tc>
      </w:tr>
      <w:tr>
        <w:trPr>
          <w:trHeight w:val="212"/>
        </w:trPr>
        <w:tc>
          <w:tcPr>
            <w:tcW w:w="900" w:type="dxa"/>
            <w:vAlign w:val="bottom"/>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May 2024 - May 2025</w:t>
            </w:r>
          </w:p>
        </w:tc>
        <w:tc>
          <w:tcPr>
            <w:tcW w:w="1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7</w:t>
            </w:r>
          </w:p>
        </w:tc>
        <w:tc>
          <w:tcPr>
            <w:tcW w:w="4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0.35% settled quarterly</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88,000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12,114</w:t>
            </w:r>
          </w:p>
        </w:tc>
      </w:tr>
      <w:tr>
        <w:trPr>
          <w:trHeight w:val="212"/>
        </w:trPr>
        <w:tc>
          <w:tcPr>
            <w:tcW w:w="9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CNY</w:t>
            </w:r>
          </w:p>
        </w:tc>
        <w:tc>
          <w:tcPr>
            <w:tcW w:w="2400" w:type="dxa"/>
            <w:vAlign w:val="bottom"/>
            <w:shd w:val="clear" w:color="auto" w:fill="DBDBDB"/>
          </w:tcPr>
          <w:p>
            <w:pPr>
              <w:ind w:left="140"/>
              <w:spacing w:after="0"/>
              <w:rPr>
                <w:sz w:val="20"/>
                <w:szCs w:val="20"/>
                <w:color w:val="auto"/>
              </w:rPr>
            </w:pPr>
            <w:r>
              <w:rPr>
                <w:rFonts w:ascii="Times New Roman" w:cs="Times New Roman" w:eastAsia="Times New Roman" w:hAnsi="Times New Roman"/>
                <w:sz w:val="13"/>
                <w:szCs w:val="13"/>
                <w:color w:val="auto"/>
              </w:rPr>
              <w:t>June 2024 - June 2025</w:t>
            </w:r>
          </w:p>
        </w:tc>
        <w:tc>
          <w:tcPr>
            <w:tcW w:w="1500" w:type="dxa"/>
            <w:vAlign w:val="bottom"/>
            <w:shd w:val="clear" w:color="auto" w:fill="DBDBDB"/>
          </w:tcPr>
          <w:p>
            <w:pPr>
              <w:ind w:left="50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w:t>
            </w:r>
          </w:p>
        </w:tc>
        <w:tc>
          <w:tcPr>
            <w:tcW w:w="4000" w:type="dxa"/>
            <w:vAlign w:val="bottom"/>
            <w:shd w:val="clear" w:color="auto" w:fill="DBDBDB"/>
          </w:tcPr>
          <w:p>
            <w:pPr>
              <w:ind w:left="200"/>
              <w:spacing w:after="0"/>
              <w:rPr>
                <w:sz w:val="20"/>
                <w:szCs w:val="20"/>
                <w:color w:val="auto"/>
              </w:rPr>
            </w:pPr>
            <w:r>
              <w:rPr>
                <w:rFonts w:ascii="Times New Roman" w:cs="Times New Roman" w:eastAsia="Times New Roman" w:hAnsi="Times New Roman"/>
                <w:sz w:val="13"/>
                <w:szCs w:val="13"/>
                <w:color w:val="auto"/>
              </w:rPr>
              <w:t>12 month LPR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0.85% settled quarterly</w:t>
            </w:r>
          </w:p>
        </w:tc>
        <w:tc>
          <w:tcPr>
            <w:tcW w:w="12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231,000</w:t>
            </w:r>
          </w:p>
        </w:tc>
        <w:tc>
          <w:tcPr>
            <w:tcW w:w="140" w:type="dxa"/>
            <w:vAlign w:val="bottom"/>
            <w:tcBorders>
              <w:bottom w:val="single" w:sz="8" w:color="auto"/>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31,799</w:t>
            </w:r>
          </w:p>
        </w:tc>
      </w:tr>
      <w:tr>
        <w:trPr>
          <w:trHeight w:val="172"/>
        </w:trPr>
        <w:tc>
          <w:tcPr>
            <w:tcW w:w="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1,438,390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18415</wp:posOffset>
            </wp:positionV>
            <wp:extent cx="79438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94385" cy="635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Letters of keep well from both Volvo Cars and Geely.</w:t>
      </w:r>
    </w:p>
    <w:p>
      <w:pPr>
        <w:spacing w:after="0" w:line="220" w:lineRule="auto"/>
        <w:rPr>
          <w:sz w:val="20"/>
          <w:szCs w:val="20"/>
          <w:color w:val="auto"/>
        </w:rPr>
      </w:pPr>
      <w:r>
        <w:rPr>
          <w:rFonts w:ascii="Times New Roman" w:cs="Times New Roman" w:eastAsia="Times New Roman" w:hAnsi="Times New Roman"/>
          <w:sz w:val="10"/>
          <w:szCs w:val="10"/>
          <w:color w:val="auto"/>
        </w:rPr>
        <w:t>2 - Secured Overnight Financing Rate ("SOFR").</w:t>
      </w:r>
    </w:p>
    <w:p>
      <w:pPr>
        <w:spacing w:after="0" w:line="221" w:lineRule="auto"/>
        <w:rPr>
          <w:sz w:val="20"/>
          <w:szCs w:val="20"/>
          <w:color w:val="auto"/>
        </w:rPr>
      </w:pPr>
      <w:r>
        <w:rPr>
          <w:rFonts w:ascii="Times New Roman" w:cs="Times New Roman" w:eastAsia="Times New Roman" w:hAnsi="Times New Roman"/>
          <w:sz w:val="10"/>
          <w:szCs w:val="10"/>
          <w:color w:val="auto"/>
        </w:rPr>
        <w:t>3 - Secured by Geely.</w:t>
      </w:r>
    </w:p>
    <w:p>
      <w:pPr>
        <w:spacing w:after="0" w:line="201" w:lineRule="auto"/>
        <w:rPr>
          <w:sz w:val="20"/>
          <w:szCs w:val="20"/>
          <w:color w:val="auto"/>
        </w:rPr>
      </w:pPr>
      <w:r>
        <w:rPr>
          <w:rFonts w:ascii="Times New Roman" w:cs="Times New Roman" w:eastAsia="Times New Roman" w:hAnsi="Times New Roman"/>
          <w:sz w:val="10"/>
          <w:szCs w:val="10"/>
          <w:color w:val="auto"/>
        </w:rPr>
        <w:t>4 - People’s Bank of China (“PBOC”) Loan Prime Rate (“LPR").</w:t>
      </w:r>
    </w:p>
    <w:p>
      <w:pPr>
        <w:spacing w:after="0" w:line="221" w:lineRule="auto"/>
        <w:rPr>
          <w:sz w:val="20"/>
          <w:szCs w:val="20"/>
          <w:color w:val="auto"/>
        </w:rPr>
      </w:pPr>
      <w:r>
        <w:rPr>
          <w:rFonts w:ascii="Times New Roman" w:cs="Times New Roman" w:eastAsia="Times New Roman" w:hAnsi="Times New Roman"/>
          <w:sz w:val="10"/>
          <w:szCs w:val="10"/>
          <w:color w:val="auto"/>
        </w:rPr>
        <w:t>5 - New vehicle inventory purchased via this facility is pledged as security until repaid. This facility has a repayment period of 90 days and includes a covenant tied to the Group’s financial performance.</w:t>
      </w:r>
    </w:p>
    <w:p>
      <w:pPr>
        <w:spacing w:after="0" w:line="221" w:lineRule="auto"/>
        <w:rPr>
          <w:sz w:val="20"/>
          <w:szCs w:val="20"/>
          <w:color w:val="auto"/>
        </w:rPr>
      </w:pPr>
      <w:r>
        <w:rPr>
          <w:rFonts w:ascii="Times New Roman" w:cs="Times New Roman" w:eastAsia="Times New Roman" w:hAnsi="Times New Roman"/>
          <w:sz w:val="10"/>
          <w:szCs w:val="10"/>
          <w:color w:val="auto"/>
        </w:rPr>
        <w:t>6 - Euro Interbank Offered Rate (“EURIBOR”).</w:t>
      </w:r>
    </w:p>
    <w:p>
      <w:pPr>
        <w:spacing w:after="0"/>
        <w:rPr>
          <w:sz w:val="20"/>
          <w:szCs w:val="20"/>
          <w:color w:val="auto"/>
        </w:rPr>
      </w:pPr>
      <w:r>
        <w:rPr>
          <w:rFonts w:ascii="Times New Roman" w:cs="Times New Roman" w:eastAsia="Times New Roman" w:hAnsi="Times New Roman"/>
          <w:sz w:val="10"/>
          <w:szCs w:val="10"/>
          <w:color w:val="auto"/>
        </w:rPr>
        <w:t>7 - Letter of comfort from Geely.</w:t>
      </w:r>
    </w:p>
    <w:p>
      <w:pPr>
        <w:spacing w:after="0" w:line="50"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The Group's loan denominated in EUR which has a term of February 2024-February 2025 is subject to covenant requirements, including but not limited to minimum quarterly cash levels of €400,000. As of June 30, 2024, Polestar is not at risk of breaching this covenant.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Group has the following non-current syndicated loan from banks outstanding as of June 30,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0" w:type="dxa"/>
            <w:vAlign w:val="bottom"/>
            <w:shd w:val="clear" w:color="auto" w:fill="DBDBDB"/>
          </w:tcPr>
          <w:p>
            <w:pPr>
              <w:spacing w:after="0"/>
              <w:rPr>
                <w:sz w:val="14"/>
                <w:szCs w:val="14"/>
                <w:color w:val="auto"/>
              </w:rPr>
            </w:pPr>
          </w:p>
        </w:tc>
        <w:tc>
          <w:tcPr>
            <w:tcW w:w="2460" w:type="dxa"/>
            <w:vAlign w:val="bottom"/>
            <w:shd w:val="clear" w:color="auto" w:fill="DBDBDB"/>
          </w:tcPr>
          <w:p>
            <w:pPr>
              <w:spacing w:after="0"/>
              <w:rPr>
                <w:sz w:val="14"/>
                <w:szCs w:val="14"/>
                <w:color w:val="auto"/>
              </w:rPr>
            </w:pPr>
          </w:p>
        </w:tc>
        <w:tc>
          <w:tcPr>
            <w:tcW w:w="1500" w:type="dxa"/>
            <w:vAlign w:val="bottom"/>
            <w:shd w:val="clear" w:color="auto" w:fill="DBDBDB"/>
          </w:tcPr>
          <w:p>
            <w:pPr>
              <w:spacing w:after="0"/>
              <w:rPr>
                <w:sz w:val="14"/>
                <w:szCs w:val="14"/>
                <w:color w:val="auto"/>
              </w:rPr>
            </w:pPr>
          </w:p>
        </w:tc>
        <w:tc>
          <w:tcPr>
            <w:tcW w:w="3040" w:type="dxa"/>
            <w:vAlign w:val="bottom"/>
            <w:shd w:val="clear" w:color="auto" w:fill="DBDBDB"/>
          </w:tcPr>
          <w:p>
            <w:pPr>
              <w:spacing w:after="0"/>
              <w:rPr>
                <w:sz w:val="14"/>
                <w:szCs w:val="14"/>
                <w:color w:val="auto"/>
              </w:rPr>
            </w:pPr>
          </w:p>
        </w:tc>
        <w:tc>
          <w:tcPr>
            <w:tcW w:w="228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2"/>
                <w:szCs w:val="12"/>
                <w:b w:val="1"/>
                <w:bCs w:val="1"/>
                <w:color w:val="auto"/>
              </w:rPr>
              <w:t>Nominal amount in</w:t>
            </w:r>
          </w:p>
        </w:tc>
        <w:tc>
          <w:tcPr>
            <w:tcW w:w="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2"/>
                <w:szCs w:val="12"/>
                <w:b w:val="1"/>
                <w:bCs w:val="1"/>
                <w:color w:val="auto"/>
              </w:rPr>
              <w:t>Amount in</w:t>
            </w:r>
          </w:p>
        </w:tc>
        <w:tc>
          <w:tcPr>
            <w:tcW w:w="580" w:type="dxa"/>
            <w:vAlign w:val="bottom"/>
            <w:shd w:val="clear" w:color="auto" w:fill="DBDBDB"/>
          </w:tcPr>
          <w:p>
            <w:pPr>
              <w:spacing w:after="0"/>
              <w:rPr>
                <w:sz w:val="14"/>
                <w:szCs w:val="14"/>
                <w:color w:val="auto"/>
              </w:rPr>
            </w:pPr>
          </w:p>
        </w:tc>
      </w:tr>
      <w:tr>
        <w:trPr>
          <w:trHeight w:val="151"/>
        </w:trPr>
        <w:tc>
          <w:tcPr>
            <w:tcW w:w="760" w:type="dxa"/>
            <w:vAlign w:val="bottom"/>
            <w:shd w:val="clear" w:color="auto" w:fill="DBDBDB"/>
          </w:tcPr>
          <w:p>
            <w:pPr>
              <w:spacing w:after="0"/>
              <w:rPr>
                <w:sz w:val="13"/>
                <w:szCs w:val="13"/>
                <w:color w:val="auto"/>
              </w:rPr>
            </w:pPr>
          </w:p>
        </w:tc>
        <w:tc>
          <w:tcPr>
            <w:tcW w:w="2460" w:type="dxa"/>
            <w:vAlign w:val="bottom"/>
            <w:shd w:val="clear" w:color="auto" w:fill="DBDBDB"/>
          </w:tcPr>
          <w:p>
            <w:pPr>
              <w:spacing w:after="0"/>
              <w:rPr>
                <w:sz w:val="13"/>
                <w:szCs w:val="13"/>
                <w:color w:val="auto"/>
              </w:rPr>
            </w:pPr>
          </w:p>
        </w:tc>
        <w:tc>
          <w:tcPr>
            <w:tcW w:w="1500" w:type="dxa"/>
            <w:vAlign w:val="bottom"/>
            <w:shd w:val="clear" w:color="auto" w:fill="DBDBDB"/>
          </w:tcPr>
          <w:p>
            <w:pPr>
              <w:spacing w:after="0"/>
              <w:rPr>
                <w:sz w:val="13"/>
                <w:szCs w:val="13"/>
                <w:color w:val="auto"/>
              </w:rPr>
            </w:pPr>
          </w:p>
        </w:tc>
        <w:tc>
          <w:tcPr>
            <w:tcW w:w="3040" w:type="dxa"/>
            <w:vAlign w:val="bottom"/>
            <w:shd w:val="clear" w:color="auto" w:fill="DBDBDB"/>
          </w:tcPr>
          <w:p>
            <w:pPr>
              <w:spacing w:after="0"/>
              <w:rPr>
                <w:sz w:val="13"/>
                <w:szCs w:val="13"/>
                <w:color w:val="auto"/>
              </w:rPr>
            </w:pPr>
          </w:p>
        </w:tc>
        <w:tc>
          <w:tcPr>
            <w:tcW w:w="2280" w:type="dxa"/>
            <w:vAlign w:val="bottom"/>
            <w:shd w:val="clear" w:color="auto" w:fill="DBDBDB"/>
          </w:tcPr>
          <w:p>
            <w:pPr>
              <w:ind w:left="1040"/>
              <w:spacing w:after="0"/>
              <w:rPr>
                <w:sz w:val="20"/>
                <w:szCs w:val="20"/>
                <w:color w:val="auto"/>
              </w:rPr>
            </w:pPr>
            <w:r>
              <w:rPr>
                <w:rFonts w:ascii="Times New Roman" w:cs="Times New Roman" w:eastAsia="Times New Roman" w:hAnsi="Times New Roman"/>
                <w:sz w:val="12"/>
                <w:szCs w:val="12"/>
                <w:b w:val="1"/>
                <w:bCs w:val="1"/>
                <w:color w:val="auto"/>
              </w:rPr>
              <w:t>respective currency</w:t>
            </w:r>
          </w:p>
        </w:tc>
        <w:tc>
          <w:tcPr>
            <w:tcW w:w="68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2"/>
                <w:szCs w:val="12"/>
                <w:b w:val="1"/>
                <w:bCs w:val="1"/>
                <w:color w:val="auto"/>
              </w:rPr>
              <w:t>USD</w:t>
            </w:r>
          </w:p>
        </w:tc>
        <w:tc>
          <w:tcPr>
            <w:tcW w:w="580" w:type="dxa"/>
            <w:vAlign w:val="bottom"/>
            <w:shd w:val="clear" w:color="auto" w:fill="DBDBDB"/>
          </w:tcPr>
          <w:p>
            <w:pPr>
              <w:spacing w:after="0"/>
              <w:rPr>
                <w:sz w:val="13"/>
                <w:szCs w:val="13"/>
                <w:color w:val="auto"/>
              </w:rPr>
            </w:pPr>
          </w:p>
        </w:tc>
      </w:tr>
      <w:tr>
        <w:trPr>
          <w:trHeight w:val="192"/>
        </w:trPr>
        <w:tc>
          <w:tcPr>
            <w:tcW w:w="76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2460" w:type="dxa"/>
            <w:vAlign w:val="bottom"/>
            <w:tcBorders>
              <w:bottom w:val="single" w:sz="8" w:color="DBDBDB"/>
            </w:tcBorders>
            <w:shd w:val="clear" w:color="auto" w:fill="DBDBDB"/>
          </w:tcPr>
          <w:p>
            <w:pPr>
              <w:ind w:left="280"/>
              <w:spacing w:after="0"/>
              <w:rPr>
                <w:sz w:val="20"/>
                <w:szCs w:val="20"/>
                <w:color w:val="auto"/>
              </w:rPr>
            </w:pPr>
            <w:r>
              <w:rPr>
                <w:rFonts w:ascii="Times New Roman" w:cs="Times New Roman" w:eastAsia="Times New Roman" w:hAnsi="Times New Roman"/>
                <w:sz w:val="12"/>
                <w:szCs w:val="12"/>
                <w:b w:val="1"/>
                <w:bCs w:val="1"/>
                <w:color w:val="auto"/>
              </w:rPr>
              <w:t>Term</w:t>
            </w:r>
          </w:p>
        </w:tc>
        <w:tc>
          <w:tcPr>
            <w:tcW w:w="1500" w:type="dxa"/>
            <w:vAlign w:val="bottom"/>
            <w:tcBorders>
              <w:bottom w:val="single" w:sz="8" w:color="DBDBDB"/>
            </w:tcBorders>
            <w:shd w:val="clear" w:color="auto" w:fill="DBDBDB"/>
          </w:tcPr>
          <w:p>
            <w:pPr>
              <w:ind w:left="580"/>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3040" w:type="dxa"/>
            <w:vAlign w:val="bottom"/>
            <w:tcBorders>
              <w:bottom w:val="single" w:sz="8" w:color="DBDBDB"/>
            </w:tcBorders>
            <w:shd w:val="clear" w:color="auto" w:fill="DBDBDB"/>
          </w:tcPr>
          <w:p>
            <w:pPr>
              <w:ind w:left="28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2280" w:type="dxa"/>
            <w:vAlign w:val="bottom"/>
            <w:tcBorders>
              <w:bottom w:val="single" w:sz="8" w:color="DBDBDB"/>
            </w:tcBorders>
            <w:shd w:val="clear" w:color="auto" w:fill="DBDBDB"/>
          </w:tcPr>
          <w:p>
            <w:pPr>
              <w:ind w:left="1040"/>
              <w:spacing w:after="0"/>
              <w:rPr>
                <w:sz w:val="20"/>
                <w:szCs w:val="20"/>
                <w:color w:val="auto"/>
              </w:rPr>
            </w:pPr>
            <w:r>
              <w:rPr>
                <w:rFonts w:ascii="Times New Roman" w:cs="Times New Roman" w:eastAsia="Times New Roman" w:hAnsi="Times New Roman"/>
                <w:sz w:val="12"/>
                <w:szCs w:val="12"/>
                <w:b w:val="1"/>
                <w:bCs w:val="1"/>
                <w:color w:val="auto"/>
              </w:rPr>
              <w:t>(thousands)</w:t>
            </w:r>
          </w:p>
        </w:tc>
        <w:tc>
          <w:tcPr>
            <w:tcW w:w="68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2"/>
                <w:szCs w:val="12"/>
                <w:b w:val="1"/>
                <w:bCs w:val="1"/>
                <w:color w:val="auto"/>
              </w:rPr>
              <w:t>(thousands)</w:t>
            </w:r>
          </w:p>
        </w:tc>
        <w:tc>
          <w:tcPr>
            <w:tcW w:w="580" w:type="dxa"/>
            <w:vAlign w:val="bottom"/>
            <w:tcBorders>
              <w:bottom w:val="single" w:sz="8" w:color="DBDBDB"/>
            </w:tcBorders>
            <w:shd w:val="clear" w:color="auto" w:fill="DBDBDB"/>
          </w:tcPr>
          <w:p>
            <w:pPr>
              <w:spacing w:after="0"/>
              <w:rPr>
                <w:sz w:val="16"/>
                <w:szCs w:val="16"/>
                <w:color w:val="auto"/>
              </w:rPr>
            </w:pPr>
          </w:p>
        </w:tc>
      </w:tr>
      <w:tr>
        <w:trPr>
          <w:trHeight w:val="201"/>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USD</w:t>
            </w:r>
          </w:p>
        </w:tc>
        <w:tc>
          <w:tcPr>
            <w:tcW w:w="246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February 2024 - February 2027</w:t>
            </w:r>
          </w:p>
        </w:tc>
        <w:tc>
          <w:tcPr>
            <w:tcW w:w="150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1,2</w:t>
            </w:r>
          </w:p>
        </w:tc>
        <w:tc>
          <w:tcPr>
            <w:tcW w:w="30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3"/>
                <w:szCs w:val="13"/>
                <w:color w:val="auto"/>
              </w:rPr>
              <w:t>3 month Term SOFR</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 xml:space="preserve"> plus 3.35%</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583,489</w:t>
            </w:r>
          </w:p>
        </w:tc>
        <w:tc>
          <w:tcPr>
            <w:tcW w:w="6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583,489</w:t>
            </w:r>
          </w:p>
        </w:tc>
      </w:tr>
      <w:tr>
        <w:trPr>
          <w:trHeight w:val="212"/>
        </w:trPr>
        <w:tc>
          <w:tcPr>
            <w:tcW w:w="76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EUR</w:t>
            </w:r>
          </w:p>
        </w:tc>
        <w:tc>
          <w:tcPr>
            <w:tcW w:w="246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3"/>
                <w:szCs w:val="13"/>
                <w:color w:val="auto"/>
              </w:rPr>
              <w:t>February 2024 - February 2027</w:t>
            </w:r>
          </w:p>
        </w:tc>
        <w:tc>
          <w:tcPr>
            <w:tcW w:w="1500" w:type="dxa"/>
            <w:vAlign w:val="bottom"/>
            <w:shd w:val="clear" w:color="auto" w:fill="DBDBDB"/>
          </w:tcPr>
          <w:p>
            <w:pPr>
              <w:ind w:left="580"/>
              <w:spacing w:after="0"/>
              <w:rPr>
                <w:sz w:val="20"/>
                <w:szCs w:val="20"/>
                <w:color w:val="auto"/>
              </w:rPr>
            </w:pPr>
            <w:r>
              <w:rPr>
                <w:rFonts w:ascii="Times New Roman" w:cs="Times New Roman" w:eastAsia="Times New Roman" w:hAnsi="Times New Roman"/>
                <w:sz w:val="13"/>
                <w:szCs w:val="13"/>
                <w:color w:val="auto"/>
              </w:rPr>
              <w:t>Unsecured</w:t>
            </w:r>
            <w:r>
              <w:rPr>
                <w:rFonts w:ascii="Times New Roman" w:cs="Times New Roman" w:eastAsia="Times New Roman" w:hAnsi="Times New Roman"/>
                <w:sz w:val="16"/>
                <w:szCs w:val="16"/>
                <w:color w:val="auto"/>
                <w:vertAlign w:val="superscript"/>
              </w:rPr>
              <w:t>1,2</w:t>
            </w:r>
          </w:p>
        </w:tc>
        <w:tc>
          <w:tcPr>
            <w:tcW w:w="3040" w:type="dxa"/>
            <w:vAlign w:val="bottom"/>
            <w:shd w:val="clear" w:color="auto" w:fill="DBDBDB"/>
          </w:tcPr>
          <w:p>
            <w:pPr>
              <w:ind w:left="280"/>
              <w:spacing w:after="0"/>
              <w:rPr>
                <w:sz w:val="20"/>
                <w:szCs w:val="20"/>
                <w:color w:val="auto"/>
              </w:rPr>
            </w:pPr>
            <w:r>
              <w:rPr>
                <w:rFonts w:ascii="Times New Roman" w:cs="Times New Roman" w:eastAsia="Times New Roman" w:hAnsi="Times New Roman"/>
                <w:sz w:val="13"/>
                <w:szCs w:val="13"/>
                <w:color w:val="auto"/>
              </w:rPr>
              <w:t>3 month EURIBOR</w:t>
            </w:r>
            <w:r>
              <w:rPr>
                <w:rFonts w:ascii="Times New Roman" w:cs="Times New Roman" w:eastAsia="Times New Roman" w:hAnsi="Times New Roman"/>
                <w:sz w:val="16"/>
                <w:szCs w:val="16"/>
                <w:color w:val="auto"/>
                <w:vertAlign w:val="superscript"/>
              </w:rPr>
              <w:t>4</w:t>
            </w:r>
            <w:r>
              <w:rPr>
                <w:rFonts w:ascii="Times New Roman" w:cs="Times New Roman" w:eastAsia="Times New Roman" w:hAnsi="Times New Roman"/>
                <w:sz w:val="13"/>
                <w:szCs w:val="13"/>
                <w:color w:val="auto"/>
              </w:rPr>
              <w:t xml:space="preserve"> plus 2.85%</w:t>
            </w:r>
          </w:p>
        </w:tc>
        <w:tc>
          <w:tcPr>
            <w:tcW w:w="228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340,000</w:t>
            </w:r>
          </w:p>
        </w:tc>
        <w:tc>
          <w:tcPr>
            <w:tcW w:w="680" w:type="dxa"/>
            <w:vAlign w:val="bottom"/>
            <w:tcBorders>
              <w:bottom w:val="single" w:sz="8" w:color="auto"/>
            </w:tcBorders>
            <w:shd w:val="clear" w:color="auto" w:fill="DBDBDB"/>
          </w:tcPr>
          <w:p>
            <w:pPr>
              <w:spacing w:after="0"/>
              <w:rPr>
                <w:sz w:val="18"/>
                <w:szCs w:val="18"/>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363,800</w:t>
            </w:r>
          </w:p>
        </w:tc>
      </w:tr>
      <w:tr>
        <w:trPr>
          <w:trHeight w:val="172"/>
        </w:trPr>
        <w:tc>
          <w:tcPr>
            <w:tcW w:w="7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947,289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18415</wp:posOffset>
            </wp:positionV>
            <wp:extent cx="79438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94385" cy="63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 Letter of keep well from Geely and letters of comfort from Volvo Cars and PSD.</w:t>
      </w:r>
    </w:p>
    <w:p>
      <w:pPr>
        <w:spacing w:after="0" w:line="202" w:lineRule="auto"/>
        <w:rPr>
          <w:sz w:val="20"/>
          <w:szCs w:val="20"/>
          <w:color w:val="auto"/>
        </w:rPr>
      </w:pPr>
      <w:r>
        <w:rPr>
          <w:rFonts w:ascii="Times New Roman" w:cs="Times New Roman" w:eastAsia="Times New Roman" w:hAnsi="Times New Roman"/>
          <w:sz w:val="10"/>
          <w:szCs w:val="10"/>
          <w:color w:val="auto"/>
        </w:rPr>
        <w:t>2 - The loans are secured by interest reserve accounts pledges with an aggregate of three months interest deposited. The Group had a restricted cash balance of $21,490 as of June 30, 2024.</w:t>
      </w:r>
    </w:p>
    <w:p>
      <w:pPr>
        <w:spacing w:after="0" w:line="221" w:lineRule="auto"/>
        <w:rPr>
          <w:sz w:val="20"/>
          <w:szCs w:val="20"/>
          <w:color w:val="auto"/>
        </w:rPr>
      </w:pPr>
      <w:r>
        <w:rPr>
          <w:rFonts w:ascii="Times New Roman" w:cs="Times New Roman" w:eastAsia="Times New Roman" w:hAnsi="Times New Roman"/>
          <w:sz w:val="10"/>
          <w:szCs w:val="10"/>
          <w:color w:val="auto"/>
        </w:rPr>
        <w:t>3 - Term Secured Overnight Financing Rate ("Term SOFR").</w:t>
      </w:r>
    </w:p>
    <w:p>
      <w:pPr>
        <w:spacing w:after="0"/>
        <w:rPr>
          <w:sz w:val="20"/>
          <w:szCs w:val="20"/>
          <w:color w:val="auto"/>
        </w:rPr>
      </w:pPr>
      <w:r>
        <w:rPr>
          <w:rFonts w:ascii="Times New Roman" w:cs="Times New Roman" w:eastAsia="Times New Roman" w:hAnsi="Times New Roman"/>
          <w:sz w:val="10"/>
          <w:szCs w:val="10"/>
          <w:color w:val="auto"/>
        </w:rPr>
        <w:t>4 - Euro Interbank Offered Rate (“EURIBOR”).</w:t>
      </w:r>
    </w:p>
    <w:p>
      <w:pPr>
        <w:spacing w:after="0" w:line="60"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The syndicated loan is subject to covenant requirements, including but not limited to a minimum annual revenue of $5,359,900 for 2024, minimum quarterly cash levels of €400,000, and maximum quarterly financial indebtedness of $5,500,000. As of the issuance date of these Unaudited Condensed Consolidated Financial Statements, Polestar is at risk of breaching certain of these covenants, which could lead to the banks calling on the debt immediately if the breach occurs. In the event the debt is called upon immediately,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ind w:right="2180"/>
        <w:spacing w:after="0" w:line="393" w:lineRule="auto"/>
        <w:rPr>
          <w:sz w:val="20"/>
          <w:szCs w:val="20"/>
          <w:color w:val="auto"/>
        </w:rPr>
      </w:pPr>
      <w:r>
        <w:rPr>
          <w:rFonts w:ascii="Times New Roman" w:cs="Times New Roman" w:eastAsia="Times New Roman" w:hAnsi="Times New Roman"/>
          <w:sz w:val="13"/>
          <w:szCs w:val="13"/>
          <w:color w:val="auto"/>
        </w:rPr>
        <w:t xml:space="preserve">the entirety of the debt will become current. Discussions have been initiated with certain of the lending banks to seek a waiver of those covenant requirements in a timely fashion. </w:t>
      </w:r>
      <w:r>
        <w:rPr>
          <w:rFonts w:ascii="Times New Roman" w:cs="Times New Roman" w:eastAsia="Times New Roman" w:hAnsi="Times New Roman"/>
          <w:sz w:val="13"/>
          <w:szCs w:val="13"/>
          <w:b w:val="1"/>
          <w:bCs w:val="1"/>
          <w:color w:val="auto"/>
        </w:rPr>
        <w:t>Floorplan facilities</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In the ordinary course of business, Polestar, on a market-by-market basis, enters into multiple low-value credit facilities with various financial service providers to fund operations related to vehicle sales. These facilities provide access to credit with the option to renew as mutually determined by Polestar Group and the financial service provider. The facilities are partially secured by the underlying assets on a market-by-market basis. As of June 30, 2024 and December 31, 2023, the aggregate amount outstanding under these arrangements was $133,785 and $122,786, respectively.</w:t>
      </w:r>
    </w:p>
    <w:p>
      <w:pPr>
        <w:spacing w:after="0" w:line="47"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 xml:space="preserve">The Group maintains one such facility with the related party Volvo Cars that is presented separately in Interest-bearing current liabilities - related parties within the Unaudited Condensed Consolidated Statement of Financial Position. Of the amounts above, the aggregate amount outstanding as of June 30, 2024 and December 31, 2023 due to related parties amounted to $49,340 and 35,747, respectively. Refer to </w:t>
      </w:r>
      <w:r>
        <w:rPr>
          <w:rFonts w:ascii="Times New Roman" w:cs="Times New Roman" w:eastAsia="Times New Roman" w:hAnsi="Times New Roman"/>
          <w:sz w:val="13"/>
          <w:szCs w:val="13"/>
          <w:i w:val="1"/>
          <w:iCs w:val="1"/>
          <w:color w:val="auto"/>
        </w:rPr>
        <w:t>Note 15 - Related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party transactions </w:t>
      </w:r>
      <w:r>
        <w:rPr>
          <w:rFonts w:ascii="Times New Roman" w:cs="Times New Roman" w:eastAsia="Times New Roman" w:hAnsi="Times New Roman"/>
          <w:sz w:val="13"/>
          <w:szCs w:val="13"/>
          <w:color w:val="auto"/>
        </w:rPr>
        <w:t>for further details.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Sale-leaseback facilities</w:t>
      </w:r>
    </w:p>
    <w:p>
      <w:pPr>
        <w:spacing w:after="0" w:line="5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3"/>
          <w:szCs w:val="13"/>
          <w:color w:val="auto"/>
        </w:rPr>
        <w:t>Polestar has also entered into contracts to sell vehicles and then lease such vehicles back for a period of up to twelve months. At the end of the leaseback period, Polestar is obligated to re-purchase the vehicles. Accordingly, the consideration received for these transactions was recorded as a financing transaction. As of June 30, 2024 and December 31, 2023, the aggregate amount outstanding under these arrangements were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$13,984 and $12,788, respectively.</w:t>
      </w:r>
    </w:p>
    <w:p>
      <w:pPr>
        <w:spacing w:after="0" w:line="39"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 xml:space="preserve">Since the contracts identified above are short term with a duration of twelve months or less, the carrying amount of the contracts is deemed to be a reasonable approximation of their fair value. The Group’s risk management policies related to debt instruments are further detailed in </w:t>
      </w:r>
      <w:r>
        <w:rPr>
          <w:rFonts w:ascii="Times New Roman" w:cs="Times New Roman" w:eastAsia="Times New Roman" w:hAnsi="Times New Roman"/>
          <w:sz w:val="13"/>
          <w:szCs w:val="13"/>
          <w:i w:val="1"/>
          <w:iCs w:val="1"/>
          <w:color w:val="auto"/>
        </w:rPr>
        <w:t>Note 3 - Financial risk management</w:t>
      </w:r>
      <w:r>
        <w:rPr>
          <w:rFonts w:ascii="Times New Roman" w:cs="Times New Roman" w:eastAsia="Times New Roman" w:hAnsi="Times New Roman"/>
          <w:sz w:val="13"/>
          <w:szCs w:val="13"/>
          <w:color w:val="auto"/>
        </w:rPr>
        <w:t xml:space="preserve"> of the Consolidated Financial Statements, as of December 31, 2023 and 2022, and for the three years ended</w:t>
      </w:r>
    </w:p>
    <w:p>
      <w:pPr>
        <w:spacing w:after="0" w:line="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December 31, 2023 that were included in the Form 20-F filed with the SEC on August 14, 2024. There are no changes in terms of risk management policies for the periods presented in these Unaudited Condensed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15 - Related party transactions</w:t>
      </w:r>
    </w:p>
    <w:p>
      <w:pPr>
        <w:spacing w:after="0" w:line="62"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2"/>
          <w:szCs w:val="12"/>
          <w:color w:val="auto"/>
        </w:rPr>
        <w:t xml:space="preserve">For a detailed description of the Group’s related parties and related party transactions, refer to </w:t>
      </w:r>
      <w:r>
        <w:rPr>
          <w:rFonts w:ascii="Times New Roman" w:cs="Times New Roman" w:eastAsia="Times New Roman" w:hAnsi="Times New Roman"/>
          <w:sz w:val="12"/>
          <w:szCs w:val="12"/>
          <w:i w:val="1"/>
          <w:iCs w:val="1"/>
          <w:color w:val="auto"/>
        </w:rPr>
        <w:t>Note 27 - Related party transactions</w:t>
      </w:r>
      <w:r>
        <w:rPr>
          <w:rFonts w:ascii="Times New Roman" w:cs="Times New Roman" w:eastAsia="Times New Roman" w:hAnsi="Times New Roman"/>
          <w:sz w:val="12"/>
          <w:szCs w:val="12"/>
          <w:color w:val="auto"/>
        </w:rPr>
        <w:t xml:space="preserve"> of the Consolidated Financial Statements, as of December 31, 2023 and 2022, and for the three years ended December 31, 2023, that were included in the Form 20-F filed with the SEC on August 14, 2024. There are no changes to the Group’s related parties for the periods presented in these Unaudited Condensed Consolidated Financial Statements as compared to the year ended December 31, 2023. Related party activity during the six months ended June 30, 2024 and 2023 and balances as of June 30, 2024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December 31, 2023 are presented below.</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Financing</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Working capital loans</w:t>
      </w:r>
    </w:p>
    <w:p>
      <w:pPr>
        <w:spacing w:after="0" w:line="64"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 xml:space="preserve">In May 2021, the Group entered into a working capital credit facility with Volvo Cars and subsequently made draw downs on the facility, which has a maturity of one year. As of June 30, 2024, $49,340 of this financing arrangement remained outstanding, which is included in Interest-bearing current liabilities - related parties on the Unaudited Condensed Consolidated Statement of Financial Position. Refer to </w:t>
      </w:r>
      <w:r>
        <w:rPr>
          <w:rFonts w:ascii="Times New Roman" w:cs="Times New Roman" w:eastAsia="Times New Roman" w:hAnsi="Times New Roman"/>
          <w:sz w:val="13"/>
          <w:szCs w:val="13"/>
          <w:i w:val="1"/>
          <w:iCs w:val="1"/>
          <w:color w:val="auto"/>
        </w:rPr>
        <w:t>Note 14 - Liabilities to</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credit institutions </w:t>
      </w:r>
      <w:r>
        <w:rPr>
          <w:rFonts w:ascii="Times New Roman" w:cs="Times New Roman" w:eastAsia="Times New Roman" w:hAnsi="Times New Roman"/>
          <w:sz w:val="13"/>
          <w:szCs w:val="13"/>
          <w:color w:val="auto"/>
        </w:rPr>
        <w:t>for further details.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Convertible instruments</w:t>
      </w:r>
    </w:p>
    <w:p>
      <w:pPr>
        <w:spacing w:after="0" w:line="55"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On November 3, 2022 the Group entered into a credit facility agreement with Volvo Cars providing available credit of up to $800,000; originally terminating on May 3, 2024. The credit facility can be drawn upon once a month and is utilizable for general corporate purposes. Interest is calculated at the floating six-month SOFR rate plus 4.9% per annum. Prior to June 30, 2027, if the Group announces an offering of shares with a proposed</w:t>
      </w:r>
    </w:p>
    <w:p>
      <w:pPr>
        <w:jc w:val="both"/>
        <w:ind w:right="20"/>
        <w:spacing w:after="0" w:line="223" w:lineRule="auto"/>
        <w:rPr>
          <w:sz w:val="20"/>
          <w:szCs w:val="20"/>
          <w:color w:val="auto"/>
        </w:rPr>
      </w:pPr>
      <w:r>
        <w:rPr>
          <w:rFonts w:ascii="Times New Roman" w:cs="Times New Roman" w:eastAsia="Times New Roman" w:hAnsi="Times New Roman"/>
          <w:sz w:val="12"/>
          <w:szCs w:val="12"/>
          <w:color w:val="auto"/>
        </w:rPr>
        <w:t>capital raise of at least $350,000 and no fewer than five institutional investors participate in the offering, Volvo Cars has the right to convert the principal amount of any outstanding loans into the same class of shares and at the same price per share as received by the participating institutional investors. Under IAS 32 and IFRS 9, Volvo Cars' conversion right meets the definition of an embedded derivative financial liability that is required to be bifurcated from the host debt instrument and accounted for separately because it could result in the issuance of a variable number of Class A Shares in the Parent at a price that was not fixed at the inception of the</w:t>
      </w:r>
    </w:p>
    <w:p>
      <w:pPr>
        <w:jc w:val="both"/>
        <w:ind w:right="20"/>
        <w:spacing w:after="0" w:line="221" w:lineRule="auto"/>
        <w:rPr>
          <w:sz w:val="20"/>
          <w:szCs w:val="20"/>
          <w:color w:val="auto"/>
        </w:rPr>
      </w:pPr>
      <w:r>
        <w:rPr>
          <w:rFonts w:ascii="Times New Roman" w:cs="Times New Roman" w:eastAsia="Times New Roman" w:hAnsi="Times New Roman"/>
          <w:sz w:val="12"/>
          <w:szCs w:val="12"/>
          <w:color w:val="auto"/>
        </w:rPr>
        <w:t>agreement. Additionally, the economics of Volvo Cars' conversion right are not clearly and closely related to that of the host debt instrument because the principal value of Volvo Cars' conversion right depends on (1) whether or not the Group conducts a qualified equity offering to investors at a market discount and (2) the time-value of money associated with settlement of the liability earlier than June 30, 2027. As such, the financial liability related to Volvo Cars' conversion right is carried at fair value with subsequent changes in fair value recognized in the Consolidated Statement of Loss and Comprehensive Loss at each reporting date. On November 8, 2023, the credit facility agreement was amended to increase the overall credit capacity to $1,000,000 and extend the termination date to June 30, 2027. As a result of the amended terms, Polestar recalculated</w:t>
      </w:r>
    </w:p>
    <w:p>
      <w:pPr>
        <w:spacing w:after="0" w:line="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the carrying amount of the liability as the present value of the modified contractual cash flows and recognized a modification loss of $6,829 within Finance expense for the year ended December 31, 2023. As of June 30, 2024, the Group had principal draw downs of $1,000,000 outstanding under the facility, and the fair value of the financial liability related to Volvo Cars' conversion right was $0.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On November 8, 2023, the Group entered into a credit facility agreement with Geely providing available credit of up to $250,000; terminating on June 30, 2027. Other than the amount of credit available, the credit</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facility agreement with Geely maintains terms that are identical to the amended credit facility agreement with Volvo Cars. As of June 30, 2024 the Group had principal draws of $250,000 outstanding under the facility and the fair value of the financial liability related to Geely's conversion right was $0.</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financing instruments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On December 8, 2023, Polestar and Geely entered into an asset transfer agreement which, when considered together with certain other agreements not signed until after December 31, 2023, was designed to provide financing to Polestar in exchange for Polestar transferring legal ownership of certain Polestar unique tooling and equipment that will be used in the manufacturing of the PS3 (the "PS3 Tooling and Equipment") to Geely.</w:t>
      </w:r>
    </w:p>
    <w:p>
      <w:pPr>
        <w:spacing w:after="0"/>
        <w:rPr>
          <w:sz w:val="20"/>
          <w:szCs w:val="20"/>
          <w:color w:val="auto"/>
        </w:rPr>
      </w:pPr>
      <w:r>
        <w:rPr>
          <w:rFonts w:ascii="Times New Roman" w:cs="Times New Roman" w:eastAsia="Times New Roman" w:hAnsi="Times New Roman"/>
          <w:sz w:val="13"/>
          <w:szCs w:val="13"/>
          <w:color w:val="auto"/>
        </w:rPr>
        <w:t>As of June 30, 2024, total principal of $132,237 was outstanding under this financing arrangement.</w:t>
      </w:r>
    </w:p>
    <w:p>
      <w:pPr>
        <w:spacing w:after="0" w:line="3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3"/>
          <w:szCs w:val="13"/>
          <w:color w:val="auto"/>
        </w:rPr>
        <w:t xml:space="preserve">As of June 30, 2024 the total principal balance outstanding under the facilities with Volvo Cars and Geely is reflected within Other current liabilities - related parties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3"/>
          <w:szCs w:val="13"/>
          <w:color w:val="auto"/>
        </w:rPr>
        <w:t xml:space="preserve"> Other non-current interest-bearing liabilities - related parties.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 of goods, services and other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total revenue recognized for each related party was as follows:</w:t>
      </w:r>
    </w:p>
    <w:p>
      <w:pPr>
        <w:spacing w:after="0" w:line="104" w:lineRule="exact"/>
        <w:rPr>
          <w:sz w:val="20"/>
          <w:szCs w:val="20"/>
          <w:color w:val="auto"/>
        </w:rPr>
      </w:pPr>
    </w:p>
    <w:tbl>
      <w:tblPr>
        <w:tblLayout w:type="fixed"/>
        <w:tblInd w:w="600" w:type="dxa"/>
        <w:tblCellMar>
          <w:top w:w="0" w:type="dxa"/>
          <w:left w:w="0" w:type="dxa"/>
          <w:bottom w:w="0" w:type="dxa"/>
          <w:right w:w="0" w:type="dxa"/>
        </w:tblCellMar>
      </w:tblPr>
      <w:tr>
        <w:trPr>
          <w:trHeight w:val="190"/>
        </w:trPr>
        <w:tc>
          <w:tcPr>
            <w:tcW w:w="784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2120" w:type="dxa"/>
            <w:vAlign w:val="bottom"/>
            <w:tcBorders>
              <w:bottom w:val="single" w:sz="8" w:color="auto"/>
            </w:tcBorders>
            <w:gridSpan w:val="3"/>
            <w:shd w:val="clear" w:color="auto" w:fill="DBDBDB"/>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74"/>
        </w:trPr>
        <w:tc>
          <w:tcPr>
            <w:tcW w:w="784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784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182"/>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Polestar Times Technology</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61,650</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7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92"/>
        </w:trPr>
        <w:tc>
          <w:tcPr>
            <w:tcW w:w="7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Volvo Cars</w:t>
            </w:r>
          </w:p>
        </w:tc>
        <w:tc>
          <w:tcPr>
            <w:tcW w:w="12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56,642</w:t>
            </w:r>
          </w:p>
        </w:tc>
        <w:tc>
          <w:tcPr>
            <w:tcW w:w="200" w:type="dxa"/>
            <w:vAlign w:val="bottom"/>
            <w:tcBorders>
              <w:bottom w:val="single" w:sz="8" w:color="DBDBDB"/>
            </w:tcBorders>
            <w:shd w:val="clear" w:color="auto" w:fill="DBDBDB"/>
          </w:tcPr>
          <w:p>
            <w:pPr>
              <w:spacing w:after="0"/>
              <w:rPr>
                <w:sz w:val="16"/>
                <w:szCs w:val="16"/>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55,311</w:t>
            </w:r>
          </w:p>
        </w:tc>
      </w:tr>
      <w:tr>
        <w:trPr>
          <w:trHeight w:val="212"/>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Ziklo Bank AB</w:t>
            </w:r>
            <w:r>
              <w:rPr>
                <w:rFonts w:ascii="Times New Roman" w:cs="Times New Roman" w:eastAsia="Times New Roman" w:hAnsi="Times New Roman"/>
                <w:sz w:val="16"/>
                <w:szCs w:val="16"/>
                <w:color w:val="auto"/>
                <w:vertAlign w:val="superscript"/>
              </w:rPr>
              <w:t>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44,042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21,754</w:t>
            </w:r>
          </w:p>
        </w:tc>
      </w:tr>
      <w:tr>
        <w:trPr>
          <w:trHeight w:val="212"/>
        </w:trPr>
        <w:tc>
          <w:tcPr>
            <w:tcW w:w="7840" w:type="dxa"/>
            <w:vAlign w:val="bottom"/>
            <w:tcBorders>
              <w:bottom w:val="single" w:sz="8" w:color="DBDBDB"/>
            </w:tcBorders>
            <w:shd w:val="clear" w:color="auto" w:fill="DBDBDB"/>
          </w:tcPr>
          <w:p>
            <w:pPr>
              <w:ind w:left="20"/>
              <w:spacing w:after="0"/>
              <w:rPr>
                <w:sz w:val="20"/>
                <w:szCs w:val="20"/>
                <w:color w:val="auto"/>
              </w:rPr>
            </w:pPr>
            <w:r>
              <w:rPr>
                <w:rFonts w:ascii="Times New Roman" w:cs="Times New Roman" w:eastAsia="Times New Roman" w:hAnsi="Times New Roman"/>
                <w:sz w:val="13"/>
                <w:szCs w:val="13"/>
                <w:color w:val="auto"/>
              </w:rPr>
              <w:t>Geely</w:t>
            </w:r>
          </w:p>
        </w:tc>
        <w:tc>
          <w:tcPr>
            <w:tcW w:w="12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DBDBDB"/>
            </w:tcBorders>
            <w:shd w:val="clear" w:color="auto" w:fill="DBDBDB"/>
          </w:tcPr>
          <w:p>
            <w:pPr>
              <w:spacing w:after="0"/>
              <w:rPr>
                <w:sz w:val="18"/>
                <w:szCs w:val="18"/>
                <w:color w:val="auto"/>
              </w:rPr>
            </w:pPr>
          </w:p>
        </w:tc>
        <w:tc>
          <w:tcPr>
            <w:tcW w:w="9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1,245</w:t>
            </w:r>
          </w:p>
        </w:tc>
      </w:tr>
      <w:tr>
        <w:trPr>
          <w:trHeight w:val="172"/>
        </w:trPr>
        <w:tc>
          <w:tcPr>
            <w:tcW w:w="7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162,334</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78,310</w:t>
            </w:r>
          </w:p>
        </w:tc>
      </w:tr>
    </w:tbl>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1- In March 2024, Volvofinans Bank AB changed its name to Ziklo Bank 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5355590</wp:posOffset>
            </wp:positionH>
            <wp:positionV relativeFrom="paragraph">
              <wp:posOffset>-61595</wp:posOffset>
            </wp:positionV>
            <wp:extent cx="1429385"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29385" cy="6350"/>
                    </a:xfrm>
                    <a:prstGeom prst="rect">
                      <a:avLst/>
                    </a:prstGeom>
                    <a:noFill/>
                  </pic:spPr>
                </pic:pic>
              </a:graphicData>
            </a:graphic>
          </wp:anchor>
        </w:drawing>
      </w:r>
    </w:p>
    <w:p>
      <w:pPr>
        <w:spacing w:after="0" w:line="100"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3"/>
          <w:szCs w:val="13"/>
          <w:color w:val="auto"/>
        </w:rPr>
        <w:t>For the six months ended June 30, 2024 revenue from related parties amounted to $162,334 (17.9%) of total revenue. For the six months ended June 30, 2023 revenue from related parties amounted to $78,310 (6.3%) of total revenue.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Purchases of goods, services and 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2"/>
        </w:trPr>
        <w:tc>
          <w:tcPr>
            <w:tcW w:w="85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total purchases of goods services and other for each related party were as follows: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77"/>
        </w:trPr>
        <w:tc>
          <w:tcPr>
            <w:tcW w:w="440" w:type="dxa"/>
            <w:vAlign w:val="bottom"/>
          </w:tcPr>
          <w:p>
            <w:pPr>
              <w:spacing w:after="0"/>
              <w:rPr>
                <w:sz w:val="6"/>
                <w:szCs w:val="6"/>
                <w:color w:val="auto"/>
              </w:rPr>
            </w:pPr>
          </w:p>
        </w:tc>
        <w:tc>
          <w:tcPr>
            <w:tcW w:w="8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180" w:type="dxa"/>
            <w:vAlign w:val="bottom"/>
            <w:gridSpan w:val="3"/>
          </w:tcPr>
          <w:p>
            <w:pPr>
              <w:spacing w:after="0"/>
              <w:rPr>
                <w:sz w:val="6"/>
                <w:szCs w:val="6"/>
                <w:color w:val="auto"/>
              </w:rPr>
            </w:pPr>
          </w:p>
        </w:tc>
      </w:tr>
      <w:tr>
        <w:trPr>
          <w:trHeight w:val="183"/>
        </w:trPr>
        <w:tc>
          <w:tcPr>
            <w:tcW w:w="440" w:type="dxa"/>
            <w:vAlign w:val="bottom"/>
          </w:tcPr>
          <w:p>
            <w:pPr>
              <w:spacing w:after="0"/>
              <w:rPr>
                <w:sz w:val="15"/>
                <w:szCs w:val="15"/>
                <w:color w:val="auto"/>
              </w:rPr>
            </w:pPr>
          </w:p>
        </w:tc>
        <w:tc>
          <w:tcPr>
            <w:tcW w:w="8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2180" w:type="dxa"/>
            <w:vAlign w:val="bottom"/>
            <w:tcBorders>
              <w:bottom w:val="single" w:sz="8" w:color="auto"/>
            </w:tcBorders>
            <w:gridSpan w:val="3"/>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r>
      <w:tr>
        <w:trPr>
          <w:trHeight w:val="182"/>
        </w:trPr>
        <w:tc>
          <w:tcPr>
            <w:tcW w:w="440" w:type="dxa"/>
            <w:vAlign w:val="bottom"/>
          </w:tcPr>
          <w:p>
            <w:pPr>
              <w:spacing w:after="0"/>
              <w:rPr>
                <w:sz w:val="15"/>
                <w:szCs w:val="15"/>
                <w:color w:val="auto"/>
              </w:rPr>
            </w:pPr>
          </w:p>
        </w:tc>
        <w:tc>
          <w:tcPr>
            <w:tcW w:w="8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82"/>
        </w:trPr>
        <w:tc>
          <w:tcPr>
            <w:tcW w:w="440" w:type="dxa"/>
            <w:vAlign w:val="bottom"/>
          </w:tcPr>
          <w:p>
            <w:pPr>
              <w:spacing w:after="0"/>
              <w:rPr>
                <w:sz w:val="15"/>
                <w:szCs w:val="15"/>
                <w:color w:val="auto"/>
              </w:rPr>
            </w:pPr>
          </w:p>
        </w:tc>
        <w:tc>
          <w:tcPr>
            <w:tcW w:w="810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(Restated)</w:t>
            </w:r>
          </w:p>
        </w:tc>
      </w:tr>
      <w:tr>
        <w:trPr>
          <w:trHeight w:val="182"/>
        </w:trPr>
        <w:tc>
          <w:tcPr>
            <w:tcW w:w="44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Volvo Cars</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448,046</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1,229,939</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440" w:type="dxa"/>
            <w:vAlign w:val="bottom"/>
          </w:tcPr>
          <w:p>
            <w:pPr>
              <w:spacing w:after="0"/>
              <w:rPr>
                <w:sz w:val="16"/>
                <w:szCs w:val="16"/>
                <w:color w:val="auto"/>
              </w:rPr>
            </w:pPr>
          </w:p>
        </w:tc>
        <w:tc>
          <w:tcPr>
            <w:tcW w:w="81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Geely</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186,650</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84,815</w:t>
            </w:r>
          </w:p>
        </w:tc>
      </w:tr>
      <w:tr>
        <w:trPr>
          <w:trHeight w:val="182"/>
        </w:trPr>
        <w:tc>
          <w:tcPr>
            <w:tcW w:w="44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Renault Korea Motors Co. Ltd</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92"/>
        </w:trPr>
        <w:tc>
          <w:tcPr>
            <w:tcW w:w="440" w:type="dxa"/>
            <w:vAlign w:val="bottom"/>
          </w:tcPr>
          <w:p>
            <w:pPr>
              <w:spacing w:after="0"/>
              <w:rPr>
                <w:sz w:val="16"/>
                <w:szCs w:val="16"/>
                <w:color w:val="auto"/>
              </w:rPr>
            </w:pPr>
          </w:p>
        </w:tc>
        <w:tc>
          <w:tcPr>
            <w:tcW w:w="81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Zheijiang C2M Digital Technology Co. Ltd</w:t>
            </w:r>
          </w:p>
        </w:tc>
        <w:tc>
          <w:tcPr>
            <w:tcW w:w="140" w:type="dxa"/>
            <w:vAlign w:val="bottom"/>
            <w:tcBorders>
              <w:bottom w:val="single" w:sz="8" w:color="DBDBDB"/>
            </w:tcBorders>
            <w:shd w:val="clear" w:color="auto" w:fill="DBDBDB"/>
          </w:tcPr>
          <w:p>
            <w:pPr>
              <w:spacing w:after="0"/>
              <w:rPr>
                <w:sz w:val="16"/>
                <w:szCs w:val="16"/>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815</w:t>
            </w:r>
          </w:p>
        </w:tc>
        <w:tc>
          <w:tcPr>
            <w:tcW w:w="20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440" w:type="dxa"/>
            <w:vAlign w:val="bottom"/>
          </w:tcPr>
          <w:p>
            <w:pPr>
              <w:spacing w:after="0"/>
              <w:rPr>
                <w:sz w:val="15"/>
                <w:szCs w:val="15"/>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color w:val="auto"/>
              </w:rPr>
              <w:t>Ziklo Bank AB</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2"/>
        </w:trPr>
        <w:tc>
          <w:tcPr>
            <w:tcW w:w="440" w:type="dxa"/>
            <w:vAlign w:val="bottom"/>
          </w:tcPr>
          <w:p>
            <w:pPr>
              <w:spacing w:after="0"/>
              <w:rPr>
                <w:sz w:val="18"/>
                <w:szCs w:val="18"/>
                <w:color w:val="auto"/>
              </w:rPr>
            </w:pPr>
          </w:p>
        </w:tc>
        <w:tc>
          <w:tcPr>
            <w:tcW w:w="810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Wuxi InfiMotion Propulsion Technology Co., Ltd.,</w:t>
            </w:r>
          </w:p>
        </w:tc>
        <w:tc>
          <w:tcPr>
            <w:tcW w:w="140" w:type="dxa"/>
            <w:vAlign w:val="bottom"/>
            <w:tcBorders>
              <w:bottom w:val="single" w:sz="8" w:color="DBDBDB"/>
            </w:tcBorders>
            <w:shd w:val="clear" w:color="auto" w:fill="DBDBDB"/>
          </w:tcPr>
          <w:p>
            <w:pPr>
              <w:spacing w:after="0"/>
              <w:rPr>
                <w:sz w:val="18"/>
                <w:szCs w:val="18"/>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200" w:type="dxa"/>
            <w:vAlign w:val="bottom"/>
            <w:tcBorders>
              <w:bottom w:val="single" w:sz="8" w:color="DBDBDB"/>
            </w:tcBorders>
            <w:shd w:val="clear" w:color="auto" w:fill="DBDBDB"/>
          </w:tcPr>
          <w:p>
            <w:pPr>
              <w:spacing w:after="0"/>
              <w:rPr>
                <w:sz w:val="18"/>
                <w:szCs w:val="18"/>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6,922</w:t>
            </w:r>
          </w:p>
        </w:tc>
      </w:tr>
      <w:tr>
        <w:trPr>
          <w:trHeight w:val="172"/>
        </w:trPr>
        <w:tc>
          <w:tcPr>
            <w:tcW w:w="440" w:type="dxa"/>
            <w:vAlign w:val="bottom"/>
          </w:tcPr>
          <w:p>
            <w:pPr>
              <w:spacing w:after="0"/>
              <w:rPr>
                <w:sz w:val="14"/>
                <w:szCs w:val="14"/>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640,893</w:t>
            </w:r>
          </w:p>
        </w:tc>
        <w:tc>
          <w:tcPr>
            <w:tcW w:w="20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1,321,988</w:t>
            </w:r>
          </w:p>
        </w:tc>
      </w:tr>
      <w:tr>
        <w:trPr>
          <w:trHeight w:val="29"/>
        </w:trPr>
        <w:tc>
          <w:tcPr>
            <w:tcW w:w="440" w:type="dxa"/>
            <w:vAlign w:val="bottom"/>
          </w:tcPr>
          <w:p>
            <w:pPr>
              <w:spacing w:after="0"/>
              <w:rPr>
                <w:sz w:val="2"/>
                <w:szCs w:val="2"/>
                <w:color w:val="auto"/>
              </w:rPr>
            </w:pPr>
          </w:p>
        </w:tc>
        <w:tc>
          <w:tcPr>
            <w:tcW w:w="8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Cost of R&amp;D and intellectual property</w:t>
      </w:r>
    </w:p>
    <w:p>
      <w:pPr>
        <w:spacing w:after="0" w:line="55"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2"/>
          <w:szCs w:val="12"/>
          <w:color w:val="auto"/>
        </w:rPr>
        <w:t>Polestar Group has R&amp;D transactions with Volvo Cars and Geely (joint development, IP owned by VCC vs. Polestar and related license rights, fixed price contracting, supplier recovery, etc). Polestar has entered into agreements with Volvo and Geely regarding the development of technology for upgrades of existing models; as well as for upcoming models. The technology can be either Polestar unique or commonly shared. In both</w:t>
      </w:r>
    </w:p>
    <w:p>
      <w:pPr>
        <w:ind w:right="20"/>
        <w:spacing w:after="0" w:line="222" w:lineRule="auto"/>
        <w:rPr>
          <w:sz w:val="20"/>
          <w:szCs w:val="20"/>
          <w:color w:val="auto"/>
        </w:rPr>
      </w:pPr>
      <w:r>
        <w:rPr>
          <w:rFonts w:ascii="Times New Roman" w:cs="Times New Roman" w:eastAsia="Times New Roman" w:hAnsi="Times New Roman"/>
          <w:sz w:val="13"/>
          <w:szCs w:val="13"/>
          <w:color w:val="auto"/>
        </w:rPr>
        <w:t>cases, Polestar is in control of the developed product through a license or through ownership of the IP. The recognized asset associated with these agreements as of June 30, 2024 was $1,044,527, of which acquisitions attributable to 2024 were approximately $60,768. As of December 31, 2023, the recognized asset associated with these agreements was $1,058,398, of which acquisitions attributable to 2023 were $240,312.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Amounts due to related parties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Amounts due to related parties were as follows:</w:t>
      </w:r>
    </w:p>
    <w:p>
      <w:pPr>
        <w:spacing w:after="0" w:line="94"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7720" w:type="dxa"/>
            <w:vAlign w:val="bottom"/>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080" w:type="dxa"/>
            <w:vAlign w:val="bottom"/>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As of December,</w:t>
            </w:r>
          </w:p>
        </w:tc>
      </w:tr>
      <w:tr>
        <w:trPr>
          <w:trHeight w:val="188"/>
        </w:trPr>
        <w:tc>
          <w:tcPr>
            <w:tcW w:w="772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Trade payables - related parties, accrued expenses, and other current liabilities - related parties</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080" w:type="dxa"/>
            <w:vAlign w:val="bottom"/>
            <w:tcBorders>
              <w:bottom w:val="single" w:sz="8" w:color="auto"/>
            </w:tcBorders>
            <w:shd w:val="clear" w:color="auto" w:fill="DBDBDB"/>
          </w:tcPr>
          <w:p>
            <w:pPr>
              <w:jc w:val="right"/>
              <w:ind w:right="276"/>
              <w:spacing w:after="0"/>
              <w:rPr>
                <w:sz w:val="20"/>
                <w:szCs w:val="20"/>
                <w:color w:val="auto"/>
              </w:rPr>
            </w:pPr>
            <w:r>
              <w:rPr>
                <w:rFonts w:ascii="Times New Roman" w:cs="Times New Roman" w:eastAsia="Times New Roman" w:hAnsi="Times New Roman"/>
                <w:sz w:val="13"/>
                <w:szCs w:val="13"/>
                <w:b w:val="1"/>
                <w:bCs w:val="1"/>
                <w:color w:val="auto"/>
              </w:rPr>
              <w:t>31, 2023</w:t>
            </w:r>
          </w:p>
        </w:tc>
      </w:tr>
      <w:tr>
        <w:trPr>
          <w:trHeight w:val="172"/>
        </w:trPr>
        <w:tc>
          <w:tcPr>
            <w:tcW w:w="7720" w:type="dxa"/>
            <w:vAlign w:val="bottom"/>
          </w:tcPr>
          <w:p>
            <w:pPr>
              <w:spacing w:after="0"/>
              <w:rPr>
                <w:sz w:val="20"/>
                <w:szCs w:val="20"/>
                <w:color w:val="auto"/>
              </w:rPr>
            </w:pPr>
            <w:r>
              <w:rPr>
                <w:rFonts w:ascii="Times New Roman" w:cs="Times New Roman" w:eastAsia="Times New Roman" w:hAnsi="Times New Roman"/>
                <w:sz w:val="13"/>
                <w:szCs w:val="13"/>
                <w:color w:val="auto"/>
              </w:rPr>
              <w:t>Volvo Cars</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415,470</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498,729</w:t>
            </w:r>
          </w:p>
        </w:tc>
      </w:tr>
      <w:tr>
        <w:trPr>
          <w:trHeight w:val="29"/>
        </w:trPr>
        <w:tc>
          <w:tcPr>
            <w:tcW w:w="7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77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Geely</w:t>
            </w:r>
          </w:p>
        </w:tc>
        <w:tc>
          <w:tcPr>
            <w:tcW w:w="114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205,144</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224,808</w:t>
            </w:r>
          </w:p>
        </w:tc>
      </w:tr>
      <w:tr>
        <w:trPr>
          <w:trHeight w:val="182"/>
        </w:trPr>
        <w:tc>
          <w:tcPr>
            <w:tcW w:w="7720" w:type="dxa"/>
            <w:vAlign w:val="bottom"/>
          </w:tcPr>
          <w:p>
            <w:pPr>
              <w:spacing w:after="0"/>
              <w:rPr>
                <w:sz w:val="20"/>
                <w:szCs w:val="20"/>
                <w:color w:val="auto"/>
              </w:rPr>
            </w:pPr>
            <w:r>
              <w:rPr>
                <w:rFonts w:ascii="Times New Roman" w:cs="Times New Roman" w:eastAsia="Times New Roman" w:hAnsi="Times New Roman"/>
                <w:sz w:val="13"/>
                <w:szCs w:val="13"/>
                <w:color w:val="auto"/>
              </w:rPr>
              <w:t>Ziklo Bank AB</w:t>
            </w:r>
          </w:p>
        </w:tc>
        <w:tc>
          <w:tcPr>
            <w:tcW w:w="11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1,115</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2,022</w:t>
            </w:r>
          </w:p>
        </w:tc>
      </w:tr>
    </w:tbl>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7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 Financial Services UK</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center"/>
              <w:ind w:right="96"/>
              <w:spacing w:after="0"/>
              <w:rPr>
                <w:sz w:val="20"/>
                <w:szCs w:val="20"/>
                <w:color w:val="auto"/>
              </w:rPr>
            </w:pPr>
            <w:r>
              <w:rPr>
                <w:rFonts w:ascii="Times New Roman" w:cs="Times New Roman" w:eastAsia="Times New Roman" w:hAnsi="Times New Roman"/>
                <w:sz w:val="13"/>
                <w:szCs w:val="13"/>
                <w:color w:val="auto"/>
              </w:rPr>
              <w:t>5,332</w:t>
            </w:r>
          </w:p>
        </w:tc>
        <w:tc>
          <w:tcPr>
            <w:tcW w:w="12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751</w:t>
            </w: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20" w:type="dxa"/>
            <w:vAlign w:val="bottom"/>
          </w:tcPr>
          <w:p>
            <w:pPr>
              <w:spacing w:after="0"/>
              <w:rPr>
                <w:sz w:val="20"/>
                <w:szCs w:val="20"/>
                <w:color w:val="auto"/>
              </w:rPr>
            </w:pPr>
            <w:r>
              <w:rPr>
                <w:rFonts w:ascii="Times New Roman" w:cs="Times New Roman" w:eastAsia="Times New Roman" w:hAnsi="Times New Roman"/>
                <w:sz w:val="13"/>
                <w:szCs w:val="13"/>
                <w:color w:val="auto"/>
              </w:rPr>
              <w:t>Polestar Times Technology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96"/>
              <w:spacing w:after="0"/>
              <w:rPr>
                <w:sz w:val="20"/>
                <w:szCs w:val="20"/>
                <w:color w:val="auto"/>
              </w:rPr>
            </w:pPr>
            <w:r>
              <w:rPr>
                <w:rFonts w:ascii="Times New Roman" w:cs="Times New Roman" w:eastAsia="Times New Roman" w:hAnsi="Times New Roman"/>
                <w:sz w:val="13"/>
                <w:szCs w:val="13"/>
                <w:color w:val="auto"/>
              </w:rPr>
              <w:t>4,028</w:t>
            </w:r>
          </w:p>
        </w:tc>
        <w:tc>
          <w:tcPr>
            <w:tcW w:w="120" w:type="dxa"/>
            <w:vAlign w:val="bottom"/>
          </w:tcPr>
          <w:p>
            <w:pPr>
              <w:spacing w:after="0"/>
              <w:rPr>
                <w:sz w:val="15"/>
                <w:szCs w:val="15"/>
                <w:color w:val="auto"/>
              </w:rPr>
            </w:pPr>
          </w:p>
        </w:tc>
        <w:tc>
          <w:tcPr>
            <w:tcW w:w="1140" w:type="dxa"/>
            <w:vAlign w:val="bottom"/>
            <w:gridSpan w:val="2"/>
          </w:tcPr>
          <w:p>
            <w:pPr>
              <w:jc w:val="right"/>
              <w:ind w:right="596"/>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72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72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20" w:type="dxa"/>
            <w:vAlign w:val="bottom"/>
            <w:tcBorders>
              <w:bottom w:val="single" w:sz="8" w:color="DBDBDB"/>
            </w:tcBorders>
            <w:shd w:val="clear" w:color="auto" w:fill="DBDBDB"/>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20" w:type="dxa"/>
            <w:vAlign w:val="bottom"/>
            <w:tcBorders>
              <w:bottom w:val="single" w:sz="8" w:color="DBDBDB"/>
            </w:tcBorders>
            <w:shd w:val="clear" w:color="auto" w:fill="DBDBDB"/>
          </w:tcPr>
          <w:p>
            <w:pPr>
              <w:spacing w:after="0"/>
              <w:rPr>
                <w:sz w:val="17"/>
                <w:szCs w:val="17"/>
                <w:color w:val="auto"/>
              </w:rPr>
            </w:pPr>
          </w:p>
        </w:tc>
        <w:tc>
          <w:tcPr>
            <w:tcW w:w="80" w:type="dxa"/>
            <w:vAlign w:val="bottom"/>
            <w:tcBorders>
              <w:bottom w:val="single" w:sz="8" w:color="DBDBDB"/>
              <w:right w:val="single" w:sz="8" w:color="DBDBDB"/>
            </w:tcBorders>
            <w:shd w:val="clear" w:color="auto" w:fill="DBDBDB"/>
          </w:tcPr>
          <w:p>
            <w:pPr>
              <w:spacing w:after="0"/>
              <w:rPr>
                <w:sz w:val="17"/>
                <w:szCs w:val="17"/>
                <w:color w:val="auto"/>
              </w:rPr>
            </w:pPr>
          </w:p>
        </w:tc>
        <w:tc>
          <w:tcPr>
            <w:tcW w:w="1140" w:type="dxa"/>
            <w:vAlign w:val="bottom"/>
            <w:tcBorders>
              <w:bottom w:val="single" w:sz="8" w:color="DBDBDB"/>
            </w:tcBorders>
            <w:shd w:val="clear" w:color="auto" w:fill="DBDBDB"/>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631,089 $</w:t>
            </w:r>
          </w:p>
        </w:tc>
        <w:tc>
          <w:tcPr>
            <w:tcW w:w="120" w:type="dxa"/>
            <w:vAlign w:val="bottom"/>
            <w:tcBorders>
              <w:bottom w:val="single" w:sz="8" w:color="DBDBDB"/>
            </w:tcBorders>
            <w:shd w:val="clear" w:color="auto" w:fill="DBDBDB"/>
          </w:tcPr>
          <w:p>
            <w:pPr>
              <w:spacing w:after="0"/>
              <w:rPr>
                <w:sz w:val="17"/>
                <w:szCs w:val="17"/>
                <w:color w:val="auto"/>
              </w:rPr>
            </w:pPr>
          </w:p>
        </w:tc>
        <w:tc>
          <w:tcPr>
            <w:tcW w:w="5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726,310</w:t>
            </w: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7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7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tcBorders>
              <w:right w:val="single" w:sz="8" w:color="DBDBDB"/>
            </w:tcBorders>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26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Interest bearing current liabilities - related parties</w:t>
            </w:r>
          </w:p>
        </w:tc>
        <w:tc>
          <w:tcPr>
            <w:tcW w:w="3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tcBorders>
              <w:bottom w:val="single" w:sz="8" w:color="auto"/>
              <w:right w:val="single" w:sz="8" w:color="DBDBDB"/>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2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Volvo Car Financial Services UK</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49,340</w:t>
            </w:r>
          </w:p>
        </w:tc>
        <w:tc>
          <w:tcPr>
            <w:tcW w:w="1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35,748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840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Geely</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23,669</w:t>
            </w:r>
          </w:p>
        </w:tc>
        <w:tc>
          <w:tcPr>
            <w:tcW w:w="1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21,956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Volvo Cars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29,255</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Borders>
              <w:bottom w:val="single" w:sz="8" w:color="DBDBDB"/>
            </w:tcBorders>
          </w:tcPr>
          <w:p>
            <w:pPr>
              <w:spacing w:after="0"/>
              <w:rPr>
                <w:sz w:val="2"/>
                <w:szCs w:val="2"/>
                <w:color w:val="auto"/>
              </w:rPr>
            </w:pPr>
          </w:p>
        </w:tc>
        <w:tc>
          <w:tcPr>
            <w:tcW w:w="8360" w:type="dxa"/>
            <w:vAlign w:val="bottom"/>
            <w:tcBorders>
              <w:bottom w:val="single" w:sz="8" w:color="DBDBDB"/>
            </w:tcBorders>
            <w:gridSpan w:val="2"/>
          </w:tcPr>
          <w:p>
            <w:pPr>
              <w:spacing w:after="0"/>
              <w:rPr>
                <w:sz w:val="2"/>
                <w:szCs w:val="2"/>
                <w:color w:val="auto"/>
              </w:rPr>
            </w:pPr>
          </w:p>
        </w:tc>
        <w:tc>
          <w:tcPr>
            <w:tcW w:w="320" w:type="dxa"/>
            <w:vAlign w:val="bottom"/>
            <w:tcBorders>
              <w:bottom w:val="single" w:sz="8" w:color="DBDBDB"/>
            </w:tcBorders>
          </w:tcPr>
          <w:p>
            <w:pPr>
              <w:spacing w:after="0"/>
              <w:rPr>
                <w:sz w:val="2"/>
                <w:szCs w:val="2"/>
                <w:color w:val="auto"/>
              </w:rPr>
            </w:pPr>
          </w:p>
        </w:tc>
        <w:tc>
          <w:tcPr>
            <w:tcW w:w="20" w:type="dxa"/>
            <w:vAlign w:val="bottom"/>
            <w:tcBorders>
              <w:bottom w:val="single" w:sz="8" w:color="DBDBDB"/>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40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tcBorders>
              <w:bottom w:val="single" w:sz="8" w:color="DBDBDB"/>
              <w:right w:val="single" w:sz="8" w:color="DBDBDB"/>
            </w:tcBorders>
            <w:gridSpan w:val="3"/>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102,264</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68,332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0" w:type="dxa"/>
            <w:vAlign w:val="bottom"/>
            <w:shd w:val="clear" w:color="auto" w:fill="DBDBDB"/>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7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tcBorders>
              <w:right w:val="single" w:sz="8" w:color="DBDBDB"/>
            </w:tcBorders>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260" w:type="dxa"/>
            <w:vAlign w:val="bottom"/>
            <w:gridSpan w:val="3"/>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 of 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400" w:type="dxa"/>
            <w:vAlign w:val="bottom"/>
            <w:gridSpan w:val="3"/>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Other non-current interest-bearing liabilities - related parties</w:t>
            </w:r>
          </w:p>
        </w:tc>
        <w:tc>
          <w:tcPr>
            <w:tcW w:w="3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tcBorders>
              <w:bottom w:val="single" w:sz="8" w:color="auto"/>
              <w:right w:val="single" w:sz="8" w:color="DBDBDB"/>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2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Volvo Cars</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1,030,022</w:t>
            </w:r>
          </w:p>
        </w:tc>
        <w:tc>
          <w:tcPr>
            <w:tcW w:w="1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1,049,463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8400" w:type="dxa"/>
            <w:vAlign w:val="bottom"/>
            <w:tcBorders>
              <w:bottom w:val="single" w:sz="8" w:color="DBDBDB"/>
            </w:tcBorders>
            <w:gridSpan w:val="3"/>
            <w:shd w:val="clear" w:color="auto" w:fill="DBDBDB"/>
          </w:tcPr>
          <w:p>
            <w:pPr>
              <w:spacing w:after="0"/>
              <w:rPr>
                <w:sz w:val="20"/>
                <w:szCs w:val="20"/>
                <w:color w:val="auto"/>
              </w:rPr>
            </w:pPr>
            <w:r>
              <w:rPr>
                <w:rFonts w:ascii="Times New Roman" w:cs="Times New Roman" w:eastAsia="Times New Roman" w:hAnsi="Times New Roman"/>
                <w:sz w:val="13"/>
                <w:szCs w:val="13"/>
                <w:color w:val="auto"/>
              </w:rPr>
              <w:t>Geely</w:t>
            </w:r>
          </w:p>
        </w:tc>
        <w:tc>
          <w:tcPr>
            <w:tcW w:w="320" w:type="dxa"/>
            <w:vAlign w:val="bottom"/>
            <w:tcBorders>
              <w:bottom w:val="single" w:sz="8" w:color="DBDBDB"/>
            </w:tcBorders>
            <w:shd w:val="clear" w:color="auto" w:fill="DBDBDB"/>
          </w:tcPr>
          <w:p>
            <w:pPr>
              <w:spacing w:after="0"/>
              <w:rPr>
                <w:sz w:val="18"/>
                <w:szCs w:val="18"/>
                <w:color w:val="auto"/>
              </w:rPr>
            </w:pPr>
          </w:p>
        </w:tc>
        <w:tc>
          <w:tcPr>
            <w:tcW w:w="2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right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354,034</w:t>
            </w:r>
          </w:p>
        </w:tc>
        <w:tc>
          <w:tcPr>
            <w:tcW w:w="120" w:type="dxa"/>
            <w:vAlign w:val="bottom"/>
            <w:tcBorders>
              <w:bottom w:val="single" w:sz="8" w:color="DBDBDB"/>
            </w:tcBorders>
            <w:shd w:val="clear" w:color="auto" w:fill="DBDBDB"/>
          </w:tcPr>
          <w:p>
            <w:pPr>
              <w:spacing w:after="0"/>
              <w:rPr>
                <w:sz w:val="18"/>
                <w:szCs w:val="18"/>
                <w:color w:val="auto"/>
              </w:rPr>
            </w:pPr>
          </w:p>
        </w:tc>
        <w:tc>
          <w:tcPr>
            <w:tcW w:w="1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359,781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340" w:type="dxa"/>
            <w:vAlign w:val="bottom"/>
            <w:gridSpan w:val="2"/>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1,384,056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1,409,244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840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The Group’s interest expense from related parties is as follows:</w:t>
            </w: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84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7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0" w:type="dxa"/>
            <w:vAlign w:val="bottom"/>
            <w:gridSpan w:val="4"/>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772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right w:val="single" w:sz="8" w:color="DBDBDB"/>
            </w:tcBorders>
            <w:shd w:val="clear" w:color="auto" w:fill="DBDBDB"/>
          </w:tcPr>
          <w:p>
            <w:pPr>
              <w:spacing w:after="0"/>
              <w:rPr>
                <w:sz w:val="15"/>
                <w:szCs w:val="15"/>
                <w:color w:val="auto"/>
              </w:rPr>
            </w:pPr>
          </w:p>
        </w:tc>
        <w:tc>
          <w:tcPr>
            <w:tcW w:w="2400" w:type="dxa"/>
            <w:vAlign w:val="bottom"/>
            <w:tcBorders>
              <w:bottom w:val="single" w:sz="8" w:color="auto"/>
            </w:tcBorders>
            <w:gridSpan w:val="4"/>
            <w:shd w:val="clear" w:color="auto" w:fill="DBDBDB"/>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Pr>
          <w:p>
            <w:pPr>
              <w:spacing w:after="0"/>
              <w:rPr>
                <w:sz w:val="15"/>
                <w:szCs w:val="15"/>
                <w:color w:val="auto"/>
              </w:rPr>
            </w:pPr>
          </w:p>
        </w:tc>
        <w:tc>
          <w:tcPr>
            <w:tcW w:w="1140" w:type="dxa"/>
            <w:vAlign w:val="bottom"/>
            <w:gridSpan w:val="2"/>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shd w:val="clear" w:color="auto" w:fill="DBDBDB"/>
          </w:tcPr>
          <w:p>
            <w:pPr>
              <w:spacing w:after="0"/>
              <w:rPr>
                <w:sz w:val="16"/>
                <w:szCs w:val="16"/>
                <w:color w:val="auto"/>
              </w:rPr>
            </w:pPr>
          </w:p>
        </w:tc>
        <w:tc>
          <w:tcPr>
            <w:tcW w:w="640" w:type="dxa"/>
            <w:vAlign w:val="bottom"/>
            <w:shd w:val="clear" w:color="auto" w:fill="DBDBDB"/>
          </w:tcPr>
          <w:p>
            <w:pPr>
              <w:spacing w:after="0"/>
              <w:rPr>
                <w:sz w:val="16"/>
                <w:szCs w:val="16"/>
                <w:color w:val="auto"/>
              </w:rPr>
            </w:pPr>
          </w:p>
        </w:tc>
        <w:tc>
          <w:tcPr>
            <w:tcW w:w="772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right w:val="single" w:sz="8" w:color="DBDBDB"/>
            </w:tcBorders>
            <w:shd w:val="clear" w:color="auto" w:fill="DBDBDB"/>
          </w:tcPr>
          <w:p>
            <w:pPr>
              <w:spacing w:after="0"/>
              <w:rPr>
                <w:sz w:val="16"/>
                <w:szCs w:val="16"/>
                <w:color w:val="auto"/>
              </w:rPr>
            </w:pPr>
          </w:p>
        </w:tc>
        <w:tc>
          <w:tcPr>
            <w:tcW w:w="114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1140" w:type="dxa"/>
            <w:vAlign w:val="bottom"/>
            <w:tcBorders>
              <w:bottom w:val="single" w:sz="8" w:color="auto"/>
            </w:tcBorders>
            <w:gridSpan w:val="2"/>
            <w:shd w:val="clear" w:color="auto" w:fill="DBDBDB"/>
          </w:tcPr>
          <w:p>
            <w:pPr>
              <w:jc w:val="center"/>
              <w:ind w:right="36"/>
              <w:spacing w:after="0"/>
              <w:rPr>
                <w:sz w:val="20"/>
                <w:szCs w:val="20"/>
                <w:color w:val="auto"/>
              </w:rPr>
            </w:pPr>
            <w:r>
              <w:rPr>
                <w:rFonts w:ascii="Times New Roman" w:cs="Times New Roman" w:eastAsia="Times New Roman" w:hAnsi="Times New Roman"/>
                <w:sz w:val="13"/>
                <w:szCs w:val="13"/>
                <w:b w:val="1"/>
                <w:bCs w:val="1"/>
                <w:color w:val="auto"/>
                <w:w w:val="98"/>
              </w:rPr>
              <w:t>(Restated)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Interest expense - related parties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72,362</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25,782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Amounts due from related parties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0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Amounts due from related parties were as follows:</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640" w:type="dxa"/>
            <w:vAlign w:val="bottom"/>
            <w:shd w:val="clear" w:color="auto" w:fill="DBDBDB"/>
          </w:tcPr>
          <w:p>
            <w:pPr>
              <w:spacing w:after="0"/>
              <w:rPr>
                <w:sz w:val="13"/>
                <w:szCs w:val="13"/>
                <w:color w:val="auto"/>
              </w:rPr>
            </w:pPr>
          </w:p>
        </w:tc>
        <w:tc>
          <w:tcPr>
            <w:tcW w:w="772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20" w:type="dxa"/>
            <w:vAlign w:val="bottom"/>
            <w:shd w:val="clear" w:color="auto" w:fill="DBDBDB"/>
          </w:tcPr>
          <w:p>
            <w:pPr>
              <w:spacing w:after="0"/>
              <w:rPr>
                <w:sz w:val="13"/>
                <w:szCs w:val="13"/>
                <w:color w:val="auto"/>
              </w:rPr>
            </w:pPr>
          </w:p>
        </w:tc>
        <w:tc>
          <w:tcPr>
            <w:tcW w:w="80" w:type="dxa"/>
            <w:vAlign w:val="bottom"/>
            <w:tcBorders>
              <w:right w:val="single" w:sz="8" w:color="DBDBDB"/>
            </w:tcBorders>
            <w:shd w:val="clear" w:color="auto" w:fill="DBDBDB"/>
          </w:tcPr>
          <w:p>
            <w:pPr>
              <w:spacing w:after="0"/>
              <w:rPr>
                <w:sz w:val="13"/>
                <w:szCs w:val="13"/>
                <w:color w:val="auto"/>
              </w:rPr>
            </w:pPr>
          </w:p>
        </w:tc>
        <w:tc>
          <w:tcPr>
            <w:tcW w:w="114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As of December, 31,</w:t>
            </w:r>
          </w:p>
        </w:tc>
        <w:tc>
          <w:tcPr>
            <w:tcW w:w="4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83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Trade receivables - related parties, accrued income - related parties, and other current assets - related parties</w:t>
            </w:r>
          </w:p>
        </w:tc>
        <w:tc>
          <w:tcPr>
            <w:tcW w:w="32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80" w:type="dxa"/>
            <w:vAlign w:val="bottom"/>
            <w:tcBorders>
              <w:right w:val="single" w:sz="8" w:color="DBDBDB"/>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As of June 30, 2024</w:t>
            </w:r>
          </w:p>
        </w:tc>
        <w:tc>
          <w:tcPr>
            <w:tcW w:w="12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gridSpan w:val="2"/>
            <w:shd w:val="clear" w:color="auto" w:fill="DBDBDB"/>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Geely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43,033</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43,951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Pr>
          <w:p>
            <w:pPr>
              <w:spacing w:after="0"/>
              <w:rPr>
                <w:sz w:val="18"/>
                <w:szCs w:val="18"/>
                <w:color w:val="auto"/>
              </w:rPr>
            </w:pPr>
          </w:p>
        </w:tc>
        <w:tc>
          <w:tcPr>
            <w:tcW w:w="8360" w:type="dxa"/>
            <w:vAlign w:val="bottom"/>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Cars</w:t>
            </w:r>
          </w:p>
        </w:tc>
        <w:tc>
          <w:tcPr>
            <w:tcW w:w="320" w:type="dxa"/>
            <w:vAlign w:val="bottom"/>
            <w:shd w:val="clear" w:color="auto" w:fill="DBDBDB"/>
          </w:tcPr>
          <w:p>
            <w:pPr>
              <w:spacing w:after="0"/>
              <w:rPr>
                <w:sz w:val="18"/>
                <w:szCs w:val="18"/>
                <w:color w:val="auto"/>
              </w:rPr>
            </w:pPr>
          </w:p>
        </w:tc>
        <w:tc>
          <w:tcPr>
            <w:tcW w:w="20" w:type="dxa"/>
            <w:vAlign w:val="bottom"/>
            <w:shd w:val="clear" w:color="auto" w:fill="DBDBDB"/>
          </w:tcPr>
          <w:p>
            <w:pPr>
              <w:spacing w:after="0"/>
              <w:rPr>
                <w:sz w:val="18"/>
                <w:szCs w:val="18"/>
                <w:color w:val="auto"/>
              </w:rPr>
            </w:pPr>
          </w:p>
        </w:tc>
        <w:tc>
          <w:tcPr>
            <w:tcW w:w="80" w:type="dxa"/>
            <w:vAlign w:val="bottom"/>
            <w:tcBorders>
              <w:right w:val="single" w:sz="8" w:color="DBDBDB"/>
            </w:tcBorders>
            <w:shd w:val="clear" w:color="auto" w:fill="DBDBDB"/>
          </w:tcPr>
          <w:p>
            <w:pPr>
              <w:spacing w:after="0"/>
              <w:rPr>
                <w:sz w:val="18"/>
                <w:szCs w:val="18"/>
                <w:color w:val="auto"/>
              </w:rPr>
            </w:pP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19,088</w:t>
            </w:r>
          </w:p>
        </w:tc>
        <w:tc>
          <w:tcPr>
            <w:tcW w:w="120" w:type="dxa"/>
            <w:vAlign w:val="bottom"/>
            <w:shd w:val="clear" w:color="auto" w:fill="DBDBDB"/>
          </w:tcPr>
          <w:p>
            <w:pPr>
              <w:spacing w:after="0"/>
              <w:rPr>
                <w:sz w:val="18"/>
                <w:szCs w:val="18"/>
                <w:color w:val="auto"/>
              </w:rPr>
            </w:pPr>
          </w:p>
        </w:tc>
        <w:tc>
          <w:tcPr>
            <w:tcW w:w="114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168,523</w:t>
            </w:r>
          </w:p>
        </w:tc>
        <w:tc>
          <w:tcPr>
            <w:tcW w:w="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Ziklo Bank AB</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5,126</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954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36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Wuhan Lotus Cars Co., LTD.</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4,336</w:t>
            </w:r>
          </w:p>
        </w:tc>
        <w:tc>
          <w:tcPr>
            <w:tcW w:w="120" w:type="dxa"/>
            <w:vAlign w:val="bottom"/>
            <w:tcBorders>
              <w:bottom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gridSpan w:val="2"/>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5,630</w:t>
            </w:r>
          </w:p>
        </w:tc>
        <w:tc>
          <w:tcPr>
            <w:tcW w:w="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Polestar Times Technology</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4,149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83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Pr>
          <w:p>
            <w:pPr>
              <w:spacing w:after="0"/>
              <w:rPr>
                <w:sz w:val="16"/>
                <w:szCs w:val="16"/>
                <w:color w:val="auto"/>
              </w:rPr>
            </w:pPr>
          </w:p>
        </w:tc>
        <w:tc>
          <w:tcPr>
            <w:tcW w:w="836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Volvo Car Financial Services UK</w:t>
            </w:r>
          </w:p>
        </w:tc>
        <w:tc>
          <w:tcPr>
            <w:tcW w:w="320" w:type="dxa"/>
            <w:vAlign w:val="bottom"/>
            <w:tcBorders>
              <w:bottom w:val="single" w:sz="8" w:color="DBDBDB"/>
            </w:tcBorders>
            <w:shd w:val="clear" w:color="auto" w:fill="DBDBDB"/>
          </w:tcPr>
          <w:p>
            <w:pPr>
              <w:spacing w:after="0"/>
              <w:rPr>
                <w:sz w:val="16"/>
                <w:szCs w:val="16"/>
                <w:color w:val="auto"/>
              </w:rPr>
            </w:pPr>
          </w:p>
        </w:tc>
        <w:tc>
          <w:tcPr>
            <w:tcW w:w="20" w:type="dxa"/>
            <w:vAlign w:val="bottom"/>
            <w:tcBorders>
              <w:bottom w:val="single" w:sz="8" w:color="DBDBDB"/>
            </w:tcBorders>
            <w:shd w:val="clear" w:color="auto" w:fill="DBDBDB"/>
          </w:tcPr>
          <w:p>
            <w:pPr>
              <w:spacing w:after="0"/>
              <w:rPr>
                <w:sz w:val="16"/>
                <w:szCs w:val="16"/>
                <w:color w:val="auto"/>
              </w:rPr>
            </w:pPr>
          </w:p>
        </w:tc>
        <w:tc>
          <w:tcPr>
            <w:tcW w:w="80" w:type="dxa"/>
            <w:vAlign w:val="bottom"/>
            <w:tcBorders>
              <w:bottom w:val="single" w:sz="8" w:color="DBDBDB"/>
              <w:right w:val="single" w:sz="8" w:color="DBDBDB"/>
            </w:tcBorders>
            <w:shd w:val="clear" w:color="auto" w:fill="DBDBDB"/>
          </w:tcPr>
          <w:p>
            <w:pPr>
              <w:spacing w:after="0"/>
              <w:rPr>
                <w:sz w:val="16"/>
                <w:szCs w:val="16"/>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20" w:type="dxa"/>
            <w:vAlign w:val="bottom"/>
            <w:tcBorders>
              <w:bottom w:val="single" w:sz="8" w:color="DBDBDB"/>
            </w:tcBorders>
            <w:shd w:val="clear" w:color="auto" w:fill="DBDBDB"/>
          </w:tcPr>
          <w:p>
            <w:pPr>
              <w:spacing w:after="0"/>
              <w:rPr>
                <w:sz w:val="16"/>
                <w:szCs w:val="16"/>
                <w:color w:val="auto"/>
              </w:rPr>
            </w:pPr>
          </w:p>
        </w:tc>
        <w:tc>
          <w:tcPr>
            <w:tcW w:w="540" w:type="dxa"/>
            <w:vAlign w:val="bottom"/>
            <w:tcBorders>
              <w:bottom w:val="single" w:sz="8" w:color="DBDBDB"/>
            </w:tcBorders>
            <w:shd w:val="clear" w:color="auto" w:fill="DBDBDB"/>
          </w:tcPr>
          <w:p>
            <w:pPr>
              <w:spacing w:after="0"/>
              <w:rPr>
                <w:sz w:val="16"/>
                <w:szCs w:val="16"/>
                <w:color w:val="auto"/>
              </w:rPr>
            </w:pPr>
          </w:p>
        </w:tc>
        <w:tc>
          <w:tcPr>
            <w:tcW w:w="6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420" w:type="dxa"/>
            <w:vAlign w:val="bottom"/>
            <w:tcBorders>
              <w:right w:val="single" w:sz="8" w:color="auto"/>
            </w:tcBorders>
            <w:gridSpan w:val="3"/>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0" w:type="dxa"/>
            <w:vAlign w:val="bottom"/>
          </w:tcPr>
          <w:p>
            <w:pPr>
              <w:spacing w:after="0"/>
              <w:rPr>
                <w:sz w:val="14"/>
                <w:szCs w:val="14"/>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75,281</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223,207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16 - Commitments and contingencies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Commitments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2"/>
          <w:szCs w:val="12"/>
          <w:color w:val="auto"/>
        </w:rPr>
        <w:t>As of June 30, 2024, commitments to acquire PPE and intangible assets were $149,315 and $176,812, respectively. As of December 31, 2023, commitments to acquire PPE and intangible assets were $334,482 and $162,529, respectively. These commitments are contractual obligations to invest in PPE and intangible assets for the production of upcoming vehicle models Polestar 3, Polestar 4, Polestar 5 and Polestar 6. As of June 30,</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2024 and December 31, 2023, Polestar also had a capital injection commitment related to the investment in Polestar Times Technology amounting to $63,700 and $68,600, respectively. Refer to Note 5 - Investment in associates for more details on the investment in Polestar Times Technology.</w:t>
      </w:r>
    </w:p>
    <w:p>
      <w:pPr>
        <w:spacing w:after="0" w:line="3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color w:val="auto"/>
        </w:rPr>
        <w:t>Polestar has signed contracts with certain suppliers including a non-cancellable commitment, an agreed minimum purchase volume, or an agreed minimum sales volume. In the event of a shortfall in purchases, a shortfall in sales, or Polestar´s decision to terminate such contracts, these suppliers are entitled to compensation from Polestar. The amounts in the table below represent Polestar´s future commitments as of June 30, 2024: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80" w:type="dxa"/>
            <w:vAlign w:val="bottom"/>
            <w:tcBorders>
              <w:top w:val="single" w:sz="8" w:color="DBDBDB"/>
              <w:bottom w:val="single" w:sz="8" w:color="DBDBDB"/>
            </w:tcBorders>
            <w:shd w:val="clear" w:color="auto" w:fill="DBDBDB"/>
          </w:tcPr>
          <w:p>
            <w:pPr>
              <w:spacing w:after="0"/>
              <w:rPr>
                <w:sz w:val="19"/>
                <w:szCs w:val="19"/>
                <w:color w:val="auto"/>
              </w:rPr>
            </w:pPr>
          </w:p>
        </w:tc>
        <w:tc>
          <w:tcPr>
            <w:tcW w:w="7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60" w:type="dxa"/>
            <w:vAlign w:val="bottom"/>
            <w:tcBorders>
              <w:top w:val="single" w:sz="8" w:color="auto"/>
              <w:bottom w:val="single" w:sz="8" w:color="DBDBDB"/>
            </w:tcBorders>
            <w:shd w:val="clear" w:color="auto" w:fill="DBDBDB"/>
          </w:tcPr>
          <w:p>
            <w:pPr>
              <w:spacing w:after="0"/>
              <w:rPr>
                <w:sz w:val="19"/>
                <w:szCs w:val="19"/>
                <w:color w:val="auto"/>
              </w:rPr>
            </w:pPr>
          </w:p>
        </w:tc>
        <w:tc>
          <w:tcPr>
            <w:tcW w:w="140" w:type="dxa"/>
            <w:vAlign w:val="bottom"/>
            <w:tcBorders>
              <w:top w:val="single" w:sz="8" w:color="auto"/>
              <w:bottom w:val="single" w:sz="8" w:color="DBDBDB"/>
            </w:tcBorders>
            <w:shd w:val="clear" w:color="auto" w:fill="DBDBDB"/>
          </w:tcPr>
          <w:p>
            <w:pPr>
              <w:spacing w:after="0"/>
              <w:rPr>
                <w:sz w:val="19"/>
                <w:szCs w:val="19"/>
                <w:color w:val="auto"/>
              </w:rPr>
            </w:pPr>
          </w:p>
        </w:tc>
        <w:tc>
          <w:tcPr>
            <w:tcW w:w="1120" w:type="dxa"/>
            <w:vAlign w:val="bottom"/>
            <w:tcBorders>
              <w:top w:val="single" w:sz="8" w:color="auto"/>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120" w:type="dxa"/>
            <w:vAlign w:val="bottom"/>
            <w:tcBorders>
              <w:top w:val="single" w:sz="8" w:color="auto"/>
              <w:bottom w:val="single" w:sz="8" w:color="DBDBDB"/>
            </w:tcBorders>
            <w:shd w:val="clear" w:color="auto" w:fill="DBDBDB"/>
          </w:tcPr>
          <w:p>
            <w:pPr>
              <w:spacing w:after="0"/>
              <w:rPr>
                <w:sz w:val="19"/>
                <w:szCs w:val="19"/>
                <w:color w:val="auto"/>
              </w:rPr>
            </w:pPr>
          </w:p>
        </w:tc>
        <w:tc>
          <w:tcPr>
            <w:tcW w:w="1120" w:type="dxa"/>
            <w:vAlign w:val="bottom"/>
            <w:tcBorders>
              <w:top w:val="single" w:sz="8" w:color="auto"/>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9"/>
              </w:rPr>
              <w:t>Between 1-5 years</w:t>
            </w:r>
          </w:p>
        </w:tc>
        <w:tc>
          <w:tcPr>
            <w:tcW w:w="200" w:type="dxa"/>
            <w:vAlign w:val="bottom"/>
            <w:tcBorders>
              <w:top w:val="single" w:sz="8" w:color="auto"/>
              <w:bottom w:val="single" w:sz="8" w:color="DBDBDB"/>
            </w:tcBorders>
            <w:shd w:val="clear" w:color="auto" w:fill="DBDBDB"/>
          </w:tcPr>
          <w:p>
            <w:pPr>
              <w:spacing w:after="0"/>
              <w:rPr>
                <w:sz w:val="19"/>
                <w:szCs w:val="19"/>
                <w:color w:val="auto"/>
              </w:rPr>
            </w:pPr>
          </w:p>
        </w:tc>
        <w:tc>
          <w:tcPr>
            <w:tcW w:w="1080" w:type="dxa"/>
            <w:vAlign w:val="bottom"/>
            <w:tcBorders>
              <w:top w:val="single" w:sz="8" w:color="auto"/>
              <w:bottom w:val="single" w:sz="8" w:color="DBDBDB"/>
            </w:tcBorders>
            <w:shd w:val="clear" w:color="auto" w:fill="DBDBDB"/>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After 5 years</w:t>
            </w: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PS2 battery purchase volume commitments</w:t>
            </w:r>
          </w:p>
        </w:tc>
        <w:tc>
          <w:tcPr>
            <w:tcW w:w="7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91,193</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44,566</w:t>
            </w: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46,627</w:t>
            </w: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Logistics service commitments</w:t>
            </w:r>
          </w:p>
        </w:tc>
        <w:tc>
          <w:tcPr>
            <w:tcW w:w="780" w:type="dxa"/>
            <w:vAlign w:val="bottom"/>
            <w:tcBorders>
              <w:bottom w:val="single" w:sz="8" w:color="DBDBDB"/>
            </w:tcBorders>
            <w:shd w:val="clear" w:color="auto" w:fill="DBDBDB"/>
          </w:tcPr>
          <w:p>
            <w:pPr>
              <w:spacing w:after="0"/>
              <w:rPr>
                <w:sz w:val="16"/>
                <w:szCs w:val="16"/>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38,364</w:t>
            </w:r>
          </w:p>
        </w:tc>
        <w:tc>
          <w:tcPr>
            <w:tcW w:w="14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38,364</w:t>
            </w:r>
          </w:p>
        </w:tc>
        <w:tc>
          <w:tcPr>
            <w:tcW w:w="120" w:type="dxa"/>
            <w:vAlign w:val="bottom"/>
            <w:tcBorders>
              <w:bottom w:val="single" w:sz="8" w:color="DBDBDB"/>
            </w:tcBorders>
            <w:shd w:val="clear" w:color="auto" w:fill="DBDBDB"/>
          </w:tcPr>
          <w:p>
            <w:pPr>
              <w:spacing w:after="0"/>
              <w:rPr>
                <w:sz w:val="16"/>
                <w:szCs w:val="16"/>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DBDBDB"/>
            </w:tcBorders>
            <w:shd w:val="clear" w:color="auto" w:fill="DBDBDB"/>
          </w:tcPr>
          <w:p>
            <w:pPr>
              <w:spacing w:after="0"/>
              <w:rPr>
                <w:sz w:val="16"/>
                <w:szCs w:val="16"/>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PS3 and PS4 purchase volume commitments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226,954</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226,954</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9"/>
        </w:trPr>
        <w:tc>
          <w:tcPr>
            <w:tcW w:w="6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1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PS4 sales volume commitments</w:t>
            </w:r>
          </w:p>
        </w:tc>
        <w:tc>
          <w:tcPr>
            <w:tcW w:w="78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80,885</w:t>
            </w:r>
          </w:p>
        </w:tc>
        <w:tc>
          <w:tcPr>
            <w:tcW w:w="14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13,483</w:t>
            </w:r>
          </w:p>
        </w:tc>
        <w:tc>
          <w:tcPr>
            <w:tcW w:w="12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60,069</w:t>
            </w:r>
          </w:p>
        </w:tc>
        <w:tc>
          <w:tcPr>
            <w:tcW w:w="200" w:type="dxa"/>
            <w:vAlign w:val="bottom"/>
            <w:tcBorders>
              <w:bottom w:val="single" w:sz="8" w:color="DBDBDB"/>
            </w:tcBorders>
            <w:shd w:val="clear" w:color="auto" w:fill="DBDBDB"/>
          </w:tcPr>
          <w:p>
            <w:pPr>
              <w:spacing w:after="0"/>
              <w:rPr>
                <w:sz w:val="18"/>
                <w:szCs w:val="18"/>
                <w:color w:val="auto"/>
              </w:rPr>
            </w:pPr>
          </w:p>
        </w:tc>
        <w:tc>
          <w:tcPr>
            <w:tcW w:w="10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7,333</w:t>
            </w: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78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437,396</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323,367</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106,696</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7,333</w:t>
            </w:r>
          </w:p>
        </w:tc>
      </w:tr>
      <w:tr>
        <w:trPr>
          <w:trHeight w:val="29"/>
        </w:trPr>
        <w:tc>
          <w:tcPr>
            <w:tcW w:w="62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Contingencies</w:t>
      </w:r>
    </w:p>
    <w:p>
      <w:pPr>
        <w:spacing w:after="0" w:line="55"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3"/>
          <w:szCs w:val="13"/>
          <w:color w:val="auto"/>
        </w:rPr>
        <w:t>In the normal course of business, the Group is subject to contingencies related to legal proceedings, claims, and other assessments that cover a wide range of matters. Liabilities for such contingencies are not recorded until it is probable that a present obligation exists and the amount of the obligation can be estimated reliably. However, contingencies are disclosed when the potential financial effect could be material. As of June 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2024 and December 31, 2023, the Group did not have any material contingencies.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17 - Subsequent events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Management has evaluated events subsequent to June 30, 2024 and through September 30, 2024, the date these Unaudited Condensed Consolidated Financial Statements were authorized for issuance by the Board of</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Directors. The following events which occurred subsequent to June 30, 2024 merited disclosure in these Unaudited Condensed Consolidated Financial Statements. Management determined that no adjustments were required to the figures presented as a result of these events.</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On August 2, 2024, Polestar entered into an 11-month working capital loan for $196,000 with China CITIC Bank Hangzhou Branch. This loan carries an interest rate of 7.8% per annum due quarterly. This loan benefits from letters of comfort from Geely.</w:t>
      </w:r>
    </w:p>
    <w:p>
      <w:pPr>
        <w:spacing w:after="0" w:line="34"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12"/>
          <w:szCs w:val="12"/>
          <w:color w:val="auto"/>
        </w:rPr>
        <w:t>On August 20, 2024, Polestar entered into a 12-month revolving credit facility with Standard Chartered Bank (Hong Kong) Limited ("SCB") for an aggregate principal amount of up to $300,000. Each draw of this facility carries interest at a rate of the 3-month Term SOFR plus 1% per annum, 12-month Term SOFR plus 1.2% per annum, or otherwise as mutually agreed at each draw down. All draws under this revolving credit</w:t>
      </w:r>
    </w:p>
    <w:p>
      <w:pPr>
        <w:ind w:right="80"/>
        <w:spacing w:after="0" w:line="215" w:lineRule="auto"/>
        <w:rPr>
          <w:sz w:val="20"/>
          <w:szCs w:val="20"/>
          <w:color w:val="auto"/>
        </w:rPr>
      </w:pPr>
      <w:r>
        <w:rPr>
          <w:rFonts w:ascii="Times New Roman" w:cs="Times New Roman" w:eastAsia="Times New Roman" w:hAnsi="Times New Roman"/>
          <w:sz w:val="13"/>
          <w:szCs w:val="13"/>
          <w:color w:val="auto"/>
        </w:rPr>
        <w:t>facility are secured by Geely. On August 23, 2024 and September 9, 2024, Polestar borrowed $100,000 and $100,000, respectively, under the facility. Both draws carry interest at the 12-month Term SOFR plus 1.2% per annum and have a repayment period of 12 months. On September 27, 2024, Polestar borrowed $100,000 under the facility. The draw carries interest at the 1-month Term SOFR plus 1% per annum and has a repayment period of 7 days, as mutually agreed upon by both parties.</w:t>
      </w:r>
    </w:p>
    <w:p>
      <w:pPr>
        <w:spacing w:after="0" w:line="46"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2"/>
          <w:szCs w:val="12"/>
          <w:color w:val="auto"/>
        </w:rPr>
        <w:t>On August 21, 2024, Polestar entered into an amended facilities agreement (“Second Amended Agreement”) with Volvo Cars pertaining to the credit agreement signed on November 3, 2022 (“Original Agreement”) and amended on November 8, 2023 (“Amended Agreement”). Under the Original Agreement, Polestar had $800,000 in borrowing capacity and under the Amended Agreement, Polestar was provided an additional $200,000 line of credit. As of the date these financial statements were ready for issuance, Polestar had drawn down on all $1,000,000 of available credit. The Second Amended Agreement extends the loan’s maturity date from</w:t>
      </w:r>
    </w:p>
    <w:p>
      <w:pPr>
        <w:spacing w:after="0"/>
        <w:rPr>
          <w:sz w:val="20"/>
          <w:szCs w:val="20"/>
          <w:color w:val="auto"/>
        </w:rPr>
      </w:pPr>
      <w:r>
        <w:rPr>
          <w:rFonts w:ascii="Times New Roman" w:cs="Times New Roman" w:eastAsia="Times New Roman" w:hAnsi="Times New Roman"/>
          <w:sz w:val="13"/>
          <w:szCs w:val="13"/>
          <w:color w:val="auto"/>
        </w:rPr>
        <w:t>June 30, 2027 to December 29, 2028. Interest will be calculated using the floating 6-month SOFR rate plus 4.9% per annum.</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27, 2024, Polestar entered into a 12-month working capital loan for $320,000 with PingAn Bank. This loan carries an interest rate of 12-month SOFR plus 0.55% due quarterly. This loan is secured by Geely.</w:t>
      </w:r>
    </w:p>
    <w:p>
      <w:pPr>
        <w:spacing w:after="0" w:line="64"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On August 28, 2024, Polestar entered into a 12-month working capital loan for $82,000 with PingAn Bank. This loan carries an interest rate of 12-month SOFR plus 0.55% due quarterly. This loan benefits from letters of comfort from Geely.</w:t>
      </w:r>
    </w:p>
    <w:p>
      <w:pPr>
        <w:spacing w:after="0" w:line="34"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On September 6, 2024, Polestar and Volvo Car USA LLC, a Volvo Cars subsidiary, entered into an agreement for the manufacturing of Polestar 3 vehicles in Volvo Cars' Charleston plant. Under this agreement, Polestar is committed to purchase certain volumes of Polestar 3 vehicles between 2024 and 2031. In the event that Polestar´s actual volumes purchased during the production period are lower than the agreed volumes, Polestar is</w:t>
      </w:r>
    </w:p>
    <w:p>
      <w:pPr>
        <w:spacing w:after="0"/>
        <w:rPr>
          <w:sz w:val="20"/>
          <w:szCs w:val="20"/>
          <w:color w:val="auto"/>
        </w:rPr>
      </w:pPr>
      <w:r>
        <w:rPr>
          <w:rFonts w:ascii="Times New Roman" w:cs="Times New Roman" w:eastAsia="Times New Roman" w:hAnsi="Times New Roman"/>
          <w:sz w:val="13"/>
          <w:szCs w:val="13"/>
          <w:color w:val="auto"/>
        </w:rPr>
        <w:t>obligated to compensate Volvo Cars for fixed costs related to the lost capacity.</w:t>
      </w:r>
    </w:p>
    <w:p>
      <w:pPr>
        <w:spacing w:after="0" w:line="39"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On September 16, 2024, Polestar entered into a 12-month revolving green trade facility with Banco Bilbao Vizcaya Argentaria, S.A., Hong Kong Branch ("BBVA") for an aggregate principal amount of up to $150,000, available for drawdown in EUR or USD. All draws under this revolving credit facility are secured by Geely. On September 19, 2024, Polestar borrowed $100,000 under the facility. This draw carries interest at the 12-</w:t>
      </w:r>
    </w:p>
    <w:p>
      <w:pPr>
        <w:jc w:val="both"/>
        <w:ind w:right="20"/>
        <w:spacing w:after="0" w:line="222" w:lineRule="auto"/>
        <w:rPr>
          <w:sz w:val="20"/>
          <w:szCs w:val="20"/>
          <w:color w:val="auto"/>
        </w:rPr>
      </w:pPr>
      <w:r>
        <w:rPr>
          <w:rFonts w:ascii="Times New Roman" w:cs="Times New Roman" w:eastAsia="Times New Roman" w:hAnsi="Times New Roman"/>
          <w:sz w:val="13"/>
          <w:szCs w:val="13"/>
          <w:color w:val="auto"/>
        </w:rPr>
        <w:t>month Term SOFR plus 1.1% and has a repayment period of 12 months. On September 27, 2024, Polestar borrowed an additional $50,000 under the facility. This draw carries interest at the 1-month Term SOFR plus 1.1% and has a repayment period of 7 days, as mutually agreed upon by both parties.</w:t>
      </w:r>
    </w:p>
    <w:p>
      <w:pPr>
        <w:spacing w:after="0" w:line="37"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3"/>
          <w:szCs w:val="13"/>
          <w:color w:val="auto"/>
        </w:rPr>
        <w:t>On September 19, 2024, Polestar entered into a 6-month working capital loan for $100,000 with China CITIC Bank Hangzhou Branch. This loan carries an interest rate of 6.9% per annum due monthly. This loan is secured by Geely.</w:t>
      </w:r>
    </w:p>
    <w:p>
      <w:pPr>
        <w:spacing w:after="0" w:line="3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On September 26, 2024, Polestar entered into a 9-month working capital loan for $104,000 with China CITIC Bank Hangzhou Branch. This loan carries an interest rate of 7.8% per annum due quarterly. This loan benefits from letters of comfort from Geely.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Note 18 - Restatement of prior period financial statements</w:t>
      </w:r>
    </w:p>
    <w:p>
      <w:pPr>
        <w:spacing w:after="0" w:line="6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2"/>
          <w:szCs w:val="12"/>
          <w:color w:val="auto"/>
        </w:rPr>
        <w:t>In connection with the preparation of our consolidated financial statements as of and for the year ended December 31, 2023, management identified various misstatements in our previously issued 2021 and 2022 annual financial statements and 2023 interim financial statements. Management has assessed the materiality of the misstatements on these previously issued financial statements in accordance with the SEC Staff Accounting Bulletin ("SAB") Topic 1.M, Materiality. Based on this, management concluded that prior year financial statements should be corrected, even though such revision previously was and continues to be immaterial to the</w:t>
      </w:r>
    </w:p>
    <w:p>
      <w:pPr>
        <w:spacing w:after="0"/>
        <w:rPr>
          <w:sz w:val="20"/>
          <w:szCs w:val="20"/>
          <w:color w:val="auto"/>
        </w:rPr>
      </w:pPr>
      <w:r>
        <w:rPr>
          <w:rFonts w:ascii="Times New Roman" w:cs="Times New Roman" w:eastAsia="Times New Roman" w:hAnsi="Times New Roman"/>
          <w:sz w:val="13"/>
          <w:szCs w:val="13"/>
          <w:color w:val="auto"/>
        </w:rPr>
        <w:t>prior</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6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2"/>
          <w:szCs w:val="12"/>
          <w:color w:val="auto"/>
        </w:rPr>
        <w:t>year financial statements. In these Unaudited Condensed Financial Statements, the Unaudited Condensed Consolidated Statement of Loss and Comprehensive Loss and the Unaudited Condensed Consolidated Statement of Cash Flows for the six months ended June 30, 2023, have been restated to align to the revisions during 2023 to correct for the carryforward impacts of the misstatements in our previously issued 2021 and 2022 annual</w:t>
      </w:r>
    </w:p>
    <w:p>
      <w:pPr>
        <w:spacing w:after="0"/>
        <w:rPr>
          <w:sz w:val="20"/>
          <w:szCs w:val="20"/>
          <w:color w:val="auto"/>
        </w:rPr>
      </w:pPr>
      <w:r>
        <w:rPr>
          <w:rFonts w:ascii="Times New Roman" w:cs="Times New Roman" w:eastAsia="Times New Roman" w:hAnsi="Times New Roman"/>
          <w:sz w:val="13"/>
          <w:szCs w:val="13"/>
          <w:color w:val="auto"/>
        </w:rPr>
        <w:t>financial statements. The errors relate to the following categories of misstatements: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 Inventories</w:t>
      </w:r>
    </w:p>
    <w:p>
      <w:pPr>
        <w:spacing w:after="0" w:line="64" w:lineRule="exact"/>
        <w:rPr>
          <w:sz w:val="20"/>
          <w:szCs w:val="20"/>
          <w:color w:val="auto"/>
        </w:rPr>
      </w:pPr>
    </w:p>
    <w:p>
      <w:pPr>
        <w:jc w:val="both"/>
        <w:ind w:firstLine="462"/>
        <w:spacing w:after="0" w:line="238" w:lineRule="auto"/>
        <w:rPr>
          <w:sz w:val="20"/>
          <w:szCs w:val="20"/>
          <w:color w:val="auto"/>
        </w:rPr>
      </w:pPr>
      <w:r>
        <w:rPr>
          <w:rFonts w:ascii="Times New Roman" w:cs="Times New Roman" w:eastAsia="Times New Roman" w:hAnsi="Times New Roman"/>
          <w:sz w:val="12"/>
          <w:szCs w:val="12"/>
          <w:color w:val="auto"/>
        </w:rPr>
        <w:t>The errors identified in the Inventories category encompass errors relating to incorrect valuation, classification, recognition, and allocation of costs associated with inventory. The most significant errors in this category include the incorrect treatment of certain launch costs, capitalization of inventory cost allocation, failed sale/lease transactions, and vehicles with repurchase obligations. The impact to the Unaudited Condensed</w:t>
      </w:r>
    </w:p>
    <w:p>
      <w:pPr>
        <w:spacing w:after="0"/>
        <w:rPr>
          <w:sz w:val="20"/>
          <w:szCs w:val="20"/>
          <w:color w:val="auto"/>
        </w:rPr>
      </w:pPr>
      <w:r>
        <w:rPr>
          <w:rFonts w:ascii="Times New Roman" w:cs="Times New Roman" w:eastAsia="Times New Roman" w:hAnsi="Times New Roman"/>
          <w:sz w:val="13"/>
          <w:szCs w:val="13"/>
          <w:color w:val="auto"/>
        </w:rPr>
        <w:t>Consolidated Statement of Loss and Comprehensive Loss of the inventory related error corrections was an increase in the loss by $23,662.</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(ii) Accruals and Deferrals</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errors identified in the Accruals and Deferrals category encompass errors relating to the recognition and measurement of accruals and deferrals. These errors include both the understatement and</w:t>
      </w:r>
    </w:p>
    <w:p>
      <w:pPr>
        <w:jc w:val="both"/>
        <w:spacing w:after="0" w:line="215" w:lineRule="auto"/>
        <w:rPr>
          <w:sz w:val="20"/>
          <w:szCs w:val="20"/>
          <w:color w:val="auto"/>
        </w:rPr>
      </w:pPr>
      <w:r>
        <w:rPr>
          <w:rFonts w:ascii="Times New Roman" w:cs="Times New Roman" w:eastAsia="Times New Roman" w:hAnsi="Times New Roman"/>
          <w:sz w:val="13"/>
          <w:szCs w:val="13"/>
          <w:color w:val="auto"/>
        </w:rPr>
        <w:t>overstatement of accruals and deferrals before the issuance of the financial statements, despite the availability of accurate information. The most significant transactions in this category include incorrect warranty accrual release, over accrual of operating expenses in North America and timing of revenue recognition and deferred revenue related to vehicle subscription services. The impact to the Unaudited Condensed Consolidated Statement of Loss and Comprehensive Loss of the accrual and deferral related error corrections was an increase in the loss by $10,711.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(iii) Capitalization of expenses</w:t>
      </w:r>
    </w:p>
    <w:p>
      <w:pPr>
        <w:spacing w:after="0" w:line="64" w:lineRule="exact"/>
        <w:rPr>
          <w:sz w:val="20"/>
          <w:szCs w:val="20"/>
          <w:color w:val="auto"/>
        </w:rPr>
      </w:pPr>
    </w:p>
    <w:p>
      <w:pPr>
        <w:jc w:val="both"/>
        <w:ind w:right="20" w:firstLine="462"/>
        <w:spacing w:after="0" w:line="222" w:lineRule="auto"/>
        <w:rPr>
          <w:sz w:val="20"/>
          <w:szCs w:val="20"/>
          <w:color w:val="auto"/>
        </w:rPr>
      </w:pPr>
      <w:r>
        <w:rPr>
          <w:rFonts w:ascii="Times New Roman" w:cs="Times New Roman" w:eastAsia="Times New Roman" w:hAnsi="Times New Roman"/>
          <w:sz w:val="13"/>
          <w:szCs w:val="13"/>
          <w:color w:val="auto"/>
        </w:rPr>
        <w:t>The errors identified in the Capitalization of Expenses category encompass errors relating to expenses that were erroneously capitalized as an asset and vice-versa. The most significant transactions in this category include incorrect recognition of certain assets in China, and the incorrect capitalization of manufacturing engineering expenses as an intangible asset related to services provided to certain contract manufacturing facilities. The impact to the Unaudited Condensed Consolidated Statement of Loss and Comprehensive Loss of the capitalization related error corrections was a reduction of the loss of $10,376.</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(iv) Other - Reclassifications</w:t>
      </w:r>
    </w:p>
    <w:p>
      <w:pPr>
        <w:spacing w:after="0" w:line="64" w:lineRule="exact"/>
        <w:rPr>
          <w:sz w:val="20"/>
          <w:szCs w:val="20"/>
          <w:color w:val="auto"/>
        </w:rPr>
      </w:pPr>
    </w:p>
    <w:p>
      <w:pPr>
        <w:jc w:val="both"/>
        <w:ind w:right="20" w:firstLine="462"/>
        <w:spacing w:after="0" w:line="231" w:lineRule="auto"/>
        <w:rPr>
          <w:sz w:val="20"/>
          <w:szCs w:val="20"/>
          <w:color w:val="auto"/>
        </w:rPr>
      </w:pPr>
      <w:r>
        <w:rPr>
          <w:rFonts w:ascii="Times New Roman" w:cs="Times New Roman" w:eastAsia="Times New Roman" w:hAnsi="Times New Roman"/>
          <w:sz w:val="12"/>
          <w:szCs w:val="12"/>
          <w:color w:val="auto"/>
        </w:rPr>
        <w:t>The errors identified in the Other - Reclassifications category encompass errors arising from misallocations of assets and liabilities between different financial statement captions and misallocations of assets and liabilities between current and non-current. The most significant adjustments in this category include non-current reclassification misstatements related to certain buyback liabilities, an error in lease asset and liability in the United Kingdom, a reclassification of internally developed IP to software, and a reclassification of goods received not invoiced from trade payables to other current liabilities. There is a marginal impact to the</w:t>
      </w:r>
    </w:p>
    <w:p>
      <w:pPr>
        <w:ind w:right="160"/>
        <w:spacing w:after="0" w:line="336" w:lineRule="auto"/>
        <w:rPr>
          <w:sz w:val="20"/>
          <w:szCs w:val="20"/>
          <w:color w:val="auto"/>
        </w:rPr>
      </w:pPr>
      <w:r>
        <w:rPr>
          <w:rFonts w:ascii="Times New Roman" w:cs="Times New Roman" w:eastAsia="Times New Roman" w:hAnsi="Times New Roman"/>
          <w:sz w:val="13"/>
          <w:szCs w:val="13"/>
          <w:color w:val="auto"/>
        </w:rPr>
        <w:t xml:space="preserve">Unaudited Condensed Consolidated Statement of Loss and Comprehensive Loss due to reclassifications relating to lease expense reversals upon the reclassification of a lease liability to a financing obligation in Korea. </w:t>
      </w:r>
      <w:r>
        <w:rPr>
          <w:rFonts w:ascii="Times New Roman" w:cs="Times New Roman" w:eastAsia="Times New Roman" w:hAnsi="Times New Roman"/>
          <w:sz w:val="13"/>
          <w:szCs w:val="13"/>
          <w:b w:val="1"/>
          <w:bCs w:val="1"/>
          <w:color w:val="auto"/>
        </w:rPr>
        <w:t>(v) Deferred Taxes and Income Taxes</w:t>
      </w:r>
    </w:p>
    <w:p>
      <w:pPr>
        <w:jc w:val="both"/>
        <w:ind w:right="20" w:firstLine="462"/>
        <w:spacing w:after="0" w:line="219" w:lineRule="auto"/>
        <w:rPr>
          <w:sz w:val="20"/>
          <w:szCs w:val="20"/>
          <w:color w:val="auto"/>
        </w:rPr>
      </w:pPr>
      <w:r>
        <w:rPr>
          <w:rFonts w:ascii="Times New Roman" w:cs="Times New Roman" w:eastAsia="Times New Roman" w:hAnsi="Times New Roman"/>
          <w:sz w:val="13"/>
          <w:szCs w:val="13"/>
          <w:color w:val="auto"/>
        </w:rPr>
        <w:t>The errors identified in the Deferred Taxes and Income Taxes category encompass errors relating to the recognition, measurement, and reporting of the Group’s deferred tax assets, deferred tax liabilities, and income tax expenses. These errors include improper estimation of deferred tax amounts, errors in tax calculations, and errors pertaining to the treatment of value added tax. The most significant transactions in this</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3"/>
          <w:szCs w:val="13"/>
          <w:color w:val="auto"/>
        </w:rPr>
        <w:t>category include incorrect recognition of deferred tax assets and deferred liabilities at the Sweden tax rate, instead of the local market rate, and incorrect recording of deferred taxes and income tax expense in North America resulting from the other misstatement categories explained. The tax impact of all misstatement corrections has also been recognized. The impact to the Unaudited Condensed Consolidated Statement of Loss and Comprehensive Loss of the tax related error corrections and the tax effect of the other error corrections was an increase in the loss of $4,330.</w:t>
      </w:r>
    </w:p>
    <w:p>
      <w:pPr>
        <w:spacing w:after="0" w:line="46" w:lineRule="exact"/>
        <w:rPr>
          <w:sz w:val="20"/>
          <w:szCs w:val="20"/>
          <w:color w:val="auto"/>
        </w:rPr>
      </w:pPr>
    </w:p>
    <w:p>
      <w:pPr>
        <w:jc w:val="both"/>
        <w:ind w:right="20"/>
        <w:spacing w:after="0" w:line="233" w:lineRule="auto"/>
        <w:rPr>
          <w:sz w:val="20"/>
          <w:szCs w:val="20"/>
          <w:color w:val="auto"/>
        </w:rPr>
      </w:pPr>
      <w:r>
        <w:rPr>
          <w:rFonts w:ascii="Times New Roman" w:cs="Times New Roman" w:eastAsia="Times New Roman" w:hAnsi="Times New Roman"/>
          <w:sz w:val="13"/>
          <w:szCs w:val="13"/>
          <w:color w:val="auto"/>
        </w:rPr>
        <w:t>The tables below present the effect of the correction of the misstatements and the revision on the Unaudited Condensed Consolidated Statement of Loss and Comprehensive Loss and Unaudited Condensed Consolidated Statement of Cash Flows for the six months ended June 30, 2023.</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Unaudited Condensed Consolidated Statement of Loss and Comprehensive Loss for the six months ended June 30, 2023</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280" w:type="dxa"/>
            <w:vAlign w:val="bottom"/>
            <w:vMerge w:val="restart"/>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Particulars</w:t>
            </w:r>
          </w:p>
        </w:tc>
        <w:tc>
          <w:tcPr>
            <w:tcW w:w="1260" w:type="dxa"/>
            <w:vAlign w:val="bottom"/>
            <w:gridSpan w:val="2"/>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Originally Reported</w:t>
            </w:r>
          </w:p>
        </w:tc>
        <w:tc>
          <w:tcPr>
            <w:tcW w:w="1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Restatement</w:t>
            </w:r>
          </w:p>
        </w:tc>
        <w:tc>
          <w:tcPr>
            <w:tcW w:w="0" w:type="dxa"/>
            <w:vAlign w:val="bottom"/>
          </w:tcPr>
          <w:p>
            <w:pPr>
              <w:spacing w:after="0"/>
              <w:rPr>
                <w:sz w:val="1"/>
                <w:szCs w:val="1"/>
                <w:color w:val="auto"/>
              </w:rPr>
            </w:pPr>
          </w:p>
        </w:tc>
      </w:tr>
      <w:tr>
        <w:trPr>
          <w:trHeight w:val="82"/>
        </w:trPr>
        <w:tc>
          <w:tcPr>
            <w:tcW w:w="6280" w:type="dxa"/>
            <w:vAlign w:val="bottom"/>
            <w:vMerge w:val="continue"/>
            <w:shd w:val="clear" w:color="auto" w:fill="DBDBDB"/>
          </w:tcPr>
          <w:p>
            <w:pPr>
              <w:spacing w:after="0"/>
              <w:rPr>
                <w:sz w:val="7"/>
                <w:szCs w:val="7"/>
                <w:color w:val="auto"/>
              </w:rPr>
            </w:pPr>
          </w:p>
        </w:tc>
        <w:tc>
          <w:tcPr>
            <w:tcW w:w="240" w:type="dxa"/>
            <w:vAlign w:val="bottom"/>
            <w:shd w:val="clear" w:color="auto" w:fill="DBDBDB"/>
          </w:tcPr>
          <w:p>
            <w:pPr>
              <w:spacing w:after="0"/>
              <w:rPr>
                <w:sz w:val="7"/>
                <w:szCs w:val="7"/>
                <w:color w:val="auto"/>
              </w:rPr>
            </w:pPr>
          </w:p>
        </w:tc>
        <w:tc>
          <w:tcPr>
            <w:tcW w:w="1020" w:type="dxa"/>
            <w:vAlign w:val="bottom"/>
            <w:vMerge w:val="restart"/>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80" w:type="dxa"/>
            <w:vAlign w:val="bottom"/>
            <w:shd w:val="clear" w:color="auto" w:fill="DBDBDB"/>
          </w:tcPr>
          <w:p>
            <w:pPr>
              <w:spacing w:after="0"/>
              <w:rPr>
                <w:sz w:val="7"/>
                <w:szCs w:val="7"/>
                <w:color w:val="auto"/>
              </w:rPr>
            </w:pPr>
          </w:p>
        </w:tc>
        <w:tc>
          <w:tcPr>
            <w:tcW w:w="1060" w:type="dxa"/>
            <w:vAlign w:val="bottom"/>
            <w:vMerge w:val="restart"/>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shd w:val="clear" w:color="auto" w:fill="DBDBDB"/>
          </w:tcPr>
          <w:p>
            <w:pPr>
              <w:spacing w:after="0"/>
              <w:rPr>
                <w:sz w:val="7"/>
                <w:szCs w:val="7"/>
                <w:color w:val="auto"/>
              </w:rPr>
            </w:pPr>
          </w:p>
        </w:tc>
        <w:tc>
          <w:tcPr>
            <w:tcW w:w="1160" w:type="dxa"/>
            <w:vAlign w:val="bottom"/>
            <w:vMerge w:val="restart"/>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9"/>
              </w:rPr>
              <w:t>Restated Amounts</w:t>
            </w:r>
          </w:p>
        </w:tc>
        <w:tc>
          <w:tcPr>
            <w:tcW w:w="12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0" w:type="dxa"/>
            <w:vAlign w:val="bottom"/>
          </w:tcPr>
          <w:p>
            <w:pPr>
              <w:spacing w:after="0"/>
              <w:rPr>
                <w:sz w:val="1"/>
                <w:szCs w:val="1"/>
                <w:color w:val="auto"/>
              </w:rPr>
            </w:pPr>
          </w:p>
        </w:tc>
      </w:tr>
      <w:tr>
        <w:trPr>
          <w:trHeight w:val="116"/>
        </w:trPr>
        <w:tc>
          <w:tcPr>
            <w:tcW w:w="6280" w:type="dxa"/>
            <w:vAlign w:val="bottom"/>
            <w:tcBorders>
              <w:bottom w:val="single" w:sz="8" w:color="DBDBDB"/>
            </w:tcBorders>
            <w:shd w:val="clear" w:color="auto" w:fill="DBDBDB"/>
          </w:tcPr>
          <w:p>
            <w:pPr>
              <w:spacing w:after="0"/>
              <w:rPr>
                <w:sz w:val="10"/>
                <w:szCs w:val="10"/>
                <w:color w:val="auto"/>
              </w:rPr>
            </w:pPr>
          </w:p>
        </w:tc>
        <w:tc>
          <w:tcPr>
            <w:tcW w:w="240" w:type="dxa"/>
            <w:vAlign w:val="bottom"/>
            <w:tcBorders>
              <w:bottom w:val="single" w:sz="8" w:color="DBDBDB"/>
            </w:tcBorders>
            <w:shd w:val="clear" w:color="auto" w:fill="DBDBDB"/>
          </w:tcPr>
          <w:p>
            <w:pPr>
              <w:spacing w:after="0"/>
              <w:rPr>
                <w:sz w:val="10"/>
                <w:szCs w:val="10"/>
                <w:color w:val="auto"/>
              </w:rPr>
            </w:pPr>
          </w:p>
        </w:tc>
        <w:tc>
          <w:tcPr>
            <w:tcW w:w="1020" w:type="dxa"/>
            <w:vAlign w:val="bottom"/>
            <w:tcBorders>
              <w:bottom w:val="single" w:sz="8" w:color="DBDBDB"/>
            </w:tcBorders>
            <w:vMerge w:val="continue"/>
            <w:shd w:val="clear" w:color="auto" w:fill="DBDBDB"/>
          </w:tcPr>
          <w:p>
            <w:pPr>
              <w:spacing w:after="0"/>
              <w:rPr>
                <w:sz w:val="10"/>
                <w:szCs w:val="10"/>
                <w:color w:val="auto"/>
              </w:rPr>
            </w:pPr>
          </w:p>
        </w:tc>
        <w:tc>
          <w:tcPr>
            <w:tcW w:w="180" w:type="dxa"/>
            <w:vAlign w:val="bottom"/>
            <w:tcBorders>
              <w:bottom w:val="single" w:sz="8" w:color="DBDBDB"/>
            </w:tcBorders>
            <w:shd w:val="clear" w:color="auto" w:fill="DBDBDB"/>
          </w:tcPr>
          <w:p>
            <w:pPr>
              <w:spacing w:after="0"/>
              <w:rPr>
                <w:sz w:val="10"/>
                <w:szCs w:val="10"/>
                <w:color w:val="auto"/>
              </w:rPr>
            </w:pPr>
          </w:p>
        </w:tc>
        <w:tc>
          <w:tcPr>
            <w:tcW w:w="1060" w:type="dxa"/>
            <w:vAlign w:val="bottom"/>
            <w:tcBorders>
              <w:bottom w:val="single" w:sz="8" w:color="DBDBDB"/>
            </w:tcBorders>
            <w:vMerge w:val="continue"/>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160" w:type="dxa"/>
            <w:vAlign w:val="bottom"/>
            <w:tcBorders>
              <w:bottom w:val="single" w:sz="8" w:color="DBDBDB"/>
            </w:tcBorders>
            <w:vMerge w:val="continue"/>
            <w:shd w:val="clear" w:color="auto" w:fill="DBDBDB"/>
          </w:tcPr>
          <w:p>
            <w:pPr>
              <w:spacing w:after="0"/>
              <w:rPr>
                <w:sz w:val="10"/>
                <w:szCs w:val="10"/>
                <w:color w:val="auto"/>
              </w:rPr>
            </w:pPr>
          </w:p>
        </w:tc>
        <w:tc>
          <w:tcPr>
            <w:tcW w:w="126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Revenue</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1,231,265</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6,370</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1,237,635</w:t>
            </w: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(i),(ii),(iv)</w:t>
            </w:r>
          </w:p>
        </w:tc>
        <w:tc>
          <w:tcPr>
            <w:tcW w:w="0" w:type="dxa"/>
            <w:vAlign w:val="bottom"/>
          </w:tcPr>
          <w:p>
            <w:pPr>
              <w:spacing w:after="0"/>
              <w:rPr>
                <w:sz w:val="1"/>
                <w:szCs w:val="1"/>
                <w:color w:val="auto"/>
              </w:rPr>
            </w:pPr>
          </w:p>
        </w:tc>
      </w:tr>
      <w:tr>
        <w:trPr>
          <w:trHeight w:val="29"/>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2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(1,213,654)</w:t>
            </w:r>
          </w:p>
        </w:tc>
        <w:tc>
          <w:tcPr>
            <w:tcW w:w="18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(2,366)</w:t>
            </w:r>
          </w:p>
        </w:tc>
        <w:tc>
          <w:tcPr>
            <w:tcW w:w="10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(1,216,020)</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6"/>
              </w:rPr>
              <w:t>(i),(ii),(iii),(iv)</w:t>
            </w:r>
          </w:p>
        </w:tc>
        <w:tc>
          <w:tcPr>
            <w:tcW w:w="0" w:type="dxa"/>
            <w:vAlign w:val="bottom"/>
          </w:tcPr>
          <w:p>
            <w:pPr>
              <w:spacing w:after="0"/>
              <w:rPr>
                <w:sz w:val="1"/>
                <w:szCs w:val="1"/>
                <w:color w:val="auto"/>
              </w:rPr>
            </w:pP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17,611</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4,004</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21,615</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8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24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(448,632)</w:t>
            </w:r>
          </w:p>
        </w:tc>
        <w:tc>
          <w:tcPr>
            <w:tcW w:w="18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(25,975)</w:t>
            </w:r>
          </w:p>
        </w:tc>
        <w:tc>
          <w:tcPr>
            <w:tcW w:w="1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(474,607)</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97"/>
              </w:rPr>
              <w:t>(i),(ii),(iv)</w:t>
            </w: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expense</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(81,311)</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(83,050)</w:t>
            </w: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(ii),(iii)</w:t>
            </w:r>
          </w:p>
        </w:tc>
        <w:tc>
          <w:tcPr>
            <w:tcW w:w="0" w:type="dxa"/>
            <w:vAlign w:val="bottom"/>
          </w:tcPr>
          <w:p>
            <w:pPr>
              <w:spacing w:after="0"/>
              <w:rPr>
                <w:sz w:val="1"/>
                <w:szCs w:val="1"/>
                <w:color w:val="auto"/>
              </w:rPr>
            </w:pPr>
          </w:p>
        </w:tc>
      </w:tr>
      <w:tr>
        <w:trPr>
          <w:trHeight w:val="29"/>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Other operating expense, net</w:t>
            </w:r>
          </w:p>
        </w:tc>
        <w:tc>
          <w:tcPr>
            <w:tcW w:w="2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38,581</w:t>
            </w:r>
          </w:p>
        </w:tc>
        <w:tc>
          <w:tcPr>
            <w:tcW w:w="18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DBDBDB"/>
            </w:tcBorders>
            <w:shd w:val="clear" w:color="auto" w:fill="DBDBDB"/>
          </w:tcPr>
          <w:p>
            <w:pPr>
              <w:spacing w:after="0"/>
              <w:rPr>
                <w:sz w:val="18"/>
                <w:szCs w:val="18"/>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38,559</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2"/>
                <w:szCs w:val="12"/>
                <w:color w:val="auto"/>
                <w:w w:val="87"/>
              </w:rPr>
              <w:t>(i)</w:t>
            </w:r>
          </w:p>
        </w:tc>
        <w:tc>
          <w:tcPr>
            <w:tcW w:w="0" w:type="dxa"/>
            <w:vAlign w:val="bottom"/>
          </w:tcPr>
          <w:p>
            <w:pPr>
              <w:spacing w:after="0"/>
              <w:rPr>
                <w:sz w:val="1"/>
                <w:szCs w:val="1"/>
                <w:color w:val="auto"/>
              </w:rPr>
            </w:pP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(473,751)</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(23,732)</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(497,483)</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8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Finance income</w:t>
            </w:r>
          </w:p>
        </w:tc>
        <w:tc>
          <w:tcPr>
            <w:tcW w:w="24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180" w:type="dxa"/>
            <w:vAlign w:val="bottom"/>
            <w:tcBorders>
              <w:bottom w:val="single" w:sz="8" w:color="DBDBDB"/>
            </w:tcBorders>
            <w:shd w:val="clear" w:color="auto" w:fill="DBDBDB"/>
          </w:tcPr>
          <w:p>
            <w:pPr>
              <w:spacing w:after="0"/>
              <w:rPr>
                <w:sz w:val="15"/>
                <w:szCs w:val="15"/>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5"/>
                <w:szCs w:val="15"/>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12,489</w:t>
            </w:r>
          </w:p>
        </w:tc>
        <w:tc>
          <w:tcPr>
            <w:tcW w:w="126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Finance expense</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(90,516)</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(92,656)</w:t>
            </w: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4"/>
              </w:rPr>
              <w:t>(i),(iv)</w:t>
            </w:r>
          </w:p>
        </w:tc>
        <w:tc>
          <w:tcPr>
            <w:tcW w:w="0" w:type="dxa"/>
            <w:vAlign w:val="bottom"/>
          </w:tcPr>
          <w:p>
            <w:pPr>
              <w:spacing w:after="0"/>
              <w:rPr>
                <w:sz w:val="1"/>
                <w:szCs w:val="1"/>
                <w:color w:val="auto"/>
              </w:rPr>
            </w:pPr>
          </w:p>
        </w:tc>
      </w:tr>
      <w:tr>
        <w:trPr>
          <w:trHeight w:val="29"/>
        </w:trPr>
        <w:tc>
          <w:tcPr>
            <w:tcW w:w="6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4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180" w:type="dxa"/>
            <w:vAlign w:val="bottom"/>
            <w:shd w:val="clear" w:color="auto" w:fill="DBDBDB"/>
          </w:tcPr>
          <w:p>
            <w:pPr>
              <w:spacing w:after="0"/>
              <w:rPr>
                <w:sz w:val="15"/>
                <w:szCs w:val="15"/>
                <w:color w:val="auto"/>
              </w:rPr>
            </w:pPr>
          </w:p>
        </w:tc>
        <w:tc>
          <w:tcPr>
            <w:tcW w:w="10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232,995</w:t>
            </w: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280" w:type="dxa"/>
            <w:vAlign w:val="bottom"/>
            <w:shd w:val="clear" w:color="auto" w:fill="DBDBDB"/>
          </w:tcPr>
          <w:p>
            <w:pPr>
              <w:spacing w:after="0"/>
              <w:rPr>
                <w:sz w:val="2"/>
                <w:szCs w:val="2"/>
                <w:color w:val="auto"/>
              </w:rPr>
            </w:pPr>
          </w:p>
        </w:tc>
        <w:tc>
          <w:tcPr>
            <w:tcW w:w="240" w:type="dxa"/>
            <w:vAlign w:val="bottom"/>
            <w:shd w:val="clear" w:color="auto" w:fill="DBDBDB"/>
          </w:tcPr>
          <w:p>
            <w:pPr>
              <w:spacing w:after="0"/>
              <w:rPr>
                <w:sz w:val="2"/>
                <w:szCs w:val="2"/>
                <w:color w:val="auto"/>
              </w:rPr>
            </w:pPr>
          </w:p>
        </w:tc>
        <w:tc>
          <w:tcPr>
            <w:tcW w:w="102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54610</wp:posOffset>
            </wp:positionV>
            <wp:extent cx="719709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39" w:name="page40"/>
    <w:bookmarkEnd w:id="39"/>
    <w:p>
      <w:pPr>
        <w:jc w:val="center"/>
        <w:ind w:right="2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10,750</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36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2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(308,033)</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(25,872)</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(333,905)</w:t>
            </w:r>
          </w:p>
        </w:tc>
        <w:tc>
          <w:tcPr>
            <w:tcW w:w="12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(5,002)</w:t>
            </w: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(6,925)</w:t>
            </w:r>
          </w:p>
        </w:tc>
        <w:tc>
          <w:tcPr>
            <w:tcW w:w="12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(iv),(v)</w:t>
            </w:r>
          </w:p>
        </w:tc>
        <w:tc>
          <w:tcPr>
            <w:tcW w:w="0" w:type="dxa"/>
            <w:vAlign w:val="bottom"/>
          </w:tcPr>
          <w:p>
            <w:pPr>
              <w:spacing w:after="0"/>
              <w:rPr>
                <w:sz w:val="1"/>
                <w:szCs w:val="1"/>
                <w:color w:val="auto"/>
              </w:rPr>
            </w:pPr>
          </w:p>
        </w:tc>
      </w:tr>
      <w:tr>
        <w:trPr>
          <w:trHeight w:val="29"/>
        </w:trPr>
        <w:tc>
          <w:tcPr>
            <w:tcW w:w="536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2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(313,035)</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(27,795)</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(340,830)</w:t>
            </w:r>
          </w:p>
        </w:tc>
        <w:tc>
          <w:tcPr>
            <w:tcW w:w="12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Net loss per share (in U.S. dollars)</w:t>
            </w: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280" w:type="dxa"/>
            <w:vAlign w:val="bottom"/>
            <w:tcBorders>
              <w:bottom w:val="single" w:sz="8" w:color="DBDBDB"/>
            </w:tcBorders>
            <w:gridSpan w:val="2"/>
            <w:shd w:val="clear" w:color="auto" w:fill="DBDBDB"/>
          </w:tcPr>
          <w:p>
            <w:pPr>
              <w:ind w:left="160"/>
              <w:spacing w:after="0"/>
              <w:rPr>
                <w:sz w:val="20"/>
                <w:szCs w:val="20"/>
                <w:color w:val="auto"/>
              </w:rPr>
            </w:pPr>
            <w:r>
              <w:rPr>
                <w:rFonts w:ascii="Times New Roman" w:cs="Times New Roman" w:eastAsia="Times New Roman" w:hAnsi="Times New Roman"/>
                <w:sz w:val="12"/>
                <w:szCs w:val="12"/>
                <w:color w:val="auto"/>
              </w:rPr>
              <w:t>Class A - Basic and Diluted</w:t>
            </w:r>
          </w:p>
        </w:tc>
        <w:tc>
          <w:tcPr>
            <w:tcW w:w="24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8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0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26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2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Class B - Basic and Diluted</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(0.15)</w:t>
            </w:r>
          </w:p>
        </w:tc>
        <w:tc>
          <w:tcPr>
            <w:tcW w:w="1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12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 of Comprehensive Loss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160" w:type="dxa"/>
            <w:vAlign w:val="bottom"/>
            <w:shd w:val="clear" w:color="auto" w:fill="DBDBDB"/>
          </w:tcPr>
          <w:p>
            <w:pPr>
              <w:spacing w:after="0"/>
              <w:rPr>
                <w:sz w:val="15"/>
                <w:szCs w:val="15"/>
                <w:color w:val="auto"/>
              </w:rPr>
            </w:pPr>
          </w:p>
        </w:tc>
        <w:tc>
          <w:tcPr>
            <w:tcW w:w="12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2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(313,035)</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(27,795)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(340,830)</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w:t>
            </w:r>
          </w:p>
        </w:tc>
        <w:tc>
          <w:tcPr>
            <w:tcW w:w="240" w:type="dxa"/>
            <w:vAlign w:val="bottom"/>
            <w:tcBorders>
              <w:bottom w:val="single" w:sz="8" w:color="DBDBDB"/>
            </w:tcBorders>
            <w:shd w:val="clear" w:color="auto" w:fill="DBDBDB"/>
          </w:tcPr>
          <w:p>
            <w:pPr>
              <w:spacing w:after="0"/>
              <w:rPr>
                <w:sz w:val="14"/>
                <w:szCs w:val="14"/>
                <w:color w:val="auto"/>
              </w:rPr>
            </w:pPr>
          </w:p>
        </w:tc>
        <w:tc>
          <w:tcPr>
            <w:tcW w:w="1020" w:type="dxa"/>
            <w:vAlign w:val="bottom"/>
            <w:tcBorders>
              <w:bottom w:val="single" w:sz="8" w:color="DBDBDB"/>
            </w:tcBorders>
            <w:shd w:val="clear" w:color="auto" w:fill="DBDBDB"/>
          </w:tcPr>
          <w:p>
            <w:pPr>
              <w:spacing w:after="0"/>
              <w:rPr>
                <w:sz w:val="14"/>
                <w:szCs w:val="14"/>
                <w:color w:val="auto"/>
              </w:rPr>
            </w:pPr>
          </w:p>
        </w:tc>
        <w:tc>
          <w:tcPr>
            <w:tcW w:w="180" w:type="dxa"/>
            <w:vAlign w:val="bottom"/>
            <w:tcBorders>
              <w:bottom w:val="single" w:sz="8" w:color="DBDBDB"/>
            </w:tcBorders>
            <w:shd w:val="clear" w:color="auto" w:fill="DBDBDB"/>
          </w:tcPr>
          <w:p>
            <w:pPr>
              <w:spacing w:after="0"/>
              <w:rPr>
                <w:sz w:val="14"/>
                <w:szCs w:val="14"/>
                <w:color w:val="auto"/>
              </w:rPr>
            </w:pPr>
          </w:p>
        </w:tc>
        <w:tc>
          <w:tcPr>
            <w:tcW w:w="1060" w:type="dxa"/>
            <w:vAlign w:val="bottom"/>
            <w:tcBorders>
              <w:bottom w:val="single" w:sz="8" w:color="DBDBDB"/>
            </w:tcBorders>
            <w:shd w:val="clear" w:color="auto" w:fill="DBDBDB"/>
          </w:tcPr>
          <w:p>
            <w:pPr>
              <w:spacing w:after="0"/>
              <w:rPr>
                <w:sz w:val="14"/>
                <w:szCs w:val="14"/>
                <w:color w:val="auto"/>
              </w:rPr>
            </w:pPr>
          </w:p>
        </w:tc>
        <w:tc>
          <w:tcPr>
            <w:tcW w:w="100" w:type="dxa"/>
            <w:vAlign w:val="bottom"/>
            <w:tcBorders>
              <w:bottom w:val="single" w:sz="8" w:color="DBDBDB"/>
            </w:tcBorders>
            <w:shd w:val="clear" w:color="auto" w:fill="DBDBDB"/>
          </w:tcPr>
          <w:p>
            <w:pPr>
              <w:spacing w:after="0"/>
              <w:rPr>
                <w:sz w:val="14"/>
                <w:szCs w:val="14"/>
                <w:color w:val="auto"/>
              </w:rPr>
            </w:pPr>
          </w:p>
        </w:tc>
        <w:tc>
          <w:tcPr>
            <w:tcW w:w="1160" w:type="dxa"/>
            <w:vAlign w:val="bottom"/>
            <w:tcBorders>
              <w:bottom w:val="single" w:sz="8" w:color="DBDBDB"/>
            </w:tcBorders>
            <w:shd w:val="clear" w:color="auto" w:fill="DBDBDB"/>
          </w:tcPr>
          <w:p>
            <w:pPr>
              <w:spacing w:after="0"/>
              <w:rPr>
                <w:sz w:val="14"/>
                <w:szCs w:val="14"/>
                <w:color w:val="auto"/>
              </w:rPr>
            </w:pPr>
          </w:p>
        </w:tc>
        <w:tc>
          <w:tcPr>
            <w:tcW w:w="1260" w:type="dxa"/>
            <w:vAlign w:val="bottom"/>
            <w:tcBorders>
              <w:bottom w:val="single" w:sz="8" w:color="DBDBDB"/>
            </w:tcBorders>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2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Items that may be subsequently reclassified to the Consolidated Statement of Loss:</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5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2"/>
                <w:szCs w:val="12"/>
                <w:color w:val="auto"/>
              </w:rPr>
              <w:t>Exchange rate differences from translation of foreign operations</w:t>
            </w:r>
          </w:p>
        </w:tc>
        <w:tc>
          <w:tcPr>
            <w:tcW w:w="24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(26,735)</w:t>
            </w:r>
          </w:p>
        </w:tc>
        <w:tc>
          <w:tcPr>
            <w:tcW w:w="18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100" w:type="dxa"/>
            <w:vAlign w:val="bottom"/>
            <w:tcBorders>
              <w:bottom w:val="single" w:sz="8" w:color="DBDBDB"/>
            </w:tcBorders>
            <w:shd w:val="clear" w:color="auto" w:fill="DBDBDB"/>
          </w:tcPr>
          <w:p>
            <w:pPr>
              <w:spacing w:after="0"/>
              <w:rPr>
                <w:sz w:val="18"/>
                <w:szCs w:val="18"/>
                <w:color w:val="auto"/>
              </w:rPr>
            </w:pPr>
          </w:p>
        </w:tc>
        <w:tc>
          <w:tcPr>
            <w:tcW w:w="2420" w:type="dxa"/>
            <w:vAlign w:val="bottom"/>
            <w:tcBorders>
              <w:bottom w:val="single" w:sz="8" w:color="DBDBDB"/>
            </w:tcBorders>
            <w:gridSpan w:val="2"/>
            <w:shd w:val="clear" w:color="auto" w:fill="DBDBDB"/>
          </w:tcPr>
          <w:p>
            <w:pPr>
              <w:jc w:val="center"/>
              <w:ind w:left="476"/>
              <w:spacing w:after="0"/>
              <w:rPr>
                <w:sz w:val="20"/>
                <w:szCs w:val="20"/>
                <w:color w:val="auto"/>
              </w:rPr>
            </w:pPr>
            <w:r>
              <w:rPr>
                <w:rFonts w:ascii="Times New Roman" w:cs="Times New Roman" w:eastAsia="Times New Roman" w:hAnsi="Times New Roman"/>
                <w:sz w:val="13"/>
                <w:szCs w:val="13"/>
                <w:color w:val="auto"/>
              </w:rPr>
              <w:t xml:space="preserve">(27,658)   </w:t>
            </w:r>
            <w:r>
              <w:rPr>
                <w:rFonts w:ascii="Times New Roman" w:cs="Times New Roman" w:eastAsia="Times New Roman" w:hAnsi="Times New Roman"/>
                <w:sz w:val="11"/>
                <w:szCs w:val="11"/>
                <w:color w:val="auto"/>
              </w:rPr>
              <w:t>(i), (ii), (iii), (iv), (v)</w:t>
            </w:r>
          </w:p>
        </w:tc>
        <w:tc>
          <w:tcPr>
            <w:tcW w:w="0" w:type="dxa"/>
            <w:vAlign w:val="bottom"/>
          </w:tcPr>
          <w:p>
            <w:pPr>
              <w:spacing w:after="0"/>
              <w:rPr>
                <w:sz w:val="1"/>
                <w:szCs w:val="1"/>
                <w:color w:val="auto"/>
              </w:rPr>
            </w:pPr>
          </w:p>
        </w:tc>
      </w:tr>
      <w:tr>
        <w:trPr>
          <w:trHeight w:val="172"/>
        </w:trPr>
        <w:tc>
          <w:tcPr>
            <w:tcW w:w="62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other comprehensive income</w:t>
            </w:r>
          </w:p>
        </w:tc>
        <w:tc>
          <w:tcPr>
            <w:tcW w:w="24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(26,735)</w:t>
            </w:r>
          </w:p>
        </w:tc>
        <w:tc>
          <w:tcPr>
            <w:tcW w:w="1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(923)</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(27,658)</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360" w:type="dxa"/>
            <w:vAlign w:val="bottom"/>
            <w:tcBorders>
              <w:bottom w:val="single" w:sz="8" w:color="DBDBDB"/>
            </w:tcBorders>
          </w:tcPr>
          <w:p>
            <w:pPr>
              <w:spacing w:after="0"/>
              <w:rPr>
                <w:sz w:val="2"/>
                <w:szCs w:val="2"/>
                <w:color w:val="auto"/>
              </w:rPr>
            </w:pPr>
          </w:p>
        </w:tc>
        <w:tc>
          <w:tcPr>
            <w:tcW w:w="92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2"/>
                <w:szCs w:val="12"/>
                <w:b w:val="1"/>
                <w:bCs w:val="1"/>
                <w:color w:val="auto"/>
              </w:rPr>
              <w:t>Total comprehensive loss</w:t>
            </w:r>
          </w:p>
        </w:tc>
        <w:tc>
          <w:tcPr>
            <w:tcW w:w="2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(339,770)</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(28,718)</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(368,488)</w:t>
            </w:r>
          </w:p>
        </w:tc>
        <w:tc>
          <w:tcPr>
            <w:tcW w:w="12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Unaudited Condensed Consolidated Statement of Cash Flows for the six months ended June 30, 2023</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360" w:type="dxa"/>
            <w:vAlign w:val="bottom"/>
            <w:tcBorders>
              <w:top w:val="single" w:sz="8" w:color="auto"/>
              <w:bottom w:val="single" w:sz="8" w:color="DBDBDB"/>
            </w:tcBorders>
          </w:tcPr>
          <w:p>
            <w:pPr>
              <w:spacing w:after="0"/>
              <w:rPr>
                <w:sz w:val="7"/>
                <w:szCs w:val="7"/>
                <w:color w:val="auto"/>
              </w:rPr>
            </w:pPr>
          </w:p>
        </w:tc>
        <w:tc>
          <w:tcPr>
            <w:tcW w:w="920" w:type="dxa"/>
            <w:vAlign w:val="bottom"/>
            <w:tcBorders>
              <w:bottom w:val="single" w:sz="8" w:color="DBDBDB"/>
            </w:tcBorders>
          </w:tcPr>
          <w:p>
            <w:pPr>
              <w:spacing w:after="0"/>
              <w:rPr>
                <w:sz w:val="7"/>
                <w:szCs w:val="7"/>
                <w:color w:val="auto"/>
              </w:rPr>
            </w:pPr>
          </w:p>
        </w:tc>
        <w:tc>
          <w:tcPr>
            <w:tcW w:w="126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6280" w:type="dxa"/>
            <w:vAlign w:val="bottom"/>
            <w:gridSpan w:val="2"/>
            <w:vMerge w:val="restart"/>
            <w:shd w:val="clear" w:color="auto" w:fill="DBDBDB"/>
          </w:tcPr>
          <w:p>
            <w:pPr>
              <w:ind w:left="60"/>
              <w:spacing w:after="0"/>
              <w:rPr>
                <w:sz w:val="20"/>
                <w:szCs w:val="20"/>
                <w:color w:val="auto"/>
              </w:rPr>
            </w:pPr>
            <w:r>
              <w:rPr>
                <w:rFonts w:ascii="Times New Roman" w:cs="Times New Roman" w:eastAsia="Times New Roman" w:hAnsi="Times New Roman"/>
                <w:sz w:val="13"/>
                <w:szCs w:val="13"/>
                <w:b w:val="1"/>
                <w:bCs w:val="1"/>
                <w:color w:val="auto"/>
              </w:rPr>
              <w:t>Particulars</w:t>
            </w:r>
          </w:p>
        </w:tc>
        <w:tc>
          <w:tcPr>
            <w:tcW w:w="1260" w:type="dxa"/>
            <w:vAlign w:val="bottom"/>
            <w:gridSpan w:val="2"/>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Originally Reported</w:t>
            </w:r>
          </w:p>
        </w:tc>
        <w:tc>
          <w:tcPr>
            <w:tcW w:w="180" w:type="dxa"/>
            <w:vAlign w:val="bottom"/>
            <w:shd w:val="clear" w:color="auto" w:fill="DBDBDB"/>
          </w:tcPr>
          <w:p>
            <w:pPr>
              <w:spacing w:after="0"/>
              <w:rPr>
                <w:sz w:val="14"/>
                <w:szCs w:val="14"/>
                <w:color w:val="auto"/>
              </w:rPr>
            </w:pPr>
          </w:p>
        </w:tc>
        <w:tc>
          <w:tcPr>
            <w:tcW w:w="1060" w:type="dxa"/>
            <w:vAlign w:val="bottom"/>
            <w:vMerge w:val="restart"/>
            <w:shd w:val="clear" w:color="auto" w:fill="DBDBDB"/>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Adjustments</w:t>
            </w:r>
          </w:p>
        </w:tc>
        <w:tc>
          <w:tcPr>
            <w:tcW w:w="100" w:type="dxa"/>
            <w:vAlign w:val="bottom"/>
            <w:shd w:val="clear" w:color="auto" w:fill="DBDBDB"/>
          </w:tcPr>
          <w:p>
            <w:pPr>
              <w:spacing w:after="0"/>
              <w:rPr>
                <w:sz w:val="14"/>
                <w:szCs w:val="14"/>
                <w:color w:val="auto"/>
              </w:rPr>
            </w:pPr>
          </w:p>
        </w:tc>
        <w:tc>
          <w:tcPr>
            <w:tcW w:w="1160" w:type="dxa"/>
            <w:vAlign w:val="bottom"/>
            <w:vMerge w:val="restart"/>
            <w:shd w:val="clear" w:color="auto" w:fill="DBDBDB"/>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9"/>
              </w:rPr>
              <w:t>Restated Amounts</w:t>
            </w:r>
          </w:p>
        </w:tc>
        <w:tc>
          <w:tcPr>
            <w:tcW w:w="1260" w:type="dxa"/>
            <w:vAlign w:val="bottom"/>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Restatement</w:t>
            </w:r>
          </w:p>
        </w:tc>
        <w:tc>
          <w:tcPr>
            <w:tcW w:w="0" w:type="dxa"/>
            <w:vAlign w:val="bottom"/>
          </w:tcPr>
          <w:p>
            <w:pPr>
              <w:spacing w:after="0"/>
              <w:rPr>
                <w:sz w:val="1"/>
                <w:szCs w:val="1"/>
                <w:color w:val="auto"/>
              </w:rPr>
            </w:pPr>
          </w:p>
        </w:tc>
      </w:tr>
      <w:tr>
        <w:trPr>
          <w:trHeight w:val="77"/>
        </w:trPr>
        <w:tc>
          <w:tcPr>
            <w:tcW w:w="6280" w:type="dxa"/>
            <w:vAlign w:val="bottom"/>
            <w:gridSpan w:val="2"/>
            <w:vMerge w:val="continue"/>
            <w:shd w:val="clear" w:color="auto" w:fill="DBDBDB"/>
          </w:tcPr>
          <w:p>
            <w:pPr>
              <w:spacing w:after="0"/>
              <w:rPr>
                <w:sz w:val="6"/>
                <w:szCs w:val="6"/>
                <w:color w:val="auto"/>
              </w:rPr>
            </w:pPr>
          </w:p>
        </w:tc>
        <w:tc>
          <w:tcPr>
            <w:tcW w:w="240" w:type="dxa"/>
            <w:vAlign w:val="bottom"/>
            <w:shd w:val="clear" w:color="auto" w:fill="DBDBDB"/>
          </w:tcPr>
          <w:p>
            <w:pPr>
              <w:spacing w:after="0"/>
              <w:rPr>
                <w:sz w:val="6"/>
                <w:szCs w:val="6"/>
                <w:color w:val="auto"/>
              </w:rPr>
            </w:pPr>
          </w:p>
        </w:tc>
        <w:tc>
          <w:tcPr>
            <w:tcW w:w="1020" w:type="dxa"/>
            <w:vAlign w:val="bottom"/>
            <w:vMerge w:val="restart"/>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80" w:type="dxa"/>
            <w:vAlign w:val="bottom"/>
            <w:shd w:val="clear" w:color="auto" w:fill="DBDBDB"/>
          </w:tcPr>
          <w:p>
            <w:pPr>
              <w:spacing w:after="0"/>
              <w:rPr>
                <w:sz w:val="6"/>
                <w:szCs w:val="6"/>
                <w:color w:val="auto"/>
              </w:rPr>
            </w:pPr>
          </w:p>
        </w:tc>
        <w:tc>
          <w:tcPr>
            <w:tcW w:w="106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160" w:type="dxa"/>
            <w:vAlign w:val="bottom"/>
            <w:vMerge w:val="continue"/>
            <w:shd w:val="clear" w:color="auto" w:fill="DBDBDB"/>
          </w:tcPr>
          <w:p>
            <w:pPr>
              <w:spacing w:after="0"/>
              <w:rPr>
                <w:sz w:val="6"/>
                <w:szCs w:val="6"/>
                <w:color w:val="auto"/>
              </w:rPr>
            </w:pPr>
          </w:p>
        </w:tc>
        <w:tc>
          <w:tcPr>
            <w:tcW w:w="1260" w:type="dxa"/>
            <w:vAlign w:val="bottom"/>
            <w:vMerge w:val="restart"/>
            <w:shd w:val="clear" w:color="auto" w:fill="DBDBDB"/>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Reference</w:t>
            </w:r>
          </w:p>
        </w:tc>
        <w:tc>
          <w:tcPr>
            <w:tcW w:w="0" w:type="dxa"/>
            <w:vAlign w:val="bottom"/>
          </w:tcPr>
          <w:p>
            <w:pPr>
              <w:spacing w:after="0"/>
              <w:rPr>
                <w:sz w:val="1"/>
                <w:szCs w:val="1"/>
                <w:color w:val="auto"/>
              </w:rPr>
            </w:pPr>
          </w:p>
        </w:tc>
      </w:tr>
      <w:tr>
        <w:trPr>
          <w:trHeight w:val="116"/>
        </w:trPr>
        <w:tc>
          <w:tcPr>
            <w:tcW w:w="5360" w:type="dxa"/>
            <w:vAlign w:val="bottom"/>
            <w:shd w:val="clear" w:color="auto" w:fill="DBDBDB"/>
          </w:tcPr>
          <w:p>
            <w:pPr>
              <w:spacing w:after="0"/>
              <w:rPr>
                <w:sz w:val="10"/>
                <w:szCs w:val="10"/>
                <w:color w:val="auto"/>
              </w:rPr>
            </w:pPr>
          </w:p>
        </w:tc>
        <w:tc>
          <w:tcPr>
            <w:tcW w:w="920" w:type="dxa"/>
            <w:vAlign w:val="bottom"/>
            <w:shd w:val="clear" w:color="auto" w:fill="DBDBDB"/>
          </w:tcPr>
          <w:p>
            <w:pPr>
              <w:spacing w:after="0"/>
              <w:rPr>
                <w:sz w:val="10"/>
                <w:szCs w:val="10"/>
                <w:color w:val="auto"/>
              </w:rPr>
            </w:pPr>
          </w:p>
        </w:tc>
        <w:tc>
          <w:tcPr>
            <w:tcW w:w="240" w:type="dxa"/>
            <w:vAlign w:val="bottom"/>
            <w:tcBorders>
              <w:bottom w:val="single" w:sz="8" w:color="auto"/>
            </w:tcBorders>
            <w:shd w:val="clear" w:color="auto" w:fill="DBDBDB"/>
          </w:tcPr>
          <w:p>
            <w:pPr>
              <w:spacing w:after="0"/>
              <w:rPr>
                <w:sz w:val="10"/>
                <w:szCs w:val="10"/>
                <w:color w:val="auto"/>
              </w:rPr>
            </w:pPr>
          </w:p>
        </w:tc>
        <w:tc>
          <w:tcPr>
            <w:tcW w:w="1020" w:type="dxa"/>
            <w:vAlign w:val="bottom"/>
            <w:tcBorders>
              <w:bottom w:val="single" w:sz="8" w:color="auto"/>
            </w:tcBorders>
            <w:vMerge w:val="continue"/>
            <w:shd w:val="clear" w:color="auto" w:fill="DBDBDB"/>
          </w:tcPr>
          <w:p>
            <w:pPr>
              <w:spacing w:after="0"/>
              <w:rPr>
                <w:sz w:val="10"/>
                <w:szCs w:val="10"/>
                <w:color w:val="auto"/>
              </w:rPr>
            </w:pPr>
          </w:p>
        </w:tc>
        <w:tc>
          <w:tcPr>
            <w:tcW w:w="180" w:type="dxa"/>
            <w:vAlign w:val="bottom"/>
            <w:tcBorders>
              <w:bottom w:val="single" w:sz="8" w:color="auto"/>
            </w:tcBorders>
            <w:shd w:val="clear" w:color="auto" w:fill="DBDBDB"/>
          </w:tcPr>
          <w:p>
            <w:pPr>
              <w:spacing w:after="0"/>
              <w:rPr>
                <w:sz w:val="10"/>
                <w:szCs w:val="10"/>
                <w:color w:val="auto"/>
              </w:rPr>
            </w:pPr>
          </w:p>
        </w:tc>
        <w:tc>
          <w:tcPr>
            <w:tcW w:w="1060" w:type="dxa"/>
            <w:vAlign w:val="bottom"/>
            <w:tcBorders>
              <w:bottom w:val="single" w:sz="8" w:color="auto"/>
            </w:tcBorders>
            <w:vMerge w:val="continue"/>
            <w:shd w:val="clear" w:color="auto" w:fill="DBDBDB"/>
          </w:tcPr>
          <w:p>
            <w:pPr>
              <w:spacing w:after="0"/>
              <w:rPr>
                <w:sz w:val="10"/>
                <w:szCs w:val="10"/>
                <w:color w:val="auto"/>
              </w:rPr>
            </w:pPr>
          </w:p>
        </w:tc>
        <w:tc>
          <w:tcPr>
            <w:tcW w:w="100" w:type="dxa"/>
            <w:vAlign w:val="bottom"/>
            <w:tcBorders>
              <w:bottom w:val="single" w:sz="8" w:color="auto"/>
            </w:tcBorders>
            <w:shd w:val="clear" w:color="auto" w:fill="DBDBDB"/>
          </w:tcPr>
          <w:p>
            <w:pPr>
              <w:spacing w:after="0"/>
              <w:rPr>
                <w:sz w:val="10"/>
                <w:szCs w:val="10"/>
                <w:color w:val="auto"/>
              </w:rPr>
            </w:pPr>
          </w:p>
        </w:tc>
        <w:tc>
          <w:tcPr>
            <w:tcW w:w="1160" w:type="dxa"/>
            <w:vAlign w:val="bottom"/>
            <w:tcBorders>
              <w:bottom w:val="single" w:sz="8" w:color="auto"/>
            </w:tcBorders>
            <w:vMerge w:val="continue"/>
            <w:shd w:val="clear" w:color="auto" w:fill="DBDBDB"/>
          </w:tcPr>
          <w:p>
            <w:pPr>
              <w:spacing w:after="0"/>
              <w:rPr>
                <w:sz w:val="10"/>
                <w:szCs w:val="10"/>
                <w:color w:val="auto"/>
              </w:rPr>
            </w:pPr>
          </w:p>
        </w:tc>
        <w:tc>
          <w:tcPr>
            <w:tcW w:w="1260" w:type="dxa"/>
            <w:vAlign w:val="bottom"/>
            <w:tcBorders>
              <w:bottom w:val="single" w:sz="8" w:color="auto"/>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Net loss</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(313,035)</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(27,795)</w:t>
            </w:r>
          </w:p>
        </w:tc>
        <w:tc>
          <w:tcPr>
            <w:tcW w:w="100" w:type="dxa"/>
            <w:vAlign w:val="bottom"/>
            <w:tcBorders>
              <w:bottom w:val="single" w:sz="8" w:color="DBDBDB"/>
            </w:tcBorders>
            <w:shd w:val="clear" w:color="auto" w:fill="DBDBDB"/>
          </w:tcPr>
          <w:p>
            <w:pPr>
              <w:spacing w:after="0"/>
              <w:rPr>
                <w:sz w:val="16"/>
                <w:szCs w:val="16"/>
                <w:color w:val="auto"/>
              </w:rPr>
            </w:pPr>
          </w:p>
        </w:tc>
        <w:tc>
          <w:tcPr>
            <w:tcW w:w="2420" w:type="dxa"/>
            <w:vAlign w:val="bottom"/>
            <w:tcBorders>
              <w:bottom w:val="single" w:sz="8" w:color="DBDBDB"/>
            </w:tcBorders>
            <w:gridSpan w:val="2"/>
            <w:shd w:val="clear" w:color="auto" w:fill="DBDBDB"/>
          </w:tcPr>
          <w:p>
            <w:pPr>
              <w:jc w:val="center"/>
              <w:ind w:left="456"/>
              <w:spacing w:after="0"/>
              <w:rPr>
                <w:sz w:val="20"/>
                <w:szCs w:val="20"/>
                <w:color w:val="auto"/>
              </w:rPr>
            </w:pPr>
            <w:r>
              <w:rPr>
                <w:rFonts w:ascii="Times New Roman" w:cs="Times New Roman" w:eastAsia="Times New Roman" w:hAnsi="Times New Roman"/>
                <w:sz w:val="13"/>
                <w:szCs w:val="13"/>
                <w:color w:val="auto"/>
              </w:rPr>
              <w:t>(340,830)  (i), (ii), (iii), (iv), (v)</w:t>
            </w: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flows:</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57,074</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53,204</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8"/>
              </w:rPr>
              <w:t>(i), (ii), (iii)</w:t>
            </w: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Warranties</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36,003</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34,619</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(i)</w:t>
            </w: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Impairment of inventory</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11,795</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11,795</w:t>
            </w:r>
          </w:p>
        </w:tc>
        <w:tc>
          <w:tcPr>
            <w:tcW w:w="12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Finance income</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Finance expense</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90,516</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2,140</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92,656</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rPr>
              <w:t>(i), (iv)</w:t>
            </w: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Fair value change - Earn-out rights</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(232,995)</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(232,995)</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Fair value change - Class C Shares</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(10,750)</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(10,750)</w:t>
            </w:r>
          </w:p>
        </w:tc>
        <w:tc>
          <w:tcPr>
            <w:tcW w:w="12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Income tax expense</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5,002</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1,923</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6,925</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(iv), (v)</w:t>
            </w: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2"/>
                <w:szCs w:val="12"/>
                <w:color w:val="auto"/>
              </w:rPr>
              <w:t>Disposals and derecognition of property plant and equipment and intangible assets</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2,070</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2,070</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(iv)</w:t>
            </w: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Other provisions</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14,873</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14,873</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(iv)</w:t>
            </w: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2"/>
                <w:szCs w:val="12"/>
                <w:color w:val="auto"/>
              </w:rPr>
              <w:t>Unrealised Exchange Gain/Loss Operating Payables</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(5,022)</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(5,022)</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5"/>
              </w:rPr>
              <w:t>(iv)</w:t>
            </w: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Other non-cash expense and income</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19,252</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(11,855)</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7,397</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(iv)</w:t>
            </w: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spacing w:after="0"/>
              <w:rPr>
                <w:sz w:val="16"/>
                <w:szCs w:val="16"/>
                <w:color w:val="auto"/>
              </w:rPr>
            </w:pP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spacing w:after="0"/>
              <w:rPr>
                <w:sz w:val="16"/>
                <w:szCs w:val="16"/>
                <w:color w:val="auto"/>
              </w:rPr>
            </w:pPr>
          </w:p>
        </w:tc>
        <w:tc>
          <w:tcPr>
            <w:tcW w:w="12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Inventories</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(206,373)</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17,172</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(189,201)</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(i), (iii), (iv)</w:t>
            </w: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Contract liabilities</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24,673</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(3,510)</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21,163</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6"/>
              </w:rPr>
              <w:t>(i), (ii), (iv)</w:t>
            </w:r>
          </w:p>
        </w:tc>
        <w:tc>
          <w:tcPr>
            <w:tcW w:w="0" w:type="dxa"/>
            <w:vAlign w:val="bottom"/>
          </w:tcPr>
          <w:p>
            <w:pPr>
              <w:spacing w:after="0"/>
              <w:rPr>
                <w:sz w:val="1"/>
                <w:szCs w:val="1"/>
                <w:color w:val="auto"/>
              </w:rPr>
            </w:pPr>
          </w:p>
        </w:tc>
      </w:tr>
      <w:tr>
        <w:trPr>
          <w:trHeight w:val="182"/>
        </w:trPr>
        <w:tc>
          <w:tcPr>
            <w:tcW w:w="62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Trade receivables, prepaid expenses and other assets</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72,372</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(3,684)</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68,688</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 (iv)</w:t>
            </w: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ind w:left="80"/>
              <w:spacing w:after="0"/>
              <w:rPr>
                <w:sz w:val="20"/>
                <w:szCs w:val="20"/>
                <w:color w:val="auto"/>
              </w:rPr>
            </w:pPr>
            <w:r>
              <w:rPr>
                <w:rFonts w:ascii="Times New Roman" w:cs="Times New Roman" w:eastAsia="Times New Roman" w:hAnsi="Times New Roman"/>
                <w:sz w:val="13"/>
                <w:szCs w:val="13"/>
                <w:color w:val="auto"/>
              </w:rPr>
              <w:t>Trade payables, accrued expenses and other liabilities</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(154,206)</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19,440</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(134,766)</w:t>
            </w:r>
          </w:p>
        </w:tc>
        <w:tc>
          <w:tcPr>
            <w:tcW w:w="1260" w:type="dxa"/>
            <w:vAlign w:val="bottom"/>
            <w:tcBorders>
              <w:bottom w:val="single" w:sz="8" w:color="DBDBDB"/>
            </w:tcBorders>
            <w:shd w:val="clear" w:color="auto" w:fill="DBDBDB"/>
          </w:tcPr>
          <w:p>
            <w:pPr>
              <w:jc w:val="center"/>
              <w:spacing w:after="0"/>
              <w:rPr>
                <w:sz w:val="20"/>
                <w:szCs w:val="20"/>
                <w:color w:val="auto"/>
              </w:rPr>
            </w:pPr>
            <w:r>
              <w:rPr>
                <w:rFonts w:ascii="Times New Roman" w:cs="Times New Roman" w:eastAsia="Times New Roman" w:hAnsi="Times New Roman"/>
                <w:sz w:val="13"/>
                <w:szCs w:val="13"/>
                <w:color w:val="auto"/>
                <w:w w:val="97"/>
              </w:rPr>
              <w:t>(i), (ii), (iii), (iv)</w:t>
            </w: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Interest received</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80" w:type="dxa"/>
            <w:vAlign w:val="bottom"/>
          </w:tcPr>
          <w:p>
            <w:pPr>
              <w:spacing w:after="0"/>
              <w:rPr>
                <w:sz w:val="15"/>
                <w:szCs w:val="15"/>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12,489</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2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color w:val="auto"/>
              </w:rPr>
              <w:t>Interest paid</w:t>
            </w:r>
          </w:p>
        </w:tc>
        <w:tc>
          <w:tcPr>
            <w:tcW w:w="240" w:type="dxa"/>
            <w:vAlign w:val="bottom"/>
            <w:tcBorders>
              <w:bottom w:val="single" w:sz="8" w:color="DBDBDB"/>
            </w:tcBorders>
            <w:shd w:val="clear" w:color="auto" w:fill="DBDBDB"/>
          </w:tcPr>
          <w:p>
            <w:pPr>
              <w:spacing w:after="0"/>
              <w:rPr>
                <w:sz w:val="16"/>
                <w:szCs w:val="16"/>
                <w:color w:val="auto"/>
              </w:rPr>
            </w:pP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(48,667)</w:t>
            </w:r>
          </w:p>
        </w:tc>
        <w:tc>
          <w:tcPr>
            <w:tcW w:w="180" w:type="dxa"/>
            <w:vAlign w:val="bottom"/>
            <w:tcBorders>
              <w:bottom w:val="single" w:sz="8" w:color="DBDBDB"/>
            </w:tcBorders>
            <w:shd w:val="clear" w:color="auto" w:fill="DBDBDB"/>
          </w:tcPr>
          <w:p>
            <w:pPr>
              <w:spacing w:after="0"/>
              <w:rPr>
                <w:sz w:val="16"/>
                <w:szCs w:val="16"/>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DBDBDB"/>
            </w:tcBorders>
            <w:shd w:val="clear" w:color="auto" w:fill="DBDBDB"/>
          </w:tcPr>
          <w:p>
            <w:pPr>
              <w:spacing w:after="0"/>
              <w:rPr>
                <w:sz w:val="16"/>
                <w:szCs w:val="16"/>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(48,667)</w:t>
            </w:r>
          </w:p>
        </w:tc>
        <w:tc>
          <w:tcPr>
            <w:tcW w:w="126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Taxes paid</w:t>
            </w:r>
          </w:p>
        </w:tc>
        <w:tc>
          <w:tcPr>
            <w:tcW w:w="240" w:type="dxa"/>
            <w:vAlign w:val="bottom"/>
          </w:tcPr>
          <w:p>
            <w:pPr>
              <w:spacing w:after="0"/>
              <w:rPr>
                <w:sz w:val="15"/>
                <w:szCs w:val="15"/>
                <w:color w:val="auto"/>
              </w:rPr>
            </w:pP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(11,401)</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(11,401)</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280" w:type="dxa"/>
            <w:vAlign w:val="bottom"/>
            <w:tcBorders>
              <w:bottom w:val="single" w:sz="8" w:color="DBDBDB"/>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80" w:type="dxa"/>
            <w:vAlign w:val="bottom"/>
            <w:tcBorders>
              <w:bottom w:val="single" w:sz="8" w:color="DBDBDB"/>
            </w:tcBorders>
            <w:gridSpan w:val="2"/>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used for operating activities</w:t>
            </w:r>
          </w:p>
        </w:tc>
        <w:tc>
          <w:tcPr>
            <w:tcW w:w="240" w:type="dxa"/>
            <w:vAlign w:val="bottom"/>
            <w:tcBorders>
              <w:bottom w:val="single" w:sz="8" w:color="DBDBDB"/>
            </w:tcBorders>
            <w:shd w:val="clear" w:color="auto" w:fill="DBDBDB"/>
          </w:tcPr>
          <w:p>
            <w:pPr>
              <w:jc w:val="right"/>
              <w:ind w:right="9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2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(660,740)</w:t>
            </w:r>
          </w:p>
        </w:tc>
        <w:tc>
          <w:tcPr>
            <w:tcW w:w="180" w:type="dxa"/>
            <w:vAlign w:val="bottom"/>
            <w:tcBorders>
              <w:bottom w:val="single" w:sz="8" w:color="DBDBDB"/>
            </w:tcBorders>
            <w:shd w:val="clear" w:color="auto" w:fill="DBDBDB"/>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498</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(660,242)</w:t>
            </w:r>
          </w:p>
        </w:tc>
        <w:tc>
          <w:tcPr>
            <w:tcW w:w="1260" w:type="dxa"/>
            <w:vAlign w:val="bottom"/>
            <w:tcBorders>
              <w:bottom w:val="single" w:sz="8" w:color="DBDBDB"/>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60325</wp:posOffset>
            </wp:positionV>
            <wp:extent cx="719709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97090" cy="3746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40" w:name="page41"/>
    <w:bookmarkEnd w:id="40"/>
    <w:p>
      <w:pPr>
        <w:jc w:val="center"/>
        <w:ind w:right="20"/>
        <w:spacing w:after="0"/>
        <w:rPr>
          <w:sz w:val="20"/>
          <w:szCs w:val="20"/>
          <w:color w:val="auto"/>
        </w:rPr>
      </w:pPr>
      <w:r>
        <w:rPr>
          <w:rFonts w:ascii="Times New Roman" w:cs="Times New Roman" w:eastAsia="Times New Roman" w:hAnsi="Times New Roman"/>
          <w:sz w:val="12"/>
          <w:szCs w:val="12"/>
          <w:color w:val="B6B6B6"/>
        </w:rPr>
        <w:t>Notes to the Unaudited Condensed Consolidated Financial Statements</w:t>
      </w:r>
    </w:p>
    <w:p>
      <w:pPr>
        <w:jc w:val="center"/>
        <w:ind w:right="20"/>
        <w:spacing w:after="0"/>
        <w:rPr>
          <w:sz w:val="20"/>
          <w:szCs w:val="20"/>
          <w:color w:val="auto"/>
        </w:rPr>
      </w:pPr>
      <w:r>
        <w:rPr>
          <w:rFonts w:ascii="Times New Roman" w:cs="Times New Roman" w:eastAsia="Times New Roman" w:hAnsi="Times New Roman"/>
          <w:sz w:val="12"/>
          <w:szCs w:val="12"/>
          <w:color w:val="B6B6B6"/>
        </w:rPr>
        <w:t>(in thousands of U.S. dollars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3993515</wp:posOffset>
            </wp:positionH>
            <wp:positionV relativeFrom="paragraph">
              <wp:posOffset>191770</wp:posOffset>
            </wp:positionV>
            <wp:extent cx="238252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382520" cy="6350"/>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9"/>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Additions to property, plant and equipment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(42,948)</w:t>
            </w:r>
          </w:p>
        </w:tc>
        <w:tc>
          <w:tcPr>
            <w:tcW w:w="4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(42,948)</w:t>
            </w:r>
          </w:p>
        </w:tc>
        <w:tc>
          <w:tcPr>
            <w:tcW w:w="1260" w:type="dxa"/>
            <w:vAlign w:val="bottom"/>
            <w:tcBorders>
              <w:bottom w:val="single" w:sz="8" w:color="DBDBDB"/>
            </w:tcBorders>
            <w:shd w:val="clear" w:color="auto" w:fill="DBDBDB"/>
          </w:tcPr>
          <w:p>
            <w:pPr>
              <w:spacing w:after="0"/>
              <w:rPr>
                <w:sz w:val="16"/>
                <w:szCs w:val="16"/>
                <w:color w:val="auto"/>
              </w:rPr>
            </w:pP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Additions to intangible assets</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(239,850)</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(237,930)</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(iii)</w:t>
            </w:r>
          </w:p>
        </w:tc>
      </w:tr>
      <w:tr>
        <w:trPr>
          <w:trHeight w:val="29"/>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Proceeds from the sale of property, plant and equipment</w:t>
            </w:r>
          </w:p>
        </w:tc>
        <w:tc>
          <w:tcPr>
            <w:tcW w:w="38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1,710</w:t>
            </w:r>
          </w:p>
        </w:tc>
        <w:tc>
          <w:tcPr>
            <w:tcW w:w="460" w:type="dxa"/>
            <w:vAlign w:val="bottom"/>
            <w:tcBorders>
              <w:bottom w:val="single" w:sz="8" w:color="DBDBDB"/>
            </w:tcBorders>
            <w:shd w:val="clear" w:color="auto" w:fill="DBDBDB"/>
          </w:tcPr>
          <w:p>
            <w:pPr>
              <w:spacing w:after="0"/>
              <w:rPr>
                <w:sz w:val="18"/>
                <w:szCs w:val="18"/>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8"/>
                <w:szCs w:val="18"/>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260" w:type="dxa"/>
            <w:vAlign w:val="bottom"/>
            <w:tcBorders>
              <w:bottom w:val="single" w:sz="8" w:color="DBDBDB"/>
            </w:tcBorders>
            <w:shd w:val="clear" w:color="auto" w:fill="DBDBDB"/>
          </w:tcPr>
          <w:p>
            <w:pPr>
              <w:spacing w:after="0"/>
              <w:rPr>
                <w:sz w:val="18"/>
                <w:szCs w:val="18"/>
                <w:color w:val="auto"/>
              </w:rPr>
            </w:pP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used for investing activities</w:t>
            </w:r>
          </w:p>
        </w:tc>
        <w:tc>
          <w:tcPr>
            <w:tcW w:w="3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(281,088)</w:t>
            </w:r>
          </w:p>
        </w:tc>
        <w:tc>
          <w:tcPr>
            <w:tcW w:w="46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1,920</w:t>
            </w:r>
          </w:p>
        </w:tc>
        <w:tc>
          <w:tcPr>
            <w:tcW w:w="3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(279,168)</w:t>
            </w:r>
          </w:p>
        </w:tc>
        <w:tc>
          <w:tcPr>
            <w:tcW w:w="1260" w:type="dxa"/>
            <w:vAlign w:val="bottom"/>
          </w:tcPr>
          <w:p>
            <w:pPr>
              <w:spacing w:after="0"/>
              <w:rPr>
                <w:sz w:val="14"/>
                <w:szCs w:val="14"/>
                <w:color w:val="auto"/>
              </w:rPr>
            </w:pPr>
          </w:p>
        </w:tc>
      </w:tr>
      <w:tr>
        <w:trPr>
          <w:trHeight w:val="29"/>
        </w:trPr>
        <w:tc>
          <w:tcPr>
            <w:tcW w:w="62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r>
      <w:tr>
        <w:trPr>
          <w:trHeight w:val="17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460" w:type="dxa"/>
            <w:vAlign w:val="bottom"/>
            <w:tcBorders>
              <w:bottom w:val="single" w:sz="8" w:color="DBDBDB"/>
            </w:tcBorders>
            <w:shd w:val="clear" w:color="auto" w:fill="DBDBDB"/>
          </w:tcPr>
          <w:p>
            <w:pPr>
              <w:spacing w:after="0"/>
              <w:rPr>
                <w:sz w:val="14"/>
                <w:szCs w:val="14"/>
                <w:color w:val="auto"/>
              </w:rPr>
            </w:pPr>
          </w:p>
        </w:tc>
        <w:tc>
          <w:tcPr>
            <w:tcW w:w="780" w:type="dxa"/>
            <w:vAlign w:val="bottom"/>
            <w:tcBorders>
              <w:bottom w:val="single" w:sz="8" w:color="DBDBDB"/>
            </w:tcBorders>
            <w:shd w:val="clear" w:color="auto" w:fill="DBDBDB"/>
          </w:tcPr>
          <w:p>
            <w:pPr>
              <w:spacing w:after="0"/>
              <w:rPr>
                <w:sz w:val="14"/>
                <w:szCs w:val="14"/>
                <w:color w:val="auto"/>
              </w:rPr>
            </w:pPr>
          </w:p>
        </w:tc>
        <w:tc>
          <w:tcPr>
            <w:tcW w:w="380" w:type="dxa"/>
            <w:vAlign w:val="bottom"/>
            <w:tcBorders>
              <w:bottom w:val="single" w:sz="8" w:color="DBDBDB"/>
            </w:tcBorders>
            <w:shd w:val="clear" w:color="auto" w:fill="DBDBDB"/>
          </w:tcPr>
          <w:p>
            <w:pPr>
              <w:spacing w:after="0"/>
              <w:rPr>
                <w:sz w:val="14"/>
                <w:szCs w:val="14"/>
                <w:color w:val="auto"/>
              </w:rPr>
            </w:pPr>
          </w:p>
        </w:tc>
        <w:tc>
          <w:tcPr>
            <w:tcW w:w="880" w:type="dxa"/>
            <w:vAlign w:val="bottom"/>
            <w:tcBorders>
              <w:bottom w:val="single" w:sz="8" w:color="DBDBDB"/>
            </w:tcBorders>
            <w:shd w:val="clear" w:color="auto" w:fill="DBDBDB"/>
          </w:tcPr>
          <w:p>
            <w:pPr>
              <w:spacing w:after="0"/>
              <w:rPr>
                <w:sz w:val="14"/>
                <w:szCs w:val="14"/>
                <w:color w:val="auto"/>
              </w:rPr>
            </w:pPr>
          </w:p>
        </w:tc>
        <w:tc>
          <w:tcPr>
            <w:tcW w:w="1260" w:type="dxa"/>
            <w:vAlign w:val="bottom"/>
            <w:tcBorders>
              <w:bottom w:val="single" w:sz="8" w:color="DBDBDB"/>
            </w:tcBorders>
            <w:shd w:val="clear" w:color="auto" w:fill="DBDBDB"/>
          </w:tcPr>
          <w:p>
            <w:pPr>
              <w:spacing w:after="0"/>
              <w:rPr>
                <w:sz w:val="14"/>
                <w:szCs w:val="14"/>
                <w:color w:val="auto"/>
              </w:rPr>
            </w:pP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short-term borrowings</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1,671,964</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1,671,964</w:t>
            </w:r>
          </w:p>
        </w:tc>
        <w:tc>
          <w:tcPr>
            <w:tcW w:w="1260" w:type="dxa"/>
            <w:vAlign w:val="bottom"/>
          </w:tcPr>
          <w:p>
            <w:pPr>
              <w:spacing w:after="0"/>
              <w:rPr>
                <w:sz w:val="15"/>
                <w:szCs w:val="15"/>
                <w:color w:val="auto"/>
              </w:rPr>
            </w:pPr>
          </w:p>
        </w:tc>
      </w:tr>
      <w:tr>
        <w:trPr>
          <w:trHeight w:val="29"/>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2"/>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color w:val="auto"/>
              </w:rPr>
              <w:t>Principal repayments of short-term borrowings</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color w:val="auto"/>
              </w:rPr>
              <w:t>(598,953)</w:t>
            </w:r>
          </w:p>
        </w:tc>
        <w:tc>
          <w:tcPr>
            <w:tcW w:w="460" w:type="dxa"/>
            <w:vAlign w:val="bottom"/>
            <w:tcBorders>
              <w:bottom w:val="single" w:sz="8" w:color="DBDBDB"/>
            </w:tcBorders>
            <w:shd w:val="clear" w:color="auto" w:fill="DBDBDB"/>
          </w:tcPr>
          <w:p>
            <w:pPr>
              <w:spacing w:after="0"/>
              <w:rPr>
                <w:sz w:val="16"/>
                <w:szCs w:val="16"/>
                <w:color w:val="auto"/>
              </w:rPr>
            </w:pP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bottom w:val="single" w:sz="8" w:color="DBDBDB"/>
            </w:tcBorders>
            <w:shd w:val="clear" w:color="auto" w:fill="DBDBDB"/>
          </w:tcPr>
          <w:p>
            <w:pPr>
              <w:spacing w:after="0"/>
              <w:rPr>
                <w:sz w:val="16"/>
                <w:szCs w:val="16"/>
                <w:color w:val="auto"/>
              </w:rPr>
            </w:pP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color w:val="auto"/>
              </w:rPr>
              <w:t>(598,953)</w:t>
            </w:r>
          </w:p>
        </w:tc>
        <w:tc>
          <w:tcPr>
            <w:tcW w:w="1260" w:type="dxa"/>
            <w:vAlign w:val="bottom"/>
            <w:tcBorders>
              <w:bottom w:val="single" w:sz="8" w:color="DBDBDB"/>
            </w:tcBorders>
            <w:shd w:val="clear" w:color="auto" w:fill="DBDBDB"/>
          </w:tcPr>
          <w:p>
            <w:pPr>
              <w:spacing w:after="0"/>
              <w:rPr>
                <w:sz w:val="16"/>
                <w:szCs w:val="16"/>
                <w:color w:val="auto"/>
              </w:rPr>
            </w:pPr>
          </w:p>
        </w:tc>
      </w:tr>
      <w:tr>
        <w:trPr>
          <w:trHeight w:val="18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Principal repayments of lease liabilities</w:t>
            </w:r>
          </w:p>
        </w:tc>
        <w:tc>
          <w:tcPr>
            <w:tcW w:w="380" w:type="dxa"/>
            <w:vAlign w:val="bottom"/>
          </w:tcPr>
          <w:p>
            <w:pPr>
              <w:spacing w:after="0"/>
              <w:rPr>
                <w:sz w:val="15"/>
                <w:szCs w:val="15"/>
                <w:color w:val="auto"/>
              </w:rPr>
            </w:pP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(9,045)</w:t>
            </w:r>
          </w:p>
        </w:tc>
        <w:tc>
          <w:tcPr>
            <w:tcW w:w="4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(2,526)</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(11,571)</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 (iv)</w:t>
            </w:r>
          </w:p>
        </w:tc>
      </w:tr>
      <w:tr>
        <w:trPr>
          <w:trHeight w:val="29"/>
        </w:trPr>
        <w:tc>
          <w:tcPr>
            <w:tcW w:w="62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r>
      <w:tr>
        <w:trPr>
          <w:trHeight w:val="20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provided by financing activities</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1,063,966</w:t>
            </w:r>
          </w:p>
        </w:tc>
        <w:tc>
          <w:tcPr>
            <w:tcW w:w="46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(2,526)</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1,061,440</w:t>
            </w:r>
          </w:p>
        </w:tc>
        <w:tc>
          <w:tcPr>
            <w:tcW w:w="1260" w:type="dxa"/>
            <w:vAlign w:val="bottom"/>
            <w:tcBorders>
              <w:bottom w:val="single" w:sz="8" w:color="DBDBDB"/>
            </w:tcBorders>
            <w:shd w:val="clear" w:color="auto" w:fill="DBDBDB"/>
          </w:tcPr>
          <w:p>
            <w:pPr>
              <w:spacing w:after="0"/>
              <w:rPr>
                <w:sz w:val="17"/>
                <w:szCs w:val="17"/>
                <w:color w:val="auto"/>
              </w:rPr>
            </w:pP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Effect of foreign exchange rate changes on cash and cash equivalents</w:t>
            </w: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(38,603)</w:t>
            </w:r>
          </w:p>
        </w:tc>
        <w:tc>
          <w:tcPr>
            <w:tcW w:w="4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(38,495)</w:t>
            </w: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(i), (ii), (iii), (iv), (v)</w:t>
            </w:r>
          </w:p>
        </w:tc>
      </w:tr>
      <w:tr>
        <w:trPr>
          <w:trHeight w:val="29"/>
        </w:trPr>
        <w:tc>
          <w:tcPr>
            <w:tcW w:w="62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r>
      <w:tr>
        <w:trPr>
          <w:trHeight w:val="20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Net increase in cash and cash equivalents</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83,535</w:t>
            </w:r>
          </w:p>
        </w:tc>
        <w:tc>
          <w:tcPr>
            <w:tcW w:w="46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83,535</w:t>
            </w:r>
          </w:p>
        </w:tc>
        <w:tc>
          <w:tcPr>
            <w:tcW w:w="1260" w:type="dxa"/>
            <w:vAlign w:val="bottom"/>
            <w:tcBorders>
              <w:bottom w:val="single" w:sz="8" w:color="DBDBDB"/>
            </w:tcBorders>
            <w:shd w:val="clear" w:color="auto" w:fill="DBDBDB"/>
          </w:tcPr>
          <w:p>
            <w:pPr>
              <w:spacing w:after="0"/>
              <w:rPr>
                <w:sz w:val="17"/>
                <w:szCs w:val="17"/>
                <w:color w:val="auto"/>
              </w:rPr>
            </w:pPr>
          </w:p>
        </w:tc>
      </w:tr>
      <w:tr>
        <w:trPr>
          <w:trHeight w:val="172"/>
        </w:trPr>
        <w:tc>
          <w:tcPr>
            <w:tcW w:w="6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the beginning of the period</w:t>
            </w:r>
          </w:p>
        </w:tc>
        <w:tc>
          <w:tcPr>
            <w:tcW w:w="3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973,877</w:t>
            </w:r>
          </w:p>
        </w:tc>
        <w:tc>
          <w:tcPr>
            <w:tcW w:w="46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973,877</w:t>
            </w:r>
          </w:p>
        </w:tc>
        <w:tc>
          <w:tcPr>
            <w:tcW w:w="1260" w:type="dxa"/>
            <w:vAlign w:val="bottom"/>
          </w:tcPr>
          <w:p>
            <w:pPr>
              <w:spacing w:after="0"/>
              <w:rPr>
                <w:sz w:val="14"/>
                <w:szCs w:val="14"/>
                <w:color w:val="auto"/>
              </w:rPr>
            </w:pPr>
          </w:p>
        </w:tc>
      </w:tr>
      <w:tr>
        <w:trPr>
          <w:trHeight w:val="29"/>
        </w:trPr>
        <w:tc>
          <w:tcPr>
            <w:tcW w:w="62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60" w:type="dxa"/>
            <w:vAlign w:val="bottom"/>
            <w:tcBorders>
              <w:bottom w:val="single" w:sz="8" w:color="DBDBDB"/>
            </w:tcBorders>
          </w:tcPr>
          <w:p>
            <w:pPr>
              <w:spacing w:after="0"/>
              <w:rPr>
                <w:sz w:val="2"/>
                <w:szCs w:val="2"/>
                <w:color w:val="auto"/>
              </w:rPr>
            </w:pPr>
          </w:p>
        </w:tc>
      </w:tr>
      <w:tr>
        <w:trPr>
          <w:trHeight w:val="181"/>
        </w:trPr>
        <w:tc>
          <w:tcPr>
            <w:tcW w:w="6280" w:type="dxa"/>
            <w:vAlign w:val="bottom"/>
            <w:tcBorders>
              <w:bottom w:val="single" w:sz="8" w:color="DBDBDB"/>
            </w:tcBorders>
            <w:shd w:val="clear" w:color="auto" w:fill="DBDBDB"/>
          </w:tcPr>
          <w:p>
            <w:pPr>
              <w:spacing w:after="0"/>
              <w:rPr>
                <w:sz w:val="20"/>
                <w:szCs w:val="20"/>
                <w:color w:val="auto"/>
              </w:rPr>
            </w:pPr>
            <w:r>
              <w:rPr>
                <w:rFonts w:ascii="Times New Roman" w:cs="Times New Roman" w:eastAsia="Times New Roman" w:hAnsi="Times New Roman"/>
                <w:sz w:val="13"/>
                <w:szCs w:val="13"/>
                <w:b w:val="1"/>
                <w:bCs w:val="1"/>
                <w:color w:val="auto"/>
              </w:rPr>
              <w:t>Cash and cash equivalents at the end of the period</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DBDBDB"/>
            </w:tcBorders>
            <w:shd w:val="clear" w:color="auto" w:fill="DBDBDB"/>
          </w:tcPr>
          <w:p>
            <w:pPr>
              <w:jc w:val="right"/>
              <w:ind w:right="16"/>
              <w:spacing w:after="0"/>
              <w:rPr>
                <w:sz w:val="20"/>
                <w:szCs w:val="20"/>
                <w:color w:val="auto"/>
              </w:rPr>
            </w:pPr>
            <w:r>
              <w:rPr>
                <w:rFonts w:ascii="Times New Roman" w:cs="Times New Roman" w:eastAsia="Times New Roman" w:hAnsi="Times New Roman"/>
                <w:sz w:val="13"/>
                <w:szCs w:val="13"/>
                <w:b w:val="1"/>
                <w:bCs w:val="1"/>
                <w:color w:val="auto"/>
              </w:rPr>
              <w:t>1,057,412</w:t>
            </w:r>
          </w:p>
        </w:tc>
        <w:tc>
          <w:tcPr>
            <w:tcW w:w="460" w:type="dxa"/>
            <w:vAlign w:val="bottom"/>
            <w:tcBorders>
              <w:bottom w:val="single" w:sz="8" w:color="DBDBDB"/>
            </w:tcBorders>
            <w:shd w:val="clear" w:color="auto" w:fill="DBDBDB"/>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bottom w:val="single" w:sz="8" w:color="DBDBDB"/>
            </w:tcBorders>
            <w:shd w:val="clear" w:color="auto" w:fill="DBDBDB"/>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3"/>
                <w:szCs w:val="13"/>
                <w:b w:val="1"/>
                <w:bCs w:val="1"/>
                <w:color w:val="auto"/>
              </w:rPr>
              <w:t>1,057,412</w:t>
            </w:r>
          </w:p>
        </w:tc>
        <w:tc>
          <w:tcPr>
            <w:tcW w:w="1260" w:type="dxa"/>
            <w:vAlign w:val="bottom"/>
            <w:tcBorders>
              <w:bottom w:val="single" w:sz="8" w:color="DBDBDB"/>
            </w:tcBorders>
            <w:shd w:val="clear" w:color="auto" w:fill="DBDBDB"/>
          </w:tcPr>
          <w:p>
            <w:pPr>
              <w:spacing w:after="0"/>
              <w:rPr>
                <w:sz w:val="15"/>
                <w:szCs w:val="15"/>
                <w:color w:val="auto"/>
              </w:rPr>
            </w:pPr>
          </w:p>
        </w:tc>
      </w:tr>
      <w:tr>
        <w:trPr>
          <w:trHeight w:val="20"/>
        </w:trPr>
        <w:tc>
          <w:tcPr>
            <w:tcW w:w="6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F-28</w:t>
      </w:r>
    </w:p>
    <w:sectPr>
      <w:pgSz w:w="11900" w:h="16838" w:orient="portrait"/>
      <w:cols w:equalWidth="0" w:num="1">
        <w:col w:w="11300"/>
      </w:cols>
      <w:pgMar w:left="300" w:top="12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9"/>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2024-09-30T15:46:58Z</dcterms:created>
  <dcterms:modified xsi:type="dcterms:W3CDTF">2024-09-30T15:46:58Z</dcterms:modified>
</cp:coreProperties>
</file>