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October 7, 2024, Polestar Automotive Holding UK PLC (“Polestar”) held its 2024 annual general meeting of shareholders (the “AGM”). At the AGM, 2,336,668,466 votes of the Company’s shares, which may be represented by American Depositary Shares (“ADSs”), were represented in person or by proxy, constituting a quorum.</w:t>
      </w:r>
    </w:p>
    <w:p>
      <w:pPr>
        <w:spacing w:after="0" w:line="176"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Voting at the AGM was conducted by way of a poll, with each Class A ordinary share, Class C-1 ordinary share and Class C-2 ordinary share, which may be represented by ADSs, issued and outstanding as of the close of business on the record date entitled to one (1) vote, and each Class B ordinary share, which may be represented by ADSs, issued and outstanding as of the close of business on the record date, entitled to ten (10) votes, respectively, on each resolution at the AGM.</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AGM, with resolutions 1 to 11 being ordinary resolutions that required more than 50% of shareholders’ votes to be cast in favor and resolution 12 being a special resolution that required at least 75% of shareholders’ votes to be cast in favor: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762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76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0" w:type="dxa"/>
            <w:vAlign w:val="bottom"/>
          </w:tcPr>
          <w:p>
            <w:pPr>
              <w:spacing w:after="0"/>
              <w:rPr>
                <w:sz w:val="1"/>
                <w:szCs w:val="1"/>
                <w:color w:val="auto"/>
              </w:rPr>
            </w:pPr>
          </w:p>
        </w:tc>
      </w:tr>
      <w:tr>
        <w:trPr>
          <w:trHeight w:val="191"/>
        </w:trPr>
        <w:tc>
          <w:tcPr>
            <w:tcW w:w="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50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receive the Company’s annual report and audited financial statements for the period ended</w:t>
            </w:r>
          </w:p>
        </w:tc>
        <w:tc>
          <w:tcPr>
            <w:tcW w:w="120" w:type="dxa"/>
            <w:vAlign w:val="bottom"/>
          </w:tcPr>
          <w:p>
            <w:pPr>
              <w:spacing w:after="0"/>
              <w:rPr>
                <w:sz w:val="16"/>
                <w:szCs w:val="16"/>
                <w:color w:val="auto"/>
              </w:rPr>
            </w:pPr>
          </w:p>
        </w:tc>
        <w:tc>
          <w:tcPr>
            <w:tcW w:w="108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6"/>
              </w:rPr>
              <w:t>2,336,332,983</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111,658</w:t>
            </w:r>
          </w:p>
        </w:tc>
        <w:tc>
          <w:tcPr>
            <w:tcW w:w="16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223,825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December 2023.</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receive and approve the Directors’ Remuneration Report for the period ended 31 December 2023.</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2,308,484,684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334,343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27,849,439</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re-elect Dr. Karl-Thomas Neumann as a Director.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2,335,608,408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695,219</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364,839</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re-elect Prof. Dr. hc Winfried Vahland as a Director.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2,335,678,183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633,221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357,062</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elect Ms. Francesca Gamboni as a Director.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2,335,727,597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575,004</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365,865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elect Ms. Christine Gorjanc as a Director.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2,335,700,733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600,181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367,552</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elect Prof. Xiaojie (“Laura”) Shen as a Director.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2,335,672,533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634,425</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361,508</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approve a new cash compensation level of USD 500,000 per annum for the Chair of the Board of</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2,317,757,830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3,019,266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15,891,370</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approve an increase in the cash compensation of the Audit Committee to USD 30,000 per annum</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2,319,169,356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1,805,072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15,694,038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 the Audit Committee Chair and USD 15,000 per annum for the members of the Audit Committee,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with retroactive effect from 1 January 2024.</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appoint Deloitte LLP and Deloitte AB (together the “Auditor”) as auditor of the Company, to hold</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2,320,735,534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388,855</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15,544,077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from the conclusion of this meeting until the conclusion of the next annual general meeting of</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Company at which the Company’s financial statements are laid before the shareholders.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authorise the Audit Committee to determine the remuneration of the Auditor.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2,335,634,372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642,248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391,846</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authorise the calling of general meetings of the Company (not being an annual general meeting) by</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2,335,712,623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727,449</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228,394</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at least 14 clear days.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750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 w:name="page3"/>
    <w:bookmarkEnd w:id="2"/>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foregoing votes, the shareholders approved all of the proposals. The results were in line with the recommendations made by Polestar’s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the AGM, Polestar had the following shares in issue with a total of 2,584,387,712 voting rights: (i) 2,060,461,997</w:t>
      </w:r>
    </w:p>
    <w:p>
      <w:pPr>
        <w:spacing w:after="0" w:line="27"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color w:val="auto"/>
        </w:rPr>
        <w:t>Class A Ordinary shares each carrying one vote per share; (ii) 49,892,575 Class B Ordinary shares each carrying ten votes per share; (iii) 20,499,965 Class C-1 Ordinary shares each carrying one vote per share; and (iv) 4,500,000 Class C-2 Ordinary shares each carrying one vote per share.</w:t>
      </w:r>
    </w:p>
    <w:p>
      <w:pPr>
        <w:spacing w:after="0" w:line="15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the AGM Polestar held no ordinary shares in treasury. A vote withheld is not counted in the calculation of the votes for or against a resolution. Votes ‘For’ include those votes giving Polestar’s Chairman discretion.</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0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70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700" w:type="dxa"/>
            <w:vAlign w:val="bottom"/>
          </w:tcPr>
          <w:p>
            <w:pPr>
              <w:jc w:val="right"/>
              <w:ind w:right="531"/>
              <w:spacing w:after="0"/>
              <w:rPr>
                <w:sz w:val="20"/>
                <w:szCs w:val="20"/>
                <w:color w:val="auto"/>
              </w:rPr>
            </w:pPr>
            <w:r>
              <w:rPr>
                <w:rFonts w:ascii="Times New Roman" w:cs="Times New Roman" w:eastAsia="Times New Roman" w:hAnsi="Times New Roman"/>
                <w:sz w:val="17"/>
                <w:szCs w:val="17"/>
                <w:color w:val="auto"/>
                <w:w w:val="70"/>
              </w:rPr>
              <w:t>4</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2024-10-07T16:17:38Z</dcterms:created>
  <dcterms:modified xsi:type="dcterms:W3CDTF">2024-10-07T16:17:38Z</dcterms:modified>
</cp:coreProperties>
</file>