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6566d1_6k.htm"/>
      <w:bookmarkStart w:id="1" w:name="kstm266566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001-41431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Polestar Automotive Holding UK PLC</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Assar Gabrielssons Väg 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405 31 Göteborg, Sweden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101(b)(1):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submitting the Form 6-K in paper as permitted by Regulation S-T Rule 101(b)(7):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CONTAINED IN THIS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Press Release and Video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18, 2026, Polestar Automotive Holding UK PLC (the "Company") issued a press release providing an update on certain strategy and business matters. A copy of the press release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Also, on February 18, 2026, Polestar released a video with panel discussions on strategy and business matters that was followed by a questions and answers session, which is available on the Polestar Investor Relations website: </w:t>
      </w:r>
      <w:r>
        <w:rPr>
          <w:rFonts w:ascii="Times New Roman;Times;Serif" w:hAnsi="Times New Roman;Times;Serif"/>
          <w:b w:val="false"/>
          <w:i w:val="false"/>
          <w:caps w:val="false"/>
          <w:smallCaps w:val="false"/>
          <w:sz w:val="20"/>
          <w:u w:val="single"/>
        </w:rPr>
        <w:t>https://investors.polestar.com/news-events/events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99.1 to this Report on Form 6-K shall not be deemed “filed” for purposes of Section 18 of the Securities Exchange Act of 1934 (the “Exchange Act”) or otherwise subject to the liabilities of that section, nor shall they be deemed incorporated by reference in any filing under the Securities Act of 1933 or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in Polestar’s Certifying Accountant Effective June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(the "Audit Committee") of the Board of Directors of the Company has recommended that the Company change its independent registered public accounting firm to PricewaterhouseCoopers (“PwC”), which will be effective following approval at the Company’s next Annual General Meeting (“AGM”), which is anticipated in June of 2026.  Following such approval, PwC will be the Company’s independent registered public accounting firm for the fiscal year ending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determined that the Company’s current independent auditor, Deloitte AB ("Deloitte"), will continue as its independent registered public accounting firm through the completion of Deloitte's audit of the Company's consolidated financial statements for the fiscal year ended December 31, 2025 and Deloitte's audit of the Company's internal control over financial reporting as of December 31, 2025 (including the filing of the Company’s Form 20-F with the SEC) and until PwC’s appointment is approved and ratified by shareholders at the next AGM for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auditor change will be included in our Form 20-F for the year 2025, which will be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995"/>
        <w:gridCol w:w="663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6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Exhibit</w:t>
            </w:r>
          </w:p>
        </w:tc>
      </w:tr>
      <w:tr>
        <w:trPr/>
        <w:tc>
          <w:tcPr>
            <w:tcW w:w="995" w:type="dxa"/>
            <w:tcBorders/>
            <w:vAlign w:val="center"/>
          </w:tcPr>
          <w:p>
            <w:pPr>
              <w:pStyle w:val="TableContents"/>
              <w:bidi w:val="0"/>
              <w:spacing w:before="0" w:after="283"/>
              <w:jc w:val="left"/>
              <w:rPr/>
            </w:pPr>
            <w:r>
              <w:rPr/>
              <w:t> </w:t>
            </w:r>
          </w:p>
        </w:tc>
        <w:tc>
          <w:tcPr>
            <w:tcW w:w="6635"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left"/>
              <w:rPr/>
            </w:pPr>
            <w:hyperlink w:anchor="tm266566d1_ex99-1.htm">
              <w:r>
                <w:rPr>
                  <w:rStyle w:val="InternetLink"/>
                  <w:rFonts w:ascii="Times New Roman;Times;Serif" w:hAnsi="Times New Roman;Times;Serif"/>
                  <w:sz w:val="20"/>
                </w:rPr>
                <w:t>99.1</w:t>
              </w:r>
            </w:hyperlink>
          </w:p>
        </w:tc>
        <w:tc>
          <w:tcPr>
            <w:tcW w:w="6635" w:type="dxa"/>
            <w:tcBorders/>
            <w:vAlign w:val="center"/>
          </w:tcPr>
          <w:p>
            <w:pPr>
              <w:pStyle w:val="TableContents"/>
              <w:bidi w:val="0"/>
              <w:spacing w:before="0" w:after="283"/>
              <w:jc w:val="left"/>
              <w:rPr/>
            </w:pPr>
            <w:hyperlink w:anchor="tm266566d1_ex99-1.htm">
              <w:r>
                <w:rPr>
                  <w:rStyle w:val="InternetLink"/>
                  <w:rFonts w:ascii="Times New Roman;Times;Serif" w:hAnsi="Times New Roman;Times;Serif"/>
                  <w:sz w:val="20"/>
                </w:rPr>
                <w:t xml:space="preserve">Press Release of Polestar Automotive Holding UK PLC, dated February 18, 2026. </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234" w:type="dxa"/>
        <w:jc w:val="left"/>
        <w:tblInd w:w="0" w:type="dxa"/>
        <w:tblLayout w:type="fixed"/>
        <w:tblCellMar>
          <w:top w:w="0" w:type="dxa"/>
          <w:left w:w="0" w:type="dxa"/>
          <w:bottom w:w="0" w:type="dxa"/>
          <w:right w:w="0" w:type="dxa"/>
        </w:tblCellMar>
      </w:tblPr>
      <w:tblGrid>
        <w:gridCol w:w="2000"/>
        <w:gridCol w:w="828"/>
        <w:gridCol w:w="3406"/>
      </w:tblGrid>
      <w:tr>
        <w:trPr/>
        <w:tc>
          <w:tcPr>
            <w:tcW w:w="2000" w:type="dxa"/>
            <w:tcBorders/>
            <w:vAlign w:val="center"/>
          </w:tcPr>
          <w:p>
            <w:pPr>
              <w:pStyle w:val="TableContents"/>
              <w:bidi w:val="0"/>
              <w:spacing w:before="0" w:after="283"/>
              <w:jc w:val="left"/>
              <w:rPr/>
            </w:pPr>
            <w:r>
              <w:rPr/>
              <w:t> </w:t>
            </w:r>
          </w:p>
        </w:tc>
        <w:tc>
          <w:tcPr>
            <w:tcW w:w="42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POLESTAR AUTOMOTIVE HOLDING UK PLC</w:t>
            </w:r>
          </w:p>
        </w:tc>
      </w:tr>
      <w:tr>
        <w:trPr/>
        <w:tc>
          <w:tcPr>
            <w:tcW w:w="200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340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February 18, 2026</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6" w:type="dxa"/>
            <w:tcBorders>
              <w:bottom w:val="single" w:sz="8" w:space="0" w:color="000000"/>
            </w:tcBorders>
            <w:tcMar>
              <w:bottom w:w="28" w:type="dxa"/>
            </w:tcMar>
            <w:vAlign w:val="center"/>
          </w:tcPr>
          <w:p>
            <w:pPr>
              <w:pStyle w:val="TableContents"/>
              <w:bidi w:val="0"/>
              <w:spacing w:before="0" w:after="283"/>
              <w:jc w:val="left"/>
              <w:rPr/>
            </w:pPr>
            <w:r>
              <w:rPr/>
              <w:t>/s/ Michael Lohscheller</w:t>
            </w:r>
          </w:p>
        </w:tc>
      </w:tr>
      <w:tr>
        <w:trPr/>
        <w:tc>
          <w:tcPr>
            <w:tcW w:w="200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Lohscheller</w:t>
            </w:r>
          </w:p>
        </w:tc>
      </w:tr>
      <w:tr>
        <w:trPr/>
        <w:tc>
          <w:tcPr>
            <w:tcW w:w="200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200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pPr>
            <w:r>
              <w:rPr/>
              <w:t> </w:t>
            </w:r>
          </w:p>
        </w:tc>
        <w:tc>
          <w:tcPr>
            <w:tcW w:w="3406"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February 18, 2026</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406" w:type="dxa"/>
            <w:tcBorders>
              <w:bottom w:val="single" w:sz="8" w:space="0" w:color="000000"/>
            </w:tcBorders>
            <w:tcMar>
              <w:bottom w:w="28" w:type="dxa"/>
            </w:tcMar>
            <w:vAlign w:val="center"/>
          </w:tcPr>
          <w:p>
            <w:pPr>
              <w:pStyle w:val="TableContents"/>
              <w:bidi w:val="0"/>
              <w:spacing w:before="0" w:after="283"/>
              <w:jc w:val="left"/>
              <w:rPr/>
            </w:pPr>
            <w:r>
              <w:rPr/>
              <w:t>/s/ Jean-François Mady</w:t>
            </w:r>
          </w:p>
        </w:tc>
      </w:tr>
      <w:tr>
        <w:trPr/>
        <w:tc>
          <w:tcPr>
            <w:tcW w:w="200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Jean-François Mady</w:t>
            </w:r>
          </w:p>
        </w:tc>
      </w:tr>
      <w:tr>
        <w:trPr/>
        <w:tc>
          <w:tcPr>
            <w:tcW w:w="2000" w:type="dxa"/>
            <w:tcBorders/>
            <w:vAlign w:val="center"/>
          </w:tcPr>
          <w:p>
            <w:pPr>
              <w:pStyle w:val="TableContents"/>
              <w:bidi w:val="0"/>
              <w:spacing w:before="0" w:after="283"/>
              <w:jc w:val="left"/>
              <w:rPr/>
            </w:pPr>
            <w:r>
              <w:rPr/>
              <w:t> </w:t>
            </w:r>
          </w:p>
        </w:tc>
        <w:tc>
          <w:tcPr>
            <w:tcW w:w="8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40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 w:name="tm266566d1_ex99-1.htm"/>
      <w:bookmarkStart w:id="3" w:name="kstm266566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0001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00125" cy="2762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Polestar starts largest model offensive in its history: four new cars in three years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08"/>
        <w:gridCol w:w="10055"/>
      </w:tblGrid>
      <w:tr>
        <w:trPr/>
        <w:tc>
          <w:tcPr>
            <w:tcW w:w="42"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Polestar 5 to start deliveries in summer, followed by a new variant of Polestar 4 in Q4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05"/>
        <w:gridCol w:w="10059"/>
      </w:tblGrid>
      <w:tr>
        <w:trPr/>
        <w:tc>
          <w:tcPr>
            <w:tcW w:w="41"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Completely new successor of the iconic Polestar 2 in 2027 and compact SUV Polestar 7 in 2028</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Michael Lohscheller, Polestar CEO: “Polestar continues to challenge the automotive industry, now by entering fast-growing and high value segments in record speed.”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GOTHENBURG, SWEDEN – 18 February 2026. </w:t>
      </w:r>
      <w:r>
        <w:rPr>
          <w:rFonts w:ascii="Times New Roman;Times;Serif" w:hAnsi="Times New Roman;Times;Serif"/>
          <w:b w:val="false"/>
          <w:i w:val="false"/>
          <w:caps w:val="false"/>
          <w:smallCaps w:val="false"/>
          <w:sz w:val="20"/>
        </w:rPr>
        <w:t>Polestar (Nasdaq: PSNY) today announced the largest model offensive in its history, with four new cars planned in the next three years. The Company also announced that with a disciplined approach, in 2026 it expects low double-digit volume growth and a continued retail network expansion of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2028, Polestar plans to bring the following four new models to the market: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i/>
              </w:rPr>
              <w:t>Polestar 5</w:t>
            </w:r>
            <w:r>
              <w:rPr>
                <w:rFonts w:ascii="Times New Roman;Times;Serif" w:hAnsi="Times New Roman;Times;Serif"/>
              </w:rPr>
              <w:t xml:space="preserve"> – the four-door Grand Tourer (GT) presented in 2025, with deliveries expected from summer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i/>
              </w:rPr>
              <w:t>Polestar 4</w:t>
            </w:r>
            <w:r>
              <w:rPr>
                <w:rFonts w:ascii="Times New Roman;Times;Serif" w:hAnsi="Times New Roman;Times;Serif"/>
              </w:rPr>
              <w:t xml:space="preserve"> – a new variant of Polestar’s current best-seller based on same great technology, targeting a wider customer base by offering more versatility. To be launched later this year, with deliveries expected to start in the fourth quarter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i/>
              </w:rPr>
              <w:t>Polestar 2</w:t>
            </w:r>
            <w:r>
              <w:rPr>
                <w:rFonts w:ascii="Times New Roman;Times;Serif" w:hAnsi="Times New Roman;Times;Serif"/>
              </w:rPr>
              <w:t xml:space="preserve"> – the next generation of the sedan that built Polestar’s brand, a completely new successor with a planned launch early in 2027.</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35"/>
        <w:gridCol w:w="10017"/>
      </w:tblGrid>
      <w:tr>
        <w:trPr/>
        <w:tc>
          <w:tcPr>
            <w:tcW w:w="5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i/>
              </w:rPr>
              <w:t>Polestar 7</w:t>
            </w:r>
            <w:r>
              <w:rPr>
                <w:rFonts w:ascii="Times New Roman;Times;Serif" w:hAnsi="Times New Roman;Times;Serif"/>
              </w:rPr>
              <w:t xml:space="preserve"> – the compact, premium SUV, planned to be launched in 2028.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Lohscheller, Polestar CEO, says: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Following our best sales year ever, we are now launching the largest model offensive in our history, with four premium EVs coming to market within three years. We are targeting the heart of the EV market, where customer demand and profit pools are high. Combined with our continued retail sales network expansion and a growing customer base, we are setting the foundations for profitable growth and operational improvement.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Polestar 5 is our brand halo car, bringing a new level of performance and luxury to the grand-tourer segment. With incredible handling and a lightweight bonded aluminium platform, the four-door GT has already received fantastic reviews, as part of its launch tour across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Polestar 4 coupé is our current best-seller. Already by the end of this year, we will launch a new variant of Polestar 4, based on the same great technology. With this car, Polestar will once again set new standards. Sweden is famous for its estate cars, and its SUVs are world-class. We are combining the space of an estate and the versatility of an SUV with the dynamic performance that is Polestar.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Polestar 2 is the foundation of our brand, with over 190,000 cars sold and an enthusiastic community of customers. Bringing the next generation of this iconic car in record speed, by the start of next year, is very exciting. The car that we became known for will play a key role of our future success.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With Polestar 7 we are entering the largest EV segment in Europe, the compact SUV segment, which accounts for approximately one-third of total BEV volumes in 2025. We are convinced that we can offer customers a progressive performance-driven car for a very attractive price point, built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2025 was a year of continuous operational progress and delivery. With our attractive model line-up, strong shareholder support and partners with access to the latest technology, Polestar is set to become one of the winners of the automotive industry’s transformation.”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a challenging geopolitical and economic environment, Polestar delivered its best year ever in terms of retail sales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2026, with a disciplined approach, the Company expects to deliver low double-digit retail volume growth. The sales mix is expected to continue to evolve with an increasing share of Polestar 4. Further, the Company aims to focus more on the retail channel, supported by the continued expansion of the network and its attractive model line-up, to drive quality sales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guidance will be provided in conjunction with the publication of Polestar’s full-year results for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Webcast strategy update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hosting a webcast strategy update today, 18 February, at 13:00 CET. To join the event, please visit the Polestar Investor Relations website: https://investors.polestar.com/.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Contacts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Anna Gavrilova</w:t>
        <w:br/>
        <w:t>Head of Investor Relations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anna.gavrilova@polestar.com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Theo Kjellberg</w:t>
        <w:br/>
        <w:t>Head of Corporate Communication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theo.kjellberg@polestar.com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About Polestar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and the loan conversion.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 (4) 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 (10) 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in Israel, the Gaza Strip and the Red Sea; and (23) the impact of the ongoing conflict between Ukraine and Russia and in Israel, the Gaza Strip and the Red Sea; and (24)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2249</Words>
  <Characters>12642</Characters>
  <CharactersWithSpaces>14937</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