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On July 2, 2024, Polestar Automotive Holding UK PLC (“Polestar”) issued a press release containing its preliminary unaudited financial and operational results for the fiscal quarter ended March 31, 2024 as well as its global deliveries for the fiscal quarter ended June 30, 2024. A copy of the press release is attached hereto as Exhibit 99.1.</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20"/>
          </w:cols>
          <w:pgMar w:left="440" w:top="266"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4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460" w:type="dxa"/>
            <w:vAlign w:val="bottom"/>
            <w:gridSpan w:val="2"/>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July 2, 2024</w:t>
            </w:r>
          </w:p>
        </w:tc>
      </w:tr>
      <w:tr>
        <w:trPr>
          <w:trHeight w:val="20"/>
        </w:trPr>
        <w:tc>
          <w:tcPr>
            <w:tcW w:w="1460" w:type="dxa"/>
            <w:vAlign w:val="bottom"/>
          </w:tcPr>
          <w:p>
            <w:pPr>
              <w:spacing w:after="0" w:line="20" w:lineRule="exact"/>
              <w:rPr>
                <w:sz w:val="1"/>
                <w:szCs w:val="1"/>
                <w:color w:val="auto"/>
              </w:rPr>
            </w:pPr>
          </w:p>
        </w:tc>
        <w:tc>
          <w:tcPr>
            <w:tcW w:w="5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2024</w:t>
            </w: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420" w:type="dxa"/>
            <w:vAlign w:val="bottom"/>
          </w:tcPr>
          <w:p>
            <w:pPr>
              <w:spacing w:after="0"/>
              <w:rPr>
                <w:sz w:val="17"/>
                <w:szCs w:val="17"/>
                <w:color w:val="auto"/>
              </w:rPr>
            </w:pPr>
          </w:p>
        </w:tc>
        <w:tc>
          <w:tcPr>
            <w:tcW w:w="274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42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2024</w:t>
            </w: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3420" w:type="dxa"/>
            <w:vAlign w:val="bottom"/>
          </w:tcPr>
          <w:p>
            <w:pPr>
              <w:spacing w:after="0"/>
              <w:rPr>
                <w:sz w:val="17"/>
                <w:szCs w:val="17"/>
                <w:color w:val="auto"/>
              </w:rPr>
            </w:pPr>
          </w:p>
        </w:tc>
        <w:tc>
          <w:tcPr>
            <w:tcW w:w="274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42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829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publishes results for the first quarter and reports 80% growth in global deliveries for the second quarter</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7,200 cars delivered in Q1 2024; cash and cash equivalents of USD 784 million as of March 31,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20,200 cars delivered year to date, with Q2 2024 up 80% compared to Q1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retail model, geographic expansion, growing line-up and sales organisation changes driving future sales growth</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staff reductions completed, resulting in 15% fewer positions, in addition to 10% reduction in 2023</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2 July 2024. </w:t>
      </w:r>
      <w:r>
        <w:rPr>
          <w:rFonts w:ascii="Times New Roman" w:cs="Times New Roman" w:eastAsia="Times New Roman" w:hAnsi="Times New Roman"/>
          <w:sz w:val="18"/>
          <w:szCs w:val="18"/>
          <w:color w:val="auto"/>
        </w:rPr>
        <w:t>Polestar (Nasdaq: PSNY), reports its preliminary unaudited financial and operational results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2024 and reports its global deliveries for the second quarter of 2024.</w:t>
      </w:r>
    </w:p>
    <w:p>
      <w:pPr>
        <w:spacing w:after="0" w:line="159"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Polestar delivered approximately 13,000 cars in the second quarter, a growth of 80% compared to the previous quarter. This takes global deliveries for the first six months of the year to 20,200 with USA, Sweden, Norway and Germany delivering a strong momentum.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Ingenlath, Polestar CEO, said:</w:t>
      </w:r>
    </w:p>
    <w:p>
      <w:pPr>
        <w:spacing w:after="0" w:line="11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have strong momentum as we enter the second half of the year. Our two new SUV’s have received stellar reviews from the global media and first test drive slots were booked out and additional slots are filling up fast. Our retail sales model shift is accelerating in Europe and we have strengthened our sales management team.</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Production of Polestar 3 in South Carolina is on-track to start at end of the summer and production of Polestar 4 is set to start in South Korea in the second half of 2025, diversifying our manufacturing footprint and mitigating impacts of the announced tariffs.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expect strong revenue improvement in the second quarter and are confident about our business performance in the latter part of the year. Looking further ahead, our model expansion and increased market presence – with seven new market launches to come in 2025 – will be key growth drivers for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5" w:lineRule="exact"/>
        <w:rPr>
          <w:sz w:val="20"/>
          <w:szCs w:val="20"/>
          <w:color w:val="auto"/>
        </w:rPr>
      </w:pPr>
    </w:p>
    <w:p>
      <w:pPr>
        <w:ind w:left="960" w:right="2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Board of Directors has appointed Winfried Vahland Board Chair, succeeding Håkan Samuelsson who intends to retire after the upcoming AGM.</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is further strengthened with the appointment of two additional directors (subject to approval at the upcoming AGM) with Christine Gorjanc and Xiaojie Shen (Laura) bringing significant automotive, finance and reporting expertise.</w:t>
      </w:r>
    </w:p>
    <w:p>
      <w:pPr>
        <w:spacing w:after="0" w:line="67"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Carla De Geyseleer, Audit Committee Chair, has chosen to focus on her executive role and will not stand for re-election as Director. Christine Gorjanc has been proposed as Audit Committee Chair.</w:t>
      </w:r>
    </w:p>
    <w:p>
      <w:pPr>
        <w:spacing w:after="0" w:line="67"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widening its retail footprint with existing and new partners, as part of a shift to a non-genuine agency sales model across Europe. Sweden and Norway switched to a non-genuine agency sales model in June with other key markets set to follow suit in the second half of the year.</w:t>
      </w:r>
    </w:p>
    <w:p>
      <w:pPr>
        <w:sectPr>
          <w:pgSz w:w="11900" w:h="16838" w:orient="portrait"/>
          <w:cols w:equalWidth="0" w:num="1">
            <w:col w:w="11020"/>
          </w:cols>
          <w:pgMar w:left="440" w:top="117" w:right="439" w:bottom="1440" w:gutter="0" w:footer="0" w:header="0"/>
        </w:sectPr>
      </w:pPr>
    </w:p>
    <w:bookmarkStart w:id="5" w:name="page6"/>
    <w:bookmarkEnd w:id="5"/>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9118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91185" cy="128905"/>
                    </a:xfrm>
                    <a:prstGeom prst="rect">
                      <a:avLst/>
                    </a:prstGeom>
                    <a:noFill/>
                  </pic:spPr>
                </pic:pic>
              </a:graphicData>
            </a:graphic>
          </wp:anchor>
        </w:drawing>
        <w:t>Strengthened sales management team with strategic appointments in key markets, driving sales growth with increased market presence.</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geographic expansion plans to enter seven new markets during 2025, France, Czech Republic, Slovakia, Hungary, Poland, Thailand and Brazil via local distribution partnerships.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press drive for Polestar 3 and Polestar 4 has resulted in stellar reviews across key markets.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deliveries of Polestar 3 have started and will ramp-up during the summer.</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reductions announced in January now implemented, resulting in 15% fewer positions, in addition to 10% reduction in summer of 2023.</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supply chain emissions by integrating renewable fuels for ocean freight and inbound component supplies.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and StoreDot successfully charge Polestar 5 prototype from 10-80% in 10 minutes.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and Plugsurfing have launched Polestar Charge, adding over 650,000 compatible Polestar car charging points for our customers.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announced with Zaptec, offering customers home charging solutions as part of their Polestar ownership experience.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Sales momentum seen in the second quarter had a positive impact on inventory levels and cash flow. Polestar remains confident of an even stronger uptick in deliveries through the second half of the year, as sales of the two premium SUVs build.</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Though the business has increasing momentum, there are short-term impacts from the introduction of import duties, alongside continued pricing pressure in global EV markets, including China.</w:t>
      </w:r>
    </w:p>
    <w:p>
      <w:pPr>
        <w:spacing w:after="0" w:line="16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 light of these factors and to meet its target of cash-flow breakeven towards the end of 2025, Polestar is adapting its business plan, including implementing additional mitigating actions, and expects to provide updated guidance later in the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upcoming events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 xml:space="preserve">Polestar management will hold a live audio webcast today 2 July, 2024 at 08:00 US Eastern time (14:00 Central European Summer Time). The live audio webcast will be available at https://investors.polestar.com/events/event-details/q124-results-webcast. Following the completion of the call, a replay will be available at </w:t>
      </w:r>
      <w:r>
        <w:rPr>
          <w:rFonts w:ascii="Times New Roman" w:cs="Times New Roman" w:eastAsia="Times New Roman" w:hAnsi="Times New Roman"/>
          <w:sz w:val="18"/>
          <w:szCs w:val="18"/>
          <w:u w:val="single" w:color="auto"/>
          <w:color w:val="auto"/>
        </w:rPr>
        <w:t>https://investors.polestar.com/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Polestar expects to post its preliminary unaudited financial and operational results for the first six months of the year on Thursday, 29 August 2024, before market open in New York. A live audio webcast is scheduled to start at 08:00 US Eastern Time (14:00 Central European Summer Time). From Thursday, 15 August 2024, verified shareholders will be able to ask questions through the Say Technologies platform accessible via the Polestar investor relations website.</w:t>
      </w:r>
    </w:p>
    <w:p>
      <w:pPr>
        <w:sectPr>
          <w:pgSz w:w="11900" w:h="16838" w:orient="portrait"/>
          <w:cols w:equalWidth="0" w:num="1">
            <w:col w:w="10980"/>
          </w:cols>
          <w:pgMar w:left="440" w:top="6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8293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Key 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summarises key preliminary, unaudited financial results for the three months ended March 31, 2024.</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5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0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Restated</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(376.2)</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(8.9)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(212.1)</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(231.7)</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(219.9)</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960" w:right="5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USD 198.1 million or 36% mainly due to lower global vehicle sales, higher discounts driven by inventory management actions as well as complexities pertaining to revenue recognition on sales of cars to China JV.</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result decreased by USD 54 million to a gross loss of USD 30.8 million with lower vehicle sales and higher discounts.</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slightly down, with active cost management actions offsetting costs for promotional activities related to commercial campaigns and events for Polestar 3 and Polestar 4 global launches.</w:t>
      </w:r>
    </w:p>
    <w:p>
      <w:pPr>
        <w:spacing w:after="0" w:line="67" w:lineRule="exact"/>
        <w:rPr>
          <w:rFonts w:ascii="Times New Roman" w:cs="Times New Roman" w:eastAsia="Times New Roman" w:hAnsi="Times New Roman"/>
          <w:sz w:val="18"/>
          <w:szCs w:val="18"/>
          <w:color w:val="auto"/>
        </w:rPr>
      </w:pPr>
    </w:p>
    <w:p>
      <w:pPr>
        <w:jc w:val="both"/>
        <w:ind w:left="96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decreased by USD 23.9 million or 67% to USD 11.8 million mainly due to higher capitalization of internal development program expenditures for future car models and Polestar 2 IP amortization now being capitalized in inventory. We continue to invest in future vehicles and technologies.</w:t>
      </w:r>
    </w:p>
    <w:p>
      <w:pPr>
        <w:spacing w:after="0" w:line="81"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income increased by USD 16.2 million to USD 23.1 million, primarily due to positive foreign exchange effects on working capital and sales of services to related parties.</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increased by USD 11.8 million or 5%, with lower revenue only partially offset by active cost management actions and higher other operating income.</w:t>
      </w:r>
    </w:p>
    <w:p>
      <w:pPr>
        <w:sectPr>
          <w:pgSz w:w="11900" w:h="16838" w:orient="portrait"/>
          <w:cols w:equalWidth="0" w:num="1">
            <w:col w:w="10760"/>
          </w:cols>
          <w:pgMar w:left="440" w:top="617"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8293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Cash flow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summarises cash flow for the three months ended March 31, 2024.</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2500" w:type="dxa"/>
            <w:vAlign w:val="bottom"/>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51"/>
        </w:trPr>
        <w:tc>
          <w:tcPr>
            <w:tcW w:w="4980" w:type="dxa"/>
            <w:vAlign w:val="bottom"/>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500" w:type="dxa"/>
            <w:vAlign w:val="bottom"/>
          </w:tcPr>
          <w:p>
            <w:pPr>
              <w:jc w:val="center"/>
              <w:ind w:left="916"/>
              <w:spacing w:after="0" w:line="151"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4980" w:type="dxa"/>
            <w:vAlign w:val="bottom"/>
          </w:tcPr>
          <w:p>
            <w:pPr>
              <w:spacing w:after="0"/>
              <w:rPr>
                <w:sz w:val="15"/>
                <w:szCs w:val="15"/>
                <w:color w:val="auto"/>
              </w:rPr>
            </w:pPr>
          </w:p>
        </w:tc>
        <w:tc>
          <w:tcPr>
            <w:tcW w:w="2500" w:type="dxa"/>
            <w:vAlign w:val="bottom"/>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cash</w:t>
            </w:r>
          </w:p>
        </w:tc>
        <w:tc>
          <w:tcPr>
            <w:tcW w:w="2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768.9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2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463.5</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 on cash and cash equivalents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cash</w:t>
            </w:r>
          </w:p>
        </w:tc>
        <w:tc>
          <w:tcPr>
            <w:tcW w:w="250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784.0</w:t>
            </w:r>
          </w:p>
        </w:tc>
      </w:tr>
    </w:tbl>
    <w:p>
      <w:pPr>
        <w:spacing w:after="0" w:line="81" w:lineRule="exact"/>
        <w:rPr>
          <w:sz w:val="20"/>
          <w:szCs w:val="20"/>
          <w:color w:val="auto"/>
        </w:rPr>
      </w:pPr>
    </w:p>
    <w:p>
      <w:pPr>
        <w:ind w:left="9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outflow of USD 229.1 million, mainly driven by net loss adjusted for non-cash expenses and trade payables and partly offset by inventory improvement.</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cash outflow of USD 188.0 million, predominantly driven by higher property, plant and equipment investments as well as intellectual property investments for Polestar 3, Polestar 4 and Polestar 5, as well as USD 24.5 capital injection into China JV.</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cash inflow of USD 463.5 million, with proceeds from USD 950 million club loan facility, partially offset by principal repayments on borrowings and trade financing facilities.</w:t>
      </w:r>
    </w:p>
    <w:p>
      <w:pPr>
        <w:sectPr>
          <w:pgSz w:w="11900" w:h="16838" w:orient="portrait"/>
          <w:cols w:equalWidth="0" w:num="1">
            <w:col w:w="10620"/>
          </w:cols>
          <w:pgMar w:left="440" w:top="617" w:right="83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9118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91185" cy="128905"/>
                    </a:xfrm>
                    <a:prstGeom prst="rect">
                      <a:avLst/>
                    </a:prstGeom>
                    <a:noFill/>
                  </pic:spPr>
                </pic:pic>
              </a:graphicData>
            </a:graphic>
          </wp:anchor>
        </w:drawing>
        <w:t>Preliminary key operational highlights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below table summarises key preliminary operational results as of the three months ended March 31, 2024.</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72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Global volumes</w:t>
            </w:r>
            <w:r>
              <w:rPr>
                <w:rFonts w:ascii="Times New Roman" w:cs="Times New Roman" w:eastAsia="Times New Roman" w:hAnsi="Times New Roman"/>
                <w:sz w:val="25"/>
                <w:szCs w:val="25"/>
                <w:color w:val="auto"/>
                <w:vertAlign w:val="superscript"/>
              </w:rPr>
              <w:t>1</w:t>
            </w:r>
          </w:p>
        </w:tc>
        <w:tc>
          <w:tcPr>
            <w:tcW w:w="7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7,221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including external vehicles with repurchase obligations</w:t>
            </w:r>
          </w:p>
        </w:tc>
        <w:tc>
          <w:tcPr>
            <w:tcW w:w="72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527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including internal vehicles</w:t>
            </w:r>
          </w:p>
        </w:tc>
        <w:tc>
          <w:tcPr>
            <w:tcW w:w="7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166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340"/>
        </w:trPr>
        <w:tc>
          <w:tcPr>
            <w:tcW w:w="672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00" w:type="dxa"/>
            <w:vAlign w:val="bottom"/>
          </w:tcPr>
          <w:p>
            <w:pPr>
              <w:spacing w:after="0"/>
              <w:rPr>
                <w:sz w:val="24"/>
                <w:szCs w:val="24"/>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72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2</w:t>
            </w:r>
          </w:p>
        </w:tc>
        <w:tc>
          <w:tcPr>
            <w:tcW w:w="7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3</w:t>
            </w:r>
          </w:p>
        </w:tc>
        <w:tc>
          <w:tcPr>
            <w:tcW w:w="72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182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Service points</w:t>
            </w:r>
            <w:r>
              <w:rPr>
                <w:rFonts w:ascii="Times New Roman" w:cs="Times New Roman" w:eastAsia="Times New Roman" w:hAnsi="Times New Roman"/>
                <w:sz w:val="25"/>
                <w:szCs w:val="25"/>
                <w:color w:val="auto"/>
                <w:vertAlign w:val="superscript"/>
              </w:rPr>
              <w:t>4</w:t>
            </w:r>
          </w:p>
        </w:tc>
        <w:tc>
          <w:tcPr>
            <w:tcW w:w="7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1,173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70" w:lineRule="auto"/>
        <w:tabs>
          <w:tab w:leader="none" w:pos="4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w:t>
      </w:r>
    </w:p>
    <w:p>
      <w:pPr>
        <w:spacing w:after="0" w:line="2" w:lineRule="exact"/>
        <w:rPr>
          <w:rFonts w:ascii="Times New Roman" w:cs="Times New Roman" w:eastAsia="Times New Roman" w:hAnsi="Times New Roman"/>
          <w:sz w:val="17"/>
          <w:szCs w:val="17"/>
          <w:color w:val="auto"/>
        </w:rPr>
      </w:pPr>
    </w:p>
    <w:p>
      <w:pPr>
        <w:ind w:left="424"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and (b) in accordance with IFRS 15, Revenue from Contracts with Customers, and IFRS 16, Leases, respectively. Revenue is not recognized in scenario (c).</w:t>
      </w: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Centres.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centres to provide access to customer service points worldwide in support of Polestar’s international expansion.</w:t>
      </w:r>
    </w:p>
    <w:p>
      <w:pPr>
        <w:spacing w:after="0" w:line="112" w:lineRule="exact"/>
        <w:rPr>
          <w:sz w:val="20"/>
          <w:szCs w:val="20"/>
          <w:color w:val="auto"/>
        </w:rPr>
      </w:pPr>
    </w:p>
    <w:p>
      <w:pPr>
        <w:ind w:left="964" w:right="200" w:hanging="424"/>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volumes decreased 4,855 to 7,221 cars, with the decline in the USA driven by the lower demand and the absence of Hertz sales. Sales mix improved, with fleet sales declining in favour of increased Retail sales. There was also an increased impact of used cars in our mix as they come into inventory in more meaningful way.</w:t>
      </w:r>
    </w:p>
    <w:p>
      <w:pPr>
        <w:spacing w:after="0" w:line="81" w:lineRule="exact"/>
        <w:rPr>
          <w:rFonts w:ascii="Times New Roman" w:cs="Times New Roman" w:eastAsia="Times New Roman" w:hAnsi="Times New Roman"/>
          <w:sz w:val="18"/>
          <w:szCs w:val="18"/>
          <w:color w:val="auto"/>
        </w:rPr>
      </w:pPr>
    </w:p>
    <w:p>
      <w:pPr>
        <w:ind w:left="964" w:right="34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now has 182 locations and 1,173 service points across its markets, up with 38 and 56 respectively when compared to the three months ended March 31, 2023.</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Ends.</w:t>
      </w:r>
    </w:p>
    <w:p>
      <w:pPr>
        <w:sectPr>
          <w:pgSz w:w="11900" w:h="16838" w:orient="portrait"/>
          <w:cols w:equalWidth="0" w:num="1">
            <w:col w:w="11004"/>
          </w:cols>
          <w:pgMar w:left="436" w:top="617"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9118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91185" cy="12890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tanya.ridd@polestar.com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12598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&amp;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theo.kjellberg@polestar.com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Regarding Preliminary Unaudited Financial and Operational Results</w:t>
      </w:r>
    </w:p>
    <w:p>
      <w:pPr>
        <w:spacing w:after="0" w:line="119"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The unaudited financial and operational information published herein is preliminary and subject to potential adjustments. Potential adjustments to operational and consolidated financial information may be identified from further work performed during subsequent reviews or audits.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73"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gross margin and funding updates.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0980"/>
          </w:cols>
          <w:pgMar w:left="440" w:top="617" w:right="479" w:bottom="1440" w:gutter="0" w:footer="0" w:header="0"/>
        </w:sectPr>
      </w:pPr>
    </w:p>
    <w:bookmarkStart w:id="10" w:name="page11"/>
    <w:bookmarkEnd w:id="10"/>
    <w:p>
      <w:pPr>
        <w:ind w:left="4"/>
        <w:spacing w:after="0" w:line="266"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9118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91185" cy="128905"/>
                    </a:xfrm>
                    <a:prstGeom prst="rect">
                      <a:avLst/>
                    </a:prstGeom>
                    <a:noFill/>
                  </pic:spPr>
                </pic:pic>
              </a:graphicData>
            </a:graphic>
          </wp:anchor>
        </w:drawing>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tariffs and fuel and energy prices;</w:t>
      </w:r>
    </w:p>
    <w:p>
      <w:pPr>
        <w:spacing w:after="0" w:line="10" w:lineRule="exact"/>
        <w:rPr>
          <w:sz w:val="20"/>
          <w:szCs w:val="20"/>
          <w:color w:val="auto"/>
        </w:rPr>
      </w:pPr>
    </w:p>
    <w:p>
      <w:pPr>
        <w:ind w:left="4" w:right="20" w:hanging="4"/>
        <w:spacing w:after="0" w:line="251" w:lineRule="auto"/>
        <w:tabs>
          <w:tab w:leader="none" w:pos="33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 market new products; (18) risks related to future market adoption of Polestar’s offerings; (19) risks related to Polestar’s distribution model; (20) inflation, interest rate changes, the ongoing conflict between Ukraine and Russia and in Israel and the Gaza Strip as well as the Red Sea, supply chain disruptions, fuel and energy prices and logistical constraints on Polestar, Polestar’s projected results of operations, financial performance or other financial and operational metrics, or on any of the foregoing risks; (21) Polestar’s ability to forecast demand for its vehicles; (22) Polestar’s ability to raise additional funding; (23) Polestar’s ability to successfully execute cost-cutting activities and strategic efficiency initiatives; (24) the identification of additional accounting errors and/or a final assessment of errors already identified that differs significantly from Polestar’s preliminary view of such errors; and (25)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ectPr>
          <w:pgSz w:w="11900" w:h="16838" w:orient="portrait"/>
          <w:cols w:equalWidth="0" w:num="1">
            <w:col w:w="10964"/>
          </w:cols>
          <w:pgMar w:left="436" w:top="619" w:right="49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9118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91185" cy="128905"/>
                    </a:xfrm>
                    <a:prstGeom prst="rect">
                      <a:avLst/>
                    </a:prstGeom>
                    <a:noFill/>
                  </pic:spPr>
                </pic:pic>
              </a:graphicData>
            </a:graphic>
          </wp:anchor>
        </w:drawing>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ectPr>
          <w:pgSz w:w="11900" w:h="16838" w:orient="portrait"/>
          <w:cols w:equalWidth="0" w:num="1">
            <w:col w:w="10980"/>
          </w:cols>
          <w:pgMar w:left="440" w:top="619"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Appendix 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Unaudited Condensed Consolidated Statement of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CCEEFF"/>
            </w:tcBorders>
          </w:tcPr>
          <w:p>
            <w:pPr>
              <w:spacing w:after="0"/>
              <w:rPr>
                <w:sz w:val="12"/>
                <w:szCs w:val="12"/>
                <w:color w:val="auto"/>
              </w:rPr>
            </w:pPr>
          </w:p>
        </w:tc>
      </w:tr>
      <w:tr>
        <w:trPr>
          <w:trHeight w:val="210"/>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345,347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543,443</w:t>
            </w: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(376,191)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(520,247)</w:t>
            </w:r>
          </w:p>
        </w:tc>
      </w:tr>
      <w:tr>
        <w:trPr>
          <w:trHeight w:val="27"/>
        </w:trPr>
        <w:tc>
          <w:tcPr>
            <w:tcW w:w="9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(30,844)</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23,196</w:t>
            </w: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(212,101)</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(214,196)</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(35,747)</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23,080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6,879</w:t>
            </w:r>
          </w:p>
        </w:tc>
      </w:tr>
      <w:tr>
        <w:trPr>
          <w:trHeight w:val="27"/>
        </w:trPr>
        <w:tc>
          <w:tcPr>
            <w:tcW w:w="9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(231,652)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(219,868)</w:t>
            </w: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(126,654)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(30,200)</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83,104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206,195</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7,250</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loss of affiliated companies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9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(270,992)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(28,093)</w:t>
            </w: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(274,302)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(37,694)</w:t>
            </w:r>
          </w:p>
        </w:tc>
      </w:tr>
      <w:tr>
        <w:trPr>
          <w:trHeight w:val="20"/>
        </w:trPr>
        <w:tc>
          <w:tcPr>
            <w:tcW w:w="9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61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Polestar Automotive Holding UK PLC</w:t>
      </w:r>
    </w:p>
    <w:p>
      <w:pPr>
        <w:spacing w:after="0" w:line="31" w:lineRule="exact"/>
        <w:rPr>
          <w:sz w:val="20"/>
          <w:szCs w:val="20"/>
          <w:color w:val="auto"/>
        </w:rPr>
      </w:pPr>
    </w:p>
    <w:p>
      <w:pPr>
        <w:ind w:right="48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Preliminary Unaudited Condensed Consolidated Statement of Financial Position </w:t>
      </w:r>
      <w:r>
        <w:rPr>
          <w:rFonts w:ascii="Times New Roman" w:cs="Times New Roman" w:eastAsia="Times New Roman" w:hAnsi="Times New Roman"/>
          <w:sz w:val="18"/>
          <w:szCs w:val="18"/>
          <w:color w:val="auto"/>
        </w:rPr>
        <w:t>(in thousands of U.S. dollars unless otherwise stated)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80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1,914,982</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1,872,954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1,861,158</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1</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784,021</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768,927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884,271</w:t>
            </w: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1,240,317</w:t>
            </w: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1,490,226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1,241,238</w:t>
            </w: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2,024,338</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2,259,153</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2,125,509</w:t>
            </w:r>
          </w:p>
        </w:tc>
        <w:tc>
          <w:tcPr>
            <w:tcW w:w="120" w:type="dxa"/>
            <w:vAlign w:val="bottom"/>
          </w:tcPr>
          <w:p>
            <w:pPr>
              <w:spacing w:after="0"/>
              <w:rPr>
                <w:sz w:val="20"/>
                <w:szCs w:val="20"/>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3,939,320</w:t>
            </w: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4,132,107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3,986,667</w:t>
            </w: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(1,542,637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(1,246,128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(128,155)</w:t>
            </w:r>
          </w:p>
        </w:tc>
        <w:tc>
          <w:tcPr>
            <w:tcW w:w="120" w:type="dxa"/>
            <w:vAlign w:val="bottom"/>
          </w:tcPr>
          <w:p>
            <w:pPr>
              <w:spacing w:after="0"/>
              <w:rPr>
                <w:sz w:val="20"/>
                <w:szCs w:val="20"/>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2,683,253</w:t>
            </w:r>
          </w:p>
        </w:tc>
        <w:tc>
          <w:tcPr>
            <w:tcW w:w="20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1,890,387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954,337</w:t>
            </w:r>
          </w:p>
        </w:tc>
      </w:tr>
      <w:tr>
        <w:trPr>
          <w:trHeight w:val="27"/>
        </w:trPr>
        <w:tc>
          <w:tcPr>
            <w:tcW w:w="8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2,798,704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3,487,848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3,160,486</w:t>
            </w: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5,481,957</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5,378,235</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4,114,823</w:t>
            </w:r>
          </w:p>
        </w:tc>
        <w:tc>
          <w:tcPr>
            <w:tcW w:w="120" w:type="dxa"/>
            <w:vAlign w:val="bottom"/>
          </w:tcPr>
          <w:p>
            <w:pPr>
              <w:spacing w:after="0"/>
              <w:rPr>
                <w:sz w:val="20"/>
                <w:szCs w:val="20"/>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3,939,320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4,132,107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3,986,667</w:t>
            </w:r>
          </w:p>
        </w:tc>
      </w:tr>
      <w:tr>
        <w:trPr>
          <w:trHeight w:val="20"/>
        </w:trPr>
        <w:tc>
          <w:tcPr>
            <w:tcW w:w="8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w:t>
        <w:tab/>
        <w:t>Excludes restricted cash</w:t>
      </w:r>
    </w:p>
    <w:p>
      <w:pPr>
        <w:sectPr>
          <w:pgSz w:w="11900" w:h="16838" w:orient="portrait"/>
          <w:cols w:equalWidth="0" w:num="1">
            <w:col w:w="11020"/>
          </w:cols>
          <w:pgMar w:left="440" w:top="617"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Polestar Automotive Holding UK PLC</w:t>
      </w:r>
    </w:p>
    <w:p>
      <w:pPr>
        <w:spacing w:after="0" w:line="31" w:lineRule="exact"/>
        <w:rPr>
          <w:sz w:val="20"/>
          <w:szCs w:val="20"/>
          <w:color w:val="auto"/>
        </w:rPr>
      </w:pPr>
    </w:p>
    <w:p>
      <w:pPr>
        <w:ind w:right="53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Preliminary Unaudited Condensed Consolidated Statement of Cash Flows </w:t>
      </w:r>
      <w:r>
        <w:rPr>
          <w:rFonts w:ascii="Times New Roman" w:cs="Times New Roman" w:eastAsia="Times New Roman" w:hAnsi="Times New Roman"/>
          <w:sz w:val="18"/>
          <w:szCs w:val="18"/>
          <w:color w:val="auto"/>
        </w:rPr>
        <w:t>(in thousands of U.S. dollars unless otherwise stated)</w:t>
      </w:r>
    </w:p>
    <w:p>
      <w:pPr>
        <w:spacing w:after="0" w:line="202"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91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32"/>
              <w:spacing w:after="0" w:line="156"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32"/>
              <w:spacing w:after="0" w:line="156"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CCEEFF"/>
            </w:tcBorders>
          </w:tcPr>
          <w:p>
            <w:pPr>
              <w:spacing w:after="0"/>
              <w:rPr>
                <w:sz w:val="13"/>
                <w:szCs w:val="13"/>
                <w:color w:val="auto"/>
              </w:rPr>
            </w:pPr>
          </w:p>
        </w:tc>
      </w:tr>
      <w:tr>
        <w:trPr>
          <w:trHeight w:val="209"/>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(229,075)</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(272,023)</w:t>
            </w:r>
          </w:p>
        </w:tc>
        <w:tc>
          <w:tcPr>
            <w:tcW w:w="120" w:type="dxa"/>
            <w:vAlign w:val="bottom"/>
            <w:shd w:val="clear" w:color="auto" w:fill="CCEEFF"/>
          </w:tcPr>
          <w:p>
            <w:pPr>
              <w:spacing w:after="0"/>
              <w:rPr>
                <w:sz w:val="18"/>
                <w:szCs w:val="18"/>
                <w:color w:val="auto"/>
              </w:rPr>
            </w:pP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(188,042)</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(130,668)</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463,516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310,869</w:t>
            </w: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(31,304)</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15,094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(89,606)</w:t>
            </w: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768,927</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973,877</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784,021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884,271</w:t>
            </w:r>
          </w:p>
        </w:tc>
      </w:tr>
      <w:tr>
        <w:trPr>
          <w:trHeight w:val="20"/>
        </w:trPr>
        <w:tc>
          <w:tcPr>
            <w:tcW w:w="9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617"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9118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91185" cy="128905"/>
                    </a:xfrm>
                    <a:prstGeom prst="rect">
                      <a:avLst/>
                    </a:prstGeom>
                    <a:noFill/>
                  </pic:spPr>
                </pic:pic>
              </a:graphicData>
            </a:graphic>
          </wp:anchor>
        </w:drawing>
        <w:t>Appendix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Polestar uses both generally accepted accounting principles (“GAAP,” i.e., IFRS) and non-GAAP (i.e., non-IFRS) financial measures to evaluate operating performance, for internal comparisons to historical performance, and for financial decision-making purposes. Polestar believes non-GAAP financial measures are helpful to investors as they provide useful perspective on underlying business trends and assist in period on period comparisons.</w:t>
      </w:r>
    </w:p>
    <w:p>
      <w:pPr>
        <w:spacing w:after="0" w:line="1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 include adjusted EBITDA, adjusted net loss, and free cash flow.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Adjusted EBITDA is calculated as listing expense, fair value change of earn-out rights, fair value change of Class C Shares, interest income, interest expense, income tax expense, depreciation, and amortization, subtracted from net loss. This measure is reviewed by management and is relevant measure for understanding the underlying operating results and trends of the business prior to the impact of any adjusting items.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Loss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Adjusted net loss is calculated as net loss, adjusted to exclude listing expense, fair value change of earn-out rights, and fair value change of Class C Shares. This measure is reviewed by management and is a relevant measure for understanding the underlying performance of Polestar’s recurring core business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is calculated by subtracting cash flows used for tangible assets and intangible assets from cash used for operating activities. This measure is reviewed by management and is a relevant measure for understanding cash sourced from operating activities that is available to repay debts, fund capital expenditures, and spend on other strategic initiatives.</w:t>
      </w:r>
    </w:p>
    <w:p>
      <w:pPr>
        <w:sectPr>
          <w:pgSz w:w="11900" w:h="16838" w:orient="portrait"/>
          <w:cols w:equalWidth="0" w:num="1">
            <w:col w:w="10980"/>
          </w:cols>
          <w:pgMar w:left="440" w:top="617"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Unaudited Reconciliation of GAAP and Non-GAAP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62"/>
        </w:trPr>
        <w:tc>
          <w:tcPr>
            <w:tcW w:w="9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9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CCEEFF"/>
            </w:tcBorders>
          </w:tcPr>
          <w:p>
            <w:pPr>
              <w:spacing w:after="0"/>
              <w:rPr>
                <w:sz w:val="15"/>
                <w:szCs w:val="15"/>
                <w:color w:val="auto"/>
              </w:rPr>
            </w:pPr>
          </w:p>
        </w:tc>
      </w:tr>
      <w:tr>
        <w:trPr>
          <w:trHeight w:val="210"/>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(274,302)</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120" w:type="dxa"/>
            <w:vAlign w:val="bottom"/>
            <w:shd w:val="clear" w:color="auto" w:fill="CCEEFF"/>
          </w:tcPr>
          <w:p>
            <w:pPr>
              <w:spacing w:after="0"/>
              <w:rPr>
                <w:sz w:val="18"/>
                <w:szCs w:val="18"/>
                <w:color w:val="auto"/>
              </w:rPr>
            </w:pP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Listing expenses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change—Earn-out rights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(83,104)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(206,195)</w:t>
            </w: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change—Class C Shares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(8,530)</w:t>
            </w: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77,258</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9,601</w:t>
            </w: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24,155</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39,674</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(257,469)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(180,194)</w:t>
            </w:r>
          </w:p>
        </w:tc>
      </w:tr>
      <w:tr>
        <w:trPr>
          <w:trHeight w:val="439"/>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9140" w:type="dxa"/>
            <w:vAlign w:val="bottom"/>
          </w:tcPr>
          <w:p>
            <w:pPr>
              <w:spacing w:after="0"/>
              <w:rPr>
                <w:sz w:val="24"/>
                <w:szCs w:val="24"/>
                <w:color w:val="auto"/>
              </w:rPr>
            </w:pP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62"/>
        </w:trPr>
        <w:tc>
          <w:tcPr>
            <w:tcW w:w="9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9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CCEEFF"/>
            </w:tcBorders>
          </w:tcPr>
          <w:p>
            <w:pPr>
              <w:spacing w:after="0"/>
              <w:rPr>
                <w:sz w:val="15"/>
                <w:szCs w:val="15"/>
                <w:color w:val="auto"/>
              </w:rPr>
            </w:pPr>
          </w:p>
        </w:tc>
      </w:tr>
      <w:tr>
        <w:trPr>
          <w:trHeight w:val="210"/>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(274,302)</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120" w:type="dxa"/>
            <w:vAlign w:val="bottom"/>
            <w:shd w:val="clear" w:color="auto" w:fill="CCEEFF"/>
          </w:tcPr>
          <w:p>
            <w:pPr>
              <w:spacing w:after="0"/>
              <w:rPr>
                <w:sz w:val="18"/>
                <w:szCs w:val="18"/>
                <w:color w:val="auto"/>
              </w:rPr>
            </w:pP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Listing expenses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change—Earn-out rights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(83,104)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(206,195)</w:t>
            </w: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change—Class C Shares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 (non-GAAP)</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(358,906)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(251,139)</w:t>
            </w:r>
          </w:p>
        </w:tc>
      </w:tr>
      <w:tr>
        <w:trPr>
          <w:trHeight w:val="439"/>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9140" w:type="dxa"/>
            <w:vAlign w:val="bottom"/>
          </w:tcPr>
          <w:p>
            <w:pPr>
              <w:spacing w:after="0"/>
              <w:rPr>
                <w:sz w:val="24"/>
                <w:szCs w:val="24"/>
                <w:color w:val="auto"/>
              </w:rPr>
            </w:pP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62"/>
        </w:trPr>
        <w:tc>
          <w:tcPr>
            <w:tcW w:w="9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9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CCEEFF"/>
            </w:tcBorders>
          </w:tcPr>
          <w:p>
            <w:pPr>
              <w:spacing w:after="0"/>
              <w:rPr>
                <w:sz w:val="15"/>
                <w:szCs w:val="15"/>
                <w:color w:val="auto"/>
              </w:rPr>
            </w:pPr>
          </w:p>
        </w:tc>
      </w:tr>
      <w:tr>
        <w:trPr>
          <w:trHeight w:val="210"/>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(229,075)</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(272,023)</w:t>
            </w:r>
          </w:p>
        </w:tc>
        <w:tc>
          <w:tcPr>
            <w:tcW w:w="120" w:type="dxa"/>
            <w:vAlign w:val="bottom"/>
            <w:shd w:val="clear" w:color="auto" w:fill="CCEEFF"/>
          </w:tcPr>
          <w:p>
            <w:pPr>
              <w:spacing w:after="0"/>
              <w:rPr>
                <w:sz w:val="18"/>
                <w:szCs w:val="18"/>
                <w:color w:val="auto"/>
              </w:rPr>
            </w:pP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Investing cash flows used for tangible assets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cash flows used for intangible assets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(140,231)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(112,663)</w:t>
            </w: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(392,650)</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(402,691)</w:t>
            </w:r>
          </w:p>
        </w:tc>
        <w:tc>
          <w:tcPr>
            <w:tcW w:w="1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6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2024-07-02T06:11:10Z</dcterms:created>
  <dcterms:modified xsi:type="dcterms:W3CDTF">2024-07-02T06:11:10Z</dcterms:modified>
</cp:coreProperties>
</file>