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Polestar Automotive Holding UK PLC</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14a-12 under the</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Companies:</w:t>
      </w:r>
    </w:p>
    <w:p>
      <w:pPr>
        <w:spacing w:after="0" w:line="9" w:lineRule="exact"/>
        <w:rPr>
          <w:sz w:val="24"/>
          <w:szCs w:val="24"/>
          <w:color w:val="auto"/>
        </w:rPr>
      </w:pPr>
    </w:p>
    <w:p>
      <w:pPr>
        <w:ind w:left="8060"/>
        <w:spacing w:after="0"/>
        <w:rPr>
          <w:sz w:val="20"/>
          <w:szCs w:val="20"/>
          <w:color w:val="auto"/>
        </w:rPr>
      </w:pPr>
      <w:r>
        <w:rPr>
          <w:rFonts w:ascii="Times New Roman" w:cs="Times New Roman" w:eastAsia="Times New Roman" w:hAnsi="Times New Roman"/>
          <w:sz w:val="17"/>
          <w:szCs w:val="17"/>
          <w:b w:val="1"/>
          <w:bCs w:val="1"/>
          <w:color w:val="auto"/>
        </w:rPr>
        <w:t>Polestar Automotive Holding UK PLC</w:t>
      </w:r>
    </w:p>
    <w:p>
      <w:pPr>
        <w:spacing w:after="0" w:line="21" w:lineRule="exact"/>
        <w:rPr>
          <w:sz w:val="24"/>
          <w:szCs w:val="24"/>
          <w:color w:val="auto"/>
        </w:rPr>
      </w:pPr>
    </w:p>
    <w:p>
      <w:pPr>
        <w:ind w:left="9140"/>
        <w:spacing w:after="0"/>
        <w:rPr>
          <w:sz w:val="20"/>
          <w:szCs w:val="20"/>
          <w:color w:val="auto"/>
        </w:rPr>
      </w:pPr>
      <w:r>
        <w:rPr>
          <w:rFonts w:ascii="Times New Roman" w:cs="Times New Roman" w:eastAsia="Times New Roman" w:hAnsi="Times New Roman"/>
          <w:sz w:val="18"/>
          <w:szCs w:val="18"/>
          <w:b w:val="1"/>
          <w:bCs w:val="1"/>
          <w:color w:val="auto"/>
        </w:rPr>
        <w:t>Gores Guggenheim, Inc.</w:t>
      </w:r>
    </w:p>
    <w:p>
      <w:pPr>
        <w:spacing w:after="0" w:line="9" w:lineRule="exact"/>
        <w:rPr>
          <w:sz w:val="24"/>
          <w:szCs w:val="24"/>
          <w:color w:val="auto"/>
        </w:rPr>
      </w:pPr>
    </w:p>
    <w:p>
      <w:pPr>
        <w:ind w:left="8480"/>
        <w:spacing w:after="0"/>
        <w:rPr>
          <w:sz w:val="20"/>
          <w:szCs w:val="20"/>
          <w:color w:val="auto"/>
        </w:rPr>
      </w:pPr>
      <w:r>
        <w:rPr>
          <w:rFonts w:ascii="Times New Roman" w:cs="Times New Roman" w:eastAsia="Times New Roman" w:hAnsi="Times New Roman"/>
          <w:sz w:val="17"/>
          <w:szCs w:val="17"/>
          <w:b w:val="1"/>
          <w:bCs w:val="1"/>
          <w:color w:val="auto"/>
        </w:rPr>
        <w:t>(Commission File No. 001-40265)</w:t>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Bloomberg Markets TV &amp; Radio Interview</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Thomas Ingenlath, CEO of Polestar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June 9, 2022</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Interview Transcript:</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Bloomberg: </w:t>
      </w:r>
      <w:r>
        <w:rPr>
          <w:rFonts w:ascii="Times New Roman" w:cs="Times New Roman" w:eastAsia="Times New Roman" w:hAnsi="Times New Roman"/>
          <w:sz w:val="18"/>
          <w:szCs w:val="18"/>
          <w:color w:val="auto"/>
        </w:rPr>
        <w:t>Polestar is a global EV brand like Tesla, delivering globally, producing in the United States, Europe, and China</w:t>
      </w:r>
    </w:p>
    <w:p>
      <w:pPr>
        <w:spacing w:after="0" w:line="225" w:lineRule="exact"/>
        <w:rPr>
          <w:sz w:val="24"/>
          <w:szCs w:val="24"/>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Thomas: </w:t>
      </w:r>
      <w:r>
        <w:rPr>
          <w:rFonts w:ascii="Times New Roman" w:cs="Times New Roman" w:eastAsia="Times New Roman" w:hAnsi="Times New Roman"/>
          <w:sz w:val="18"/>
          <w:szCs w:val="18"/>
          <w:color w:val="auto"/>
        </w:rPr>
        <w:t>I think that is certainly a strong parallel between Tesla and us, and of course launching the competitor to the Model 3, all that brought it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 competition and comparison. Long-term, our ambition is the premium luxury segment, the three cars we are launching are certainly on the premium side and the ambition Tesla is dealing with.</w:t>
      </w:r>
    </w:p>
    <w:p>
      <w:pPr>
        <w:spacing w:after="0" w:line="171" w:lineRule="exact"/>
        <w:rPr>
          <w:sz w:val="24"/>
          <w:szCs w:val="24"/>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Bloomberg: </w:t>
      </w:r>
      <w:r>
        <w:rPr>
          <w:rFonts w:ascii="Times New Roman" w:cs="Times New Roman" w:eastAsia="Times New Roman" w:hAnsi="Times New Roman"/>
          <w:sz w:val="18"/>
          <w:szCs w:val="18"/>
          <w:color w:val="auto"/>
        </w:rPr>
        <w:t>I have had the opportunity to drive the Polestar 1, I was instantly impressed by especially the suspension, using Swedish Ohlins. Polestar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I’ve seen it out there on the road. You are really breaking apart from Volvo with Polestar 2 and 3. How are sales going and what kind of sales expectations you have for Polestar 3?</w:t>
      </w:r>
    </w:p>
    <w:p>
      <w:pPr>
        <w:spacing w:after="0" w:line="171" w:lineRule="exact"/>
        <w:rPr>
          <w:sz w:val="24"/>
          <w:szCs w:val="24"/>
          <w:color w:val="auto"/>
        </w:rPr>
      </w:pPr>
    </w:p>
    <w:p>
      <w:pPr>
        <w:jc w:val="both"/>
        <w:ind w:right="4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Thomas: </w:t>
      </w:r>
      <w:r>
        <w:rPr>
          <w:rFonts w:ascii="Times New Roman" w:cs="Times New Roman" w:eastAsia="Times New Roman" w:hAnsi="Times New Roman"/>
          <w:sz w:val="18"/>
          <w:szCs w:val="18"/>
          <w:color w:val="auto"/>
        </w:rPr>
        <w:t>55,000 Polestar 2s are on the road. We have a very strong intake. This is 32,000 so far which is 290% up from the year before, so we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happy with the uptake. And we know we would rather run after getting each and every car chasing customers. We are happy with the demand and definitely on track with our promise to actually go all the way up to the 290,000 by 2025.</w:t>
      </w:r>
    </w:p>
    <w:p>
      <w:pPr>
        <w:spacing w:after="0" w:line="171" w:lineRule="exact"/>
        <w:rPr>
          <w:sz w:val="24"/>
          <w:szCs w:val="24"/>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Bloomberg: </w:t>
      </w:r>
      <w:r>
        <w:rPr>
          <w:rFonts w:ascii="Times New Roman" w:cs="Times New Roman" w:eastAsia="Times New Roman" w:hAnsi="Times New Roman"/>
          <w:sz w:val="18"/>
          <w:szCs w:val="18"/>
          <w:color w:val="auto"/>
        </w:rPr>
        <w:t>Who is behind the Polestar 2 and who do you think will be buying the Polestar 3? Thomas: This is just anecdotal, but company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 talk to now seems to be offering in EV of some sort and as some sort of a bonus, employees can buy cars from companies, get a tax advantage. Certainly, if you’re a business owner you can get a tax advantage by buying an electric vehicle. We are also seeing the deal with Hertz. What will this be aimed at and who is going to be buying it?</w:t>
      </w:r>
    </w:p>
    <w:p>
      <w:pPr>
        <w:spacing w:after="0" w:line="176" w:lineRule="exact"/>
        <w:rPr>
          <w:sz w:val="24"/>
          <w:szCs w:val="24"/>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Thomas: </w:t>
      </w:r>
      <w:r>
        <w:rPr>
          <w:rFonts w:ascii="Times New Roman" w:cs="Times New Roman" w:eastAsia="Times New Roman" w:hAnsi="Times New Roman"/>
          <w:sz w:val="18"/>
          <w:szCs w:val="18"/>
          <w:color w:val="auto"/>
        </w:rPr>
        <w:t>To start, electrification is a reality. The European parliament made the official end state of the combustion engine, starting in 2035, it will stop.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 everybody will be driving EVs. Our customers, it’s a mixed bag. We have customers that had other electric experiences, but there’s a big amount of people who come from owning a BMW and Mercedes, so it’s a mixture there.</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Bloomberg: </w:t>
      </w:r>
      <w:r>
        <w:rPr>
          <w:rFonts w:ascii="Times New Roman" w:cs="Times New Roman" w:eastAsia="Times New Roman" w:hAnsi="Times New Roman"/>
          <w:sz w:val="18"/>
          <w:szCs w:val="18"/>
          <w:color w:val="auto"/>
        </w:rPr>
        <w:t>In terms of the deal with Hertz, how many Polestar 3s will be going to Hertz?</w:t>
      </w:r>
    </w:p>
    <w:p>
      <w:pPr>
        <w:sectPr>
          <w:pgSz w:w="11900" w:h="16838" w:orient="portrait"/>
          <w:cols w:equalWidth="0" w:num="1">
            <w:col w:w="11020"/>
          </w:cols>
          <w:pgMar w:left="440" w:top="225" w:right="439" w:bottom="1440" w:gutter="0" w:footer="0" w:header="0"/>
        </w:sectPr>
      </w:pPr>
    </w:p>
    <w:bookmarkStart w:id="1" w:name="page2"/>
    <w:bookmarkEnd w:id="1"/>
    <w:p>
      <w:pPr>
        <w:jc w:val="both"/>
        <w:ind w:right="5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Thomas: </w:t>
      </w:r>
      <w:r>
        <w:rPr>
          <w:rFonts w:ascii="Times New Roman" w:cs="Times New Roman" w:eastAsia="Times New Roman" w:hAnsi="Times New Roman"/>
          <w:sz w:val="18"/>
          <w:szCs w:val="18"/>
          <w:color w:val="auto"/>
        </w:rPr>
        <w:t>The deal is over five years, 65,000 cars, and it will be a mixed bag. It will be not only the Polestar 2 which was the prime talks, but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Polestar 3 as well. We will also launch the Polestar 4 in our range and definitely the 3, 4 and 5 will be part of this as well. And Hertz for us is an opportunity to bring Polestar to people for the first time driving an electric car, and it will enable us to build brand awareness.</w:t>
      </w:r>
    </w:p>
    <w:p>
      <w:pPr>
        <w:spacing w:after="0" w:line="17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Bloomberg: </w:t>
      </w:r>
      <w:r>
        <w:rPr>
          <w:rFonts w:ascii="Times New Roman" w:cs="Times New Roman" w:eastAsia="Times New Roman" w:hAnsi="Times New Roman"/>
          <w:sz w:val="18"/>
          <w:szCs w:val="18"/>
          <w:color w:val="auto"/>
        </w:rPr>
        <w:t>It will build brand awareness where people can buy and trade your shares, you are planning on going public through a reverse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SPAC with Gores Guggenheim, to close this month I believe after the shareholder meeting you have scheduled at the end of June. How is that going? Is that on track? Do you expect this to happen because we’ve seen deals fall through.</w:t>
      </w:r>
    </w:p>
    <w:p>
      <w:pPr>
        <w:spacing w:after="0" w:line="17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Thomas: </w:t>
      </w:r>
      <w:r>
        <w:rPr>
          <w:rFonts w:ascii="Times New Roman" w:cs="Times New Roman" w:eastAsia="Times New Roman" w:hAnsi="Times New Roman"/>
          <w:sz w:val="18"/>
          <w:szCs w:val="18"/>
          <w:color w:val="auto"/>
        </w:rPr>
        <w:t>This is on track and now really that’s the goal in front of us. We will indeed close by the end of the month—by the end of this, we will be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Nasdaq. We look forward to run the company like that.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Bloomberg: </w:t>
      </w:r>
      <w:r>
        <w:rPr>
          <w:rFonts w:ascii="Times New Roman" w:cs="Times New Roman" w:eastAsia="Times New Roman" w:hAnsi="Times New Roman"/>
          <w:sz w:val="18"/>
          <w:szCs w:val="18"/>
          <w:color w:val="auto"/>
        </w:rPr>
        <w:t>I want to bring up Ohlins again, are you going to be exploring that partnership further? Because they are just like solid shocks.</w:t>
      </w:r>
    </w:p>
    <w:p>
      <w:pPr>
        <w:spacing w:after="0" w:line="22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Thomas: </w:t>
      </w:r>
      <w:r>
        <w:rPr>
          <w:rFonts w:ascii="Times New Roman" w:cs="Times New Roman" w:eastAsia="Times New Roman" w:hAnsi="Times New Roman"/>
          <w:sz w:val="18"/>
          <w:szCs w:val="18"/>
          <w:color w:val="auto"/>
        </w:rPr>
        <w:t>It’s definitely the great spice in our recipe we love to cook with. We definitely will continue. We just launched a special edition even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exquisite—and the Polestar 3 will have their special corner.</w:t>
      </w:r>
    </w:p>
    <w:p>
      <w:pPr>
        <w:spacing w:after="0" w:line="15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Bloomberg: </w:t>
      </w:r>
      <w:r>
        <w:rPr>
          <w:rFonts w:ascii="Times New Roman" w:cs="Times New Roman" w:eastAsia="Times New Roman" w:hAnsi="Times New Roman"/>
          <w:sz w:val="18"/>
          <w:szCs w:val="18"/>
          <w:color w:val="auto"/>
        </w:rPr>
        <w:t>Fellows we are going to wrap things up. One thing about Matt is he talks so knowledgeably about the EVs and the love for them, yet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think what you got to look at is not what he says, but what he does. He just bought a new house, have you bought a new car and is it an EV?</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Bloomberg: </w:t>
      </w:r>
      <w:r>
        <w:rPr>
          <w:rFonts w:ascii="Times New Roman" w:cs="Times New Roman" w:eastAsia="Times New Roman" w:hAnsi="Times New Roman"/>
          <w:sz w:val="18"/>
          <w:szCs w:val="18"/>
          <w:color w:val="auto"/>
        </w:rPr>
        <w:t>In terms of full disclosure, yes, I have just bought a Chevy Silverado, 22-liter gas V-8, but I also bought a Volvo with a hybrid powertrain.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got the electric battery as well as a supercharged turbocharged two liter four-cylinder engine. So, we are going both ways.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Thomas: </w:t>
      </w:r>
      <w:r>
        <w:rPr>
          <w:rFonts w:ascii="Times New Roman" w:cs="Times New Roman" w:eastAsia="Times New Roman" w:hAnsi="Times New Roman"/>
          <w:sz w:val="18"/>
          <w:szCs w:val="18"/>
          <w:color w:val="auto"/>
        </w:rPr>
        <w:t>I definitely will send you the invite for the Polestar 3 test drive. I’m sure there is some opportunity for you there.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Bloomberg: </w:t>
      </w:r>
      <w:r>
        <w:rPr>
          <w:rFonts w:ascii="Times New Roman" w:cs="Times New Roman" w:eastAsia="Times New Roman" w:hAnsi="Times New Roman"/>
          <w:sz w:val="18"/>
          <w:szCs w:val="18"/>
          <w:color w:val="auto"/>
        </w:rPr>
        <w:t>I look forward to it.</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Bloomberg: </w:t>
      </w:r>
      <w:r>
        <w:rPr>
          <w:rFonts w:ascii="Times New Roman" w:cs="Times New Roman" w:eastAsia="Times New Roman" w:hAnsi="Times New Roman"/>
          <w:sz w:val="18"/>
          <w:szCs w:val="18"/>
          <w:color w:val="auto"/>
        </w:rPr>
        <w:t>I think Matt’s wife could be the target market there. Matt on the other hand, I’m not quite sure. We really appreciate the time with the CEO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Polestar.</w:t>
      </w:r>
    </w:p>
    <w:p>
      <w:pPr>
        <w:spacing w:after="0" w:line="1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Certain statements in this communication (“Communication”) may be considered “forward-looking statements” as defined in the Private Securities Litigation Reform Act of 1995. Forward-looking statements generally relate to future events or the future financial or operating performance of Gores Guggenheim, Inc. (“Gores Guggenheim”), Polestar Performance AB and/or its affiliates (the “Company”) and Polestar Automotive Holding UK PLC (“ListCo”). For example, projections of future Adjusted EBITDA or revenue and other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ectPr>
          <w:pgSz w:w="11900" w:h="16838" w:orient="portrait"/>
          <w:cols w:equalWidth="0" w:num="1">
            <w:col w:w="10960"/>
          </w:cols>
          <w:pgMar w:left="440" w:top="266" w:right="499" w:bottom="1440" w:gutter="0" w:footer="0" w:header="0"/>
        </w:sectPr>
      </w:pPr>
    </w:p>
    <w:bookmarkStart w:id="2" w:name="page3"/>
    <w:bookmarkEnd w:id="2"/>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These forward-looking statements are based upon estimates and assumptions that, while considered reasonable by Gores Guggenheim and its management, and the Company and its management, as the case may be, are inherently uncertain. Factors that may cause actual results to differ materially from current expectations include, but are not limited to: (1) the occurrence of any event, change or other circumstances that could give rise to the termination of definitive agreements with respect to the proposed business combination between the Company and Gores Guggenheim (the “Business Combination”); (2) the outcome of any legal proceedings that may be instituted against Gores Guggenheim, the combined company or others following the announcement of the Business Combination and any definitive agreements with respect thereto; (3) the inability to complete the Business Combination due to the failure to obtain approval of the stockholders of Gores Guggenheim, to obtain financing to complete the Business Combination or to satisfy other conditions to closing; (4) changes to the proposed structure of the Business Combination that may be required or appropriate as a result of applicable laws or regulations or as a condition to obtaining regulatory approval of the Business Combination; (5) the ability to meet stock exchange listing standards following the consummation of the Business Combination; (6) the risk that the Business Combination disrupts current plans and operations of the Company as a result of the announcement and consummation of the Business Combination; (7) the ability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(8) costs related to the Business Combination; (9) risks associated with changes in applicable laws or regulations and the Company’s international operations; (10) the possibility that the Company or the combined company may be adversely affected by other economic, business, and/or competitive factors; (11) the Company’s estimates of expenses and profitability; (12) the Company’s ability to maintain agreements or partnerships with its strategic partners Volvo Cars and Geely and to develop new agreements or partnerships; (13) the Company’s ability to maintain relationships with its existing suppliers and strategic partners, and source new suppliers for its critical components, and to complete building out its supply chain, while effectively managing the risks due to such relationships; (14) the Company’s reliance on its partnerships with vehicle charging networks to provide charging solutions for its vehicles and its strategic partners for servicing its vehicles and their integrated software; (15) the Company’s ability to establish its brand and capture additional market share, and the risks associated with negative press or reputational harm, including from lithium-ion battery cells catching fire or venting smoke; (16) delays in the design, manufacture, launch and financing of the Company’s vehicles and the Company’s reliance on a limited number of vehicle models to generate revenues; (17) the Company’s ability to continuously and rapidly innovate, develop and market new products; (18) risks related to future market adoption of the Company’s offerings; (19) increases in costs, disruption of supply or shortage of materials, in</w:t>
      </w:r>
    </w:p>
    <w:p>
      <w:pPr>
        <w:spacing w:after="0" w:line="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particular for lithium-ion cells or semiconductors; (20) the Company’s reliance on its partners to manufacture vehicles at a high volume, some of which have limited experience in producing electric vehicles, and on the allocation of sufficient production capacity to the Company by its partners in order for the Company to be able to increase its vehicle production capacities; (21) risks related to the Company’s distribution model; (22) the effects of competition and the high barriers to entry in the automotive industry, and the pace and depth of electric vehicle adoption generally on the Company’s future business; (23) changes in regulatory requirements, governmental incentives and fuel and energy prices; (24) the impact of</w:t>
      </w:r>
    </w:p>
    <w:p>
      <w:pPr>
        <w:spacing w:after="0" w:line="2"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the global COVID-19 pandemic, inflation, interest rate changes, the ongoing conflict between Ukraine and Russia, supply chain disruptions and logistical constraints on Gores Guggenheim, the Company, the Company’s post business combination’s projected results of operations, financial performance or other financial metrics, or on any of the foregoing risks; and (25) other risks and uncertainties set forth in the section entitled “Risk Factors” and “Cautionary Note Regarding Forward-Looking Statements” in Gores Guggenheim’s final prospectus relating to its initial public offering (File No. 333-253338) declared effective by the SEC on March 22, 2021, and other documents filed, or to be filed, with the SEC by Gores Guggenheim or ListCo, including the Definitive Proxy Statement. There may be additional risks that neither Gores Guggenheim, the Company nor ListCo presently know or that Gores Guggenheim, the Company or ListCo currently believe are immaterial that could also cause actual results to differ from those contained in the forward-looking statements.</w:t>
      </w:r>
    </w:p>
    <w:p>
      <w:pPr>
        <w:spacing w:after="0" w:line="19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Neither Gores Guggenheim, the Company nor ListCo undertakes any duty to update these forward-looking statements.</w:t>
      </w:r>
    </w:p>
    <w:p>
      <w:pPr>
        <w:sectPr>
          <w:pgSz w:w="11900" w:h="16838" w:orient="portrait"/>
          <w:cols w:equalWidth="0" w:num="1">
            <w:col w:w="11000"/>
          </w:cols>
          <w:pgMar w:left="440" w:top="270"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Information</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(a) ListCo has filed with the SEC a registration statement on Form F-4 containing a proxy statement of the Gores Guggenheim and a prospectus, which the SEC declared effective on May 25, 2022 and (b) Gores Guggenheim has filed a definitive proxy statement relating to the Business Combination (the “Definitive Proxy Statement”) and has mailed the Definitive Proxy Statement and other relevant materials to its stockholders and warrant holders, each as of May 18, 2022, the record date established for voting on the Business Combination and the other matters to be voted upon at the Special Meeting and Warrant Holder Meeting. The Definitive Proxy Statement contains important information about the Business Combination and the other matters to be voted upon at the meetings of Gores Guggenheim’s stockholders and warrant holders. This communication does not contain all the information that should be considered concerning the Business Combination and is not intended to form the basis of any investment decision or any other decision in respect of the Business Combination. Before making any voting or other investment decisions, securityholders of Gores Guggenheim and other interested persons are advised to read the Definitive Proxy Statement and other documents filed or to be filed in connection with the Business Combination, as these materials will contain important information about Gores Guggenheim, Polestar, ListCo and the Business Combination. Stockholders will also be able to obtain copies of the Definitive Proxy Statement and other documents filed with the SEC, without charge, once available, at the SEC’s website at www.sec.gov, or by directing a request to: Gores Guggenheim, Inc., 6260 Lookout Rd., Boulder, CO 80301, attention: Jennifer Kwon Chou.</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Gores Guggenheim and certain of its directors and executive officers may be deemed participants in the solicitation of proxies from Gores Guggenheim’s stockholders with respect to the Business Combination. A list of the names of those directors and executive officers and a description of their interests in Gores Guggenheim is set forth in Gores Guggenheim’s filings with the SEC (including Gores Guggenheim’s final prospectus related to its initial public offering (File No. 333-253338) declared effective by the SEC on March 22, 2021), and are available free of charge at the SEC’s website at www.sec.gov, or by directing a request to Gores Guggenheim, Inc., 6260 Lookout Rd., Boulder, CO 80301, attention: Jennifer Kwon Chou. Additional information regarding the interests of such participants is contained in the Definitive Proxy Statement.</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and ListCo, and certain of their directors and executive officers may also be deemed to be participants in the solicitation of proxies from the stockholders of Gores Guggenheim in connection with the Business Combination. A list of the names of such directors and executive officers and information regarding their interests in the Business Combination is included in the Definitive Proxy Statement.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and Non-Solicitation</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This Communication is not a proxy statement or solicitation of a proxy, consent or authorization with respect to any securities or in respect of the potential transaction and shall not constitute an offer to sell or a solicitation of an offer to buy the securities of Gores Guggenheim, the Company or ListCo,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sectPr>
      <w:pgSz w:w="11900" w:h="16838" w:orient="portrait"/>
      <w:cols w:equalWidth="0" w:num="1">
        <w:col w:w="10980"/>
      </w:cols>
      <w:pgMar w:left="44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2022-06-10T05:14:27Z</dcterms:created>
  <dcterms:modified xsi:type="dcterms:W3CDTF">2022-06-10T05:14:27Z</dcterms:modified>
</cp:coreProperties>
</file>