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Filed by Polestar Automotive Holding UK Limited</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Form F-4 File No. (333-260992)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Companies:</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Polestar Automotive Holding UK Limited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Gores Guggenheim,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001-40265)</w:t>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spacing w:after="0" w:line="238"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245110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GORES GUGGENHEIM,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0" w:type="dxa"/>
        <w:tblCellMar>
          <w:top w:w="0" w:type="dxa"/>
          <w:left w:w="0" w:type="dxa"/>
          <w:bottom w:w="0" w:type="dxa"/>
          <w:right w:w="0" w:type="dxa"/>
        </w:tblCellMar>
      </w:tblPr>
      <w:tr>
        <w:trPr>
          <w:trHeight w:val="214"/>
        </w:trPr>
        <w:tc>
          <w:tcPr>
            <w:tcW w:w="354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001-40265</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85-4385646</w:t>
            </w:r>
          </w:p>
        </w:tc>
      </w:tr>
      <w:tr>
        <w:trPr>
          <w:trHeight w:val="148"/>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6260 Lookout Road</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Boulder, CO</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80301</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(310) 209-3010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1" w:lineRule="exact"/>
        <w:rPr>
          <w:sz w:val="24"/>
          <w:szCs w:val="24"/>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1" w:lineRule="exact"/>
        <w:rPr>
          <w:sz w:val="24"/>
          <w:szCs w:val="24"/>
          <w:color w:val="auto"/>
        </w:rPr>
      </w:pPr>
    </w:p>
    <w:p>
      <w:pPr>
        <w:ind w:left="960" w:hanging="532"/>
        <w:spacing w:after="0"/>
        <w:tabs>
          <w:tab w:leader="none" w:pos="9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Pre-commencements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Class A Common Stock</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GGPI</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Nasdaq Capital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GGPIW</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Capital Market</w:t>
            </w: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GGPIU</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Capital Market</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40" w:right="1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40"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401" w:right="439" w:bottom="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w:t>
        <w:tab/>
        <w:t>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Business Combination Agreement</w:t>
      </w:r>
    </w:p>
    <w:p>
      <w:pPr>
        <w:spacing w:after="0" w:line="121"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As previously disclosed, on September 27, 2021, Gores Guggenheim,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 Business Combination Agreement (as amended by that certain Amendment No. 1 to the Business Combination Agreement, dated December 17, 2021 and that certain Amendment No. 2 to the Business Combination Agreement, dated March 24, 2022,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by and among the Company, Polestar Automotive Holding Limited, a Hong Kong incorporated company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Polestar Automotive (Singapore) Pte. Ltd., a private company limited by shares in Singapore, Polestar Holding AB, a private limited liability company incorporated under the laws of Sweden, Polestar Automotive Holding UK Limited, a limited company incorporated under the laws of England and Wales and a direct wholly owned subsidiary of Parent (“</w:t>
      </w:r>
      <w:r>
        <w:rPr>
          <w:rFonts w:ascii="Times New Roman" w:cs="Times New Roman" w:eastAsia="Times New Roman" w:hAnsi="Times New Roman"/>
          <w:sz w:val="18"/>
          <w:szCs w:val="18"/>
          <w:u w:val="single" w:color="auto"/>
          <w:color w:val="auto"/>
        </w:rPr>
        <w:t>ListCo</w:t>
      </w:r>
      <w:r>
        <w:rPr>
          <w:rFonts w:ascii="Times New Roman" w:cs="Times New Roman" w:eastAsia="Times New Roman" w:hAnsi="Times New Roman"/>
          <w:sz w:val="18"/>
          <w:szCs w:val="18"/>
          <w:color w:val="auto"/>
        </w:rPr>
        <w:t>”), and PAH UK Merger Sub Inc., a Delaware corporation and a direct wholly owned subsidiary of ListCo.</w:t>
      </w:r>
    </w:p>
    <w:p>
      <w:pPr>
        <w:spacing w:after="0" w:line="189"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On April 21, 2022, the parties to the Business Combination Agreement entered into Amendment No. 3 to the Business Combination Agreement (“</w:t>
      </w:r>
      <w:r>
        <w:rPr>
          <w:rFonts w:ascii="Times New Roman" w:cs="Times New Roman" w:eastAsia="Times New Roman" w:hAnsi="Times New Roman"/>
          <w:sz w:val="18"/>
          <w:szCs w:val="18"/>
          <w:u w:val="single" w:color="auto"/>
          <w:color w:val="auto"/>
        </w:rPr>
        <w:t>BCA Amendment No. 3</w:t>
      </w:r>
      <w:r>
        <w:rPr>
          <w:rFonts w:ascii="Times New Roman" w:cs="Times New Roman" w:eastAsia="Times New Roman" w:hAnsi="Times New Roman"/>
          <w:sz w:val="18"/>
          <w:szCs w:val="18"/>
          <w:color w:val="auto"/>
        </w:rPr>
        <w:t>”). BCA Amendment No. 3 amends the Business Combination Agreement to extend the Termination Date (as defined in the Business Combination Agreement) from May 27, 2022 to June 24, 2022.</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BCA Amendment No. 3 does not purport to be complete and is qualified in its entirety by the terms and conditions of BCA Amendment No. 3, a copy of which is attached hereto as Exhibit 2.1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Certain statements in this Current Report may be considered “forward-looking statements” as defined in the Private Securities Litigation Reform Act of 1995. Forward-looking statements generally relate to future events or the future financial or operating performance of the Company and Polestar Performance AB and its affiliates (“</w:t>
      </w:r>
      <w:r>
        <w:rPr>
          <w:rFonts w:ascii="Times New Roman" w:cs="Times New Roman" w:eastAsia="Times New Roman" w:hAnsi="Times New Roman"/>
          <w:sz w:val="18"/>
          <w:szCs w:val="18"/>
          <w:u w:val="single" w:color="auto"/>
          <w:color w:val="auto"/>
        </w:rPr>
        <w:t>Polestar</w:t>
      </w:r>
      <w:r>
        <w:rPr>
          <w:rFonts w:ascii="Times New Roman" w:cs="Times New Roman" w:eastAsia="Times New Roman" w:hAnsi="Times New Roman"/>
          <w:sz w:val="18"/>
          <w:szCs w:val="18"/>
          <w:color w:val="auto"/>
        </w:rPr>
        <w:t>”). For example, projections of future revenue, volumes and other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8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are based upon estimates and assumptions that, while considered reasonable by the Company and its management, and Polestar and its management, as the case may be, are inherently uncertain. Factors that may cause actual results to differ materially from current expectations include, but are not limited to: (a) the occurrence of any event, change or other circumstances that could give rise to the termination of definitive agreements with respect to proposed Business Combination; (b) the outcome of any legal proceedings that may be instituted against the Company, the combined company or others following the announcement of the Business Combination and any definitive agreements with respect thereto; (c) the inability to complete the Business Combination due to the failure to obtain approval of the stockholders of the Company, to obtain financing to complete the Business Combination or to satisfy other conditions to Closing; (d) changes to the proposed structure of the Business Combination that may be required or appropriate as a result of applicable laws or regulations or as a condition to obtaining regulatory approval of the Business Combination; (e) the ability to meet stock exchange listing standards following the consummation of the Business Combination; (f) the risk that the Business Combination disrupts current plans and operations of Polestar as a result of the announcement and consummation of the Business Combination; (g)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(h) costs related to the Business Combination; (i) risks associated with changes in applicable laws or regulations and Polestar’s international operations; (j) the possibility that Polestar or the combined company may be adversely affected by other economic, business, and/or competitive factors; (k) Polestar’s estimates of expenses and profitability; (l) Polestar’s ability to maintain agreements or partnerships with its strategic partners</w:t>
      </w:r>
    </w:p>
    <w:p>
      <w:pPr>
        <w:sectPr>
          <w:pgSz w:w="11900" w:h="16838" w:orient="portrait"/>
          <w:cols w:equalWidth="0" w:num="1">
            <w:col w:w="11000"/>
          </w:cols>
          <w:pgMar w:left="440" w:top="266" w:right="459" w:bottom="1440" w:gutter="0" w:footer="0" w:header="0"/>
        </w:sectPr>
      </w:pPr>
    </w:p>
    <w:bookmarkStart w:id="2" w:name="page3"/>
    <w:bookmarkEnd w:id="2"/>
    <w:p>
      <w:pPr>
        <w:ind w:right="10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Volvo Cars and Zhejiang Geely Holding Group Co., Ltd and to develop new agreements or partnerships; (m) Polestar’s ability to maintain relationships with its existing suppliers and strategic partners, and source new suppliers for its critical components, and to complete building out its supply chain, while effectively managing the risks due to such relationships; (n) Polestar’s reliance on its partnerships with vehicle charging networks to provide charging solutions for its vehicles and its strategic partners for servicing its vehicles and their integrated software; (o) Polestar’s ability to establish its brand and capture additional market share, and the risks associated with negative press or reputational harm, including from lithium-ion battery cells catching fire or venting smoke; (p) delays in the design, manufacture, launch and financing of Polestar’s vehicles and Polestar’s reliance on a limited number of vehicle models to generate revenues; (q) Polestar’s ability to continuously and rapidly innovate, develop and market new products; (r) risks related to future market adoption of Polestar’s offerings; (s) increases in costs, disruption of supply or shortage of materials, in particular</w:t>
      </w:r>
    </w:p>
    <w:p>
      <w:pPr>
        <w:ind w:right="40"/>
        <w:spacing w:after="0" w:line="251" w:lineRule="auto"/>
        <w:rPr>
          <w:sz w:val="20"/>
          <w:szCs w:val="20"/>
          <w:color w:val="auto"/>
        </w:rPr>
      </w:pPr>
      <w:r>
        <w:rPr>
          <w:rFonts w:ascii="Times New Roman" w:cs="Times New Roman" w:eastAsia="Times New Roman" w:hAnsi="Times New Roman"/>
          <w:sz w:val="18"/>
          <w:szCs w:val="18"/>
          <w:color w:val="auto"/>
        </w:rPr>
        <w:t>for lithium-ion cells or semiconductors; (t)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capacities; (u) risks related to Polestar’s distribution model; (v) the effects of competition and the high barriers to entry in the automotive industry, and the pace and depth of electric vehicle adoption generally on Polestar’s future business; (w) changes in regulatory requirements, governmental incentives and fuel and energy prices; (x) the impact of the global COVID-19 pandemic on the Company, Polestar, Polestar’s post business combination’s projected results of operations, financial performance or other financial metrics, or on any of the foregoing risks; and (y) other risks and uncertainties set forth in the section entitled “Risk Factors” and “Cautionary Note Regarding Forward-Looking Statements” in the Company’s final prospectus relating to its initial public offering (File No. 333-253338) declared effective by the SEC on March 22, 2021, and other documents filed, or to be filed, with the SEC by the Company or ListCo, including the Registration/Proxy Statement and the Definitive Proxy Statement (each, as defined below). There may be additional risks that neither the Company, Polestar nor ListCo presently know or that the Company, Polestar or ListCo currently believe are immaterial that could also cause actual results to differ from those contained in the forward-looking statements. Nothing in this Current Report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the Company, Polestar nor ListCo undertakes any duty to update these forward-looking statements.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In connection with the proposed Business Combination, (a) ListCo has filed with the SEC a registration statement on Form F-4 containing a preliminary proxy statement of the Company and a preliminary prospectus (the “</w:t>
      </w:r>
      <w:r>
        <w:rPr>
          <w:rFonts w:ascii="Times New Roman" w:cs="Times New Roman" w:eastAsia="Times New Roman" w:hAnsi="Times New Roman"/>
          <w:sz w:val="18"/>
          <w:szCs w:val="18"/>
          <w:u w:val="single" w:color="auto"/>
          <w:color w:val="auto"/>
        </w:rPr>
        <w:t>Registration/Proxy Statement</w:t>
      </w:r>
      <w:r>
        <w:rPr>
          <w:rFonts w:ascii="Times New Roman" w:cs="Times New Roman" w:eastAsia="Times New Roman" w:hAnsi="Times New Roman"/>
          <w:sz w:val="18"/>
          <w:szCs w:val="18"/>
          <w:color w:val="auto"/>
        </w:rPr>
        <w:t>”) and (b) the Company will file a definitive proxy statement relating to the proposed Business Combination (the “</w:t>
      </w:r>
      <w:r>
        <w:rPr>
          <w:rFonts w:ascii="Times New Roman" w:cs="Times New Roman" w:eastAsia="Times New Roman" w:hAnsi="Times New Roman"/>
          <w:sz w:val="18"/>
          <w:szCs w:val="18"/>
          <w:u w:val="single" w:color="auto"/>
          <w:color w:val="auto"/>
        </w:rPr>
        <w:t>Definitive Proxy Statement</w:t>
      </w:r>
      <w:r>
        <w:rPr>
          <w:rFonts w:ascii="Times New Roman" w:cs="Times New Roman" w:eastAsia="Times New Roman" w:hAnsi="Times New Roman"/>
          <w:sz w:val="18"/>
          <w:szCs w:val="18"/>
          <w:color w:val="auto"/>
        </w:rPr>
        <w:t>”) and will mail the Definitive Proxy Statement and other relevant materials to its stockholders after the Registration/Proxy Statement is declared effective. The Registration/Proxy Statement contains and the Definitive Proxy Statement will contain important information about the proposed Business Combination and the other matters to be voted upon at a meeting of the Company’s stockholders to be held to approve the proposed Business Combination. This Current Report does not contain all the information that should be considered concerning the proposed Business Combination and is not intended to form the basis of any investment decision or any other decision in respect of the Business Combination. Before making any voting or other investment decisions, securityholders of the Company and other interested persons are advised to read the Registration/Proxy Statement and the amendments thereto and the Definitive Proxy Statement and other documents filed in connection with the proposed Business Combination, as these materials will contain important information about the Company, Polestar, ListCo and the Business Combination. When available, the Definitive Proxy Statement and other relevant materials for the proposed Business Combination will be mailed to stockholders of the Company as of a record date to be established for voting on the proposed Business Combination. Stockholders will also be able to obtain copies of the Registration/Proxy Statement, the Definitive Proxy Statement and other documents filed with the SEC, without charge, once available, at the SEC’s website at www.sec.gov, or by directing a request to: Gores Guggenheim, Inc., 6260 Lookout Rd., Boulder, CO 80301, attention: Jennifer Kwon Chou.</w:t>
      </w:r>
    </w:p>
    <w:p>
      <w:pPr>
        <w:spacing w:after="0" w:line="192" w:lineRule="exact"/>
        <w:rPr>
          <w:sz w:val="20"/>
          <w:szCs w:val="20"/>
          <w:color w:val="auto"/>
        </w:rPr>
      </w:pPr>
    </w:p>
    <w:p>
      <w:pPr>
        <w:ind w:right="1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ectPr>
          <w:pgSz w:w="11900" w:h="16838" w:orient="portrait"/>
          <w:cols w:equalWidth="0" w:num="1">
            <w:col w:w="11000"/>
          </w:cols>
          <w:pgMar w:left="440" w:top="270"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Participants in the Solicitation</w:t>
      </w:r>
    </w:p>
    <w:p>
      <w:pPr>
        <w:spacing w:after="0" w:line="121"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The Company and its directors and executive officers may be deemed participants in the solicitation of proxies from the Company’s stockholders with respect to the proposed Business Combination. A list of the names of those directors and executive officers and a description of their interests in the Company is set forth in the Company’s filings with the SEC (including the Company’s final prospectus related to its initial public offering (File</w:t>
      </w:r>
    </w:p>
    <w:p>
      <w:pPr>
        <w:spacing w:after="0" w:line="1"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17"/>
          <w:szCs w:val="17"/>
          <w:color w:val="auto"/>
        </w:rPr>
        <w:t>No. 333-253338) declared effective by the SEC on March 22, 2021), and are available free of charge at the SEC’s web site at www.sec.gov, or by directing a request to Gores Guggenheim, Inc., 6260 Lookout Rd., Boulder, CO 80301, attention: Jennifer Kwon Chou. Additional information regarding the interests of such participants is contained in the Registration/Proxy Statement and will be contained in the Definitive Proxy Statement.</w:t>
      </w:r>
    </w:p>
    <w:p>
      <w:pPr>
        <w:spacing w:after="0" w:line="169"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Polestar and ListCo, and certain of their directors and executive officers may also be deemed to be participants in the solicitation of proxies from the stockholders of the Company in connection with the proposed Business Combination. A list of the names of such directors and executive officers and information regarding their interests in the proposed Business Combination is included in the Registration/Proxy Statement and will be included in the Definitive Proxy Statement.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and Non-Solicitation</w:t>
      </w:r>
    </w:p>
    <w:p>
      <w:pPr>
        <w:spacing w:after="0" w:line="121"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This Current Report is not a proxy statement or solicitation of a proxy, consent or authorization with respect to any securities or in respect of the potential transaction and shall not constitute an offer to sell or a solicitation of an offer to buy the securities of the Company, Polestar or ListCo,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3"/>
                <w:szCs w:val="13"/>
                <w:color w:val="auto"/>
              </w:rPr>
            </w:pPr>
          </w:p>
        </w:tc>
        <w:tc>
          <w:tcPr>
            <w:tcW w:w="10140" w:type="dxa"/>
            <w:vAlign w:val="bottom"/>
            <w:vMerge w:val="restart"/>
          </w:tcPr>
          <w:p>
            <w:pPr>
              <w:ind w:left="48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10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BCA Amendment No. 3, dated April 21, 2022.</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5"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5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Gores Guggenheim,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21, 2022</w:t>
            </w: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McBride</w:t>
            </w:r>
          </w:p>
        </w:tc>
      </w:tr>
      <w:tr>
        <w:trPr>
          <w:trHeight w:val="205"/>
        </w:trPr>
        <w:tc>
          <w:tcPr>
            <w:tcW w:w="3500" w:type="dxa"/>
            <w:vAlign w:val="bottom"/>
          </w:tcPr>
          <w:p>
            <w:pPr>
              <w:spacing w:after="0"/>
              <w:rPr>
                <w:sz w:val="17"/>
                <w:szCs w:val="17"/>
                <w:color w:val="auto"/>
              </w:rPr>
            </w:pPr>
          </w:p>
        </w:tc>
        <w:tc>
          <w:tcPr>
            <w:tcW w:w="2660" w:type="dxa"/>
            <w:vAlign w:val="bottom"/>
          </w:tcPr>
          <w:p>
            <w:pPr>
              <w:ind w:left="20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Andrew McBride</w:t>
            </w:r>
          </w:p>
        </w:tc>
      </w:tr>
      <w:tr>
        <w:trPr>
          <w:trHeight w:val="234"/>
        </w:trPr>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Secretary</w:t>
            </w:r>
          </w:p>
        </w:tc>
      </w:tr>
    </w:tbl>
    <w:p>
      <w:pPr>
        <w:sectPr>
          <w:pgSz w:w="11900" w:h="16838" w:orient="portrait"/>
          <w:cols w:equalWidth="0" w:num="1">
            <w:col w:w="11020"/>
          </w:cols>
          <w:pgMar w:left="440" w:top="270"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2.1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AMENDMENT NO. 3 TO BUSINESS COMBINATION AGREEMENT</w:t>
      </w:r>
    </w:p>
    <w:p>
      <w:pPr>
        <w:spacing w:after="0" w:line="229" w:lineRule="exact"/>
        <w:rPr>
          <w:sz w:val="20"/>
          <w:szCs w:val="20"/>
          <w:color w:val="auto"/>
        </w:rPr>
      </w:pPr>
    </w:p>
    <w:p>
      <w:pPr>
        <w:jc w:val="both"/>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THIS AMENDMENT NO. 3 TO BUSINESS COMBINATION AGREEMENT (this “</w:t>
      </w:r>
      <w:r>
        <w:rPr>
          <w:rFonts w:ascii="Times New Roman" w:cs="Times New Roman" w:eastAsia="Times New Roman" w:hAnsi="Times New Roman"/>
          <w:sz w:val="18"/>
          <w:szCs w:val="18"/>
          <w:u w:val="single" w:color="auto"/>
          <w:color w:val="auto"/>
        </w:rPr>
        <w:t>Amendment No. 3</w:t>
      </w:r>
      <w:r>
        <w:rPr>
          <w:rFonts w:ascii="Times New Roman" w:cs="Times New Roman" w:eastAsia="Times New Roman" w:hAnsi="Times New Roman"/>
          <w:sz w:val="18"/>
          <w:szCs w:val="18"/>
          <w:color w:val="auto"/>
        </w:rPr>
        <w:t>”) is made and entered into as of April 21, 2022, by and among Gores Guggenheim, Inc., a Delaware corporation (“</w:t>
      </w:r>
      <w:r>
        <w:rPr>
          <w:rFonts w:ascii="Times New Roman" w:cs="Times New Roman" w:eastAsia="Times New Roman" w:hAnsi="Times New Roman"/>
          <w:sz w:val="18"/>
          <w:szCs w:val="18"/>
          <w:u w:val="single" w:color="auto"/>
          <w:color w:val="auto"/>
        </w:rPr>
        <w:t>GG</w:t>
      </w:r>
      <w:r>
        <w:rPr>
          <w:rFonts w:ascii="Times New Roman" w:cs="Times New Roman" w:eastAsia="Times New Roman" w:hAnsi="Times New Roman"/>
          <w:sz w:val="18"/>
          <w:szCs w:val="18"/>
          <w:color w:val="auto"/>
        </w:rPr>
        <w:t>”), Polestar Automotive Holding Limited, a Hong Kong incorporated company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Polestar Automotive (Singapore) Pte. Ltd., a private company limited by shares in Singapore (“</w:t>
      </w:r>
      <w:r>
        <w:rPr>
          <w:rFonts w:ascii="Times New Roman" w:cs="Times New Roman" w:eastAsia="Times New Roman" w:hAnsi="Times New Roman"/>
          <w:sz w:val="18"/>
          <w:szCs w:val="18"/>
          <w:u w:val="single" w:color="auto"/>
          <w:color w:val="auto"/>
        </w:rPr>
        <w:t>Polestar Singapore</w:t>
      </w:r>
      <w:r>
        <w:rPr>
          <w:rFonts w:ascii="Times New Roman" w:cs="Times New Roman" w:eastAsia="Times New Roman" w:hAnsi="Times New Roman"/>
          <w:sz w:val="18"/>
          <w:szCs w:val="18"/>
          <w:color w:val="auto"/>
        </w:rPr>
        <w:t>”), Polestar Holding AB, a private limited liability company incorporated under the laws of Sweden (“</w:t>
      </w:r>
      <w:r>
        <w:rPr>
          <w:rFonts w:ascii="Times New Roman" w:cs="Times New Roman" w:eastAsia="Times New Roman" w:hAnsi="Times New Roman"/>
          <w:sz w:val="18"/>
          <w:szCs w:val="18"/>
          <w:u w:val="single" w:color="auto"/>
          <w:color w:val="auto"/>
        </w:rPr>
        <w:t>Polestar Sweden</w:t>
      </w:r>
      <w:r>
        <w:rPr>
          <w:rFonts w:ascii="Times New Roman" w:cs="Times New Roman" w:eastAsia="Times New Roman" w:hAnsi="Times New Roman"/>
          <w:sz w:val="18"/>
          <w:szCs w:val="18"/>
          <w:color w:val="auto"/>
        </w:rPr>
        <w:t>”), Polestar Automotive Holding UK Limited, a limited company incorporated under the laws of England and Wales and a direct wholly owned subsidiary of Parent (“</w:t>
      </w:r>
      <w:r>
        <w:rPr>
          <w:rFonts w:ascii="Times New Roman" w:cs="Times New Roman" w:eastAsia="Times New Roman" w:hAnsi="Times New Roman"/>
          <w:sz w:val="18"/>
          <w:szCs w:val="18"/>
          <w:u w:val="single" w:color="auto"/>
          <w:color w:val="auto"/>
        </w:rPr>
        <w:t>ListCo</w:t>
      </w:r>
      <w:r>
        <w:rPr>
          <w:rFonts w:ascii="Times New Roman" w:cs="Times New Roman" w:eastAsia="Times New Roman" w:hAnsi="Times New Roman"/>
          <w:sz w:val="18"/>
          <w:szCs w:val="18"/>
          <w:color w:val="auto"/>
        </w:rPr>
        <w:t>”), and PAH UK Merger Sub Inc., a Delaware corporation and a direct wholly owned subsidiary of ListCo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together with GG, Parent, the Company and ListCo,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each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amends that certain Business Combination Agreement, dated as of September 27, 2021, by and among the Parties, as amended by that certain Amendment No. 1 to Business Combination Agreement, dated as of December 17, 2021, by and among the Parties (“</w:t>
      </w:r>
      <w:r>
        <w:rPr>
          <w:rFonts w:ascii="Times New Roman" w:cs="Times New Roman" w:eastAsia="Times New Roman" w:hAnsi="Times New Roman"/>
          <w:sz w:val="18"/>
          <w:szCs w:val="18"/>
          <w:u w:val="single" w:color="auto"/>
          <w:color w:val="auto"/>
        </w:rPr>
        <w:t>Amendment No. 1</w:t>
      </w:r>
      <w:r>
        <w:rPr>
          <w:rFonts w:ascii="Times New Roman" w:cs="Times New Roman" w:eastAsia="Times New Roman" w:hAnsi="Times New Roman"/>
          <w:sz w:val="18"/>
          <w:szCs w:val="18"/>
          <w:color w:val="auto"/>
        </w:rPr>
        <w:t>”), as amended by that certain Amendment No. 2 to Business Combination Agreement, dated as of March 24, 2022 (“</w:t>
      </w:r>
      <w:r>
        <w:rPr>
          <w:rFonts w:ascii="Times New Roman" w:cs="Times New Roman" w:eastAsia="Times New Roman" w:hAnsi="Times New Roman"/>
          <w:sz w:val="18"/>
          <w:szCs w:val="18"/>
          <w:u w:val="single" w:color="auto"/>
          <w:color w:val="auto"/>
        </w:rPr>
        <w:t>Amendment No. 2</w:t>
      </w:r>
      <w:r>
        <w:rPr>
          <w:rFonts w:ascii="Times New Roman" w:cs="Times New Roman" w:eastAsia="Times New Roman" w:hAnsi="Times New Roman"/>
          <w:sz w:val="18"/>
          <w:szCs w:val="18"/>
          <w:color w:val="auto"/>
        </w:rPr>
        <w:t>”, and such Business Combination Agreement as amended,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Except as otherwise set forth herein, capitalized terms used herein have the meanings set forth in the Business Combination Agreement.</w:t>
      </w:r>
    </w:p>
    <w:p>
      <w:pPr>
        <w:spacing w:after="0" w:line="200" w:lineRule="exact"/>
        <w:rPr>
          <w:sz w:val="20"/>
          <w:szCs w:val="20"/>
          <w:color w:val="auto"/>
        </w:rPr>
      </w:pPr>
    </w:p>
    <w:p>
      <w:pPr>
        <w:spacing w:after="0" w:line="2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WHEREAS, the Parties entered into the Business Combination Agreement on September 27, 2021, Amendment No. 1 on December 17, 2021 and Amendment No. 2 on March 24, 2022;</w:t>
      </w:r>
    </w:p>
    <w:p>
      <w:pPr>
        <w:spacing w:after="0" w:line="162" w:lineRule="exact"/>
        <w:rPr>
          <w:sz w:val="20"/>
          <w:szCs w:val="20"/>
          <w:color w:val="auto"/>
        </w:rPr>
      </w:pPr>
    </w:p>
    <w:p>
      <w:pPr>
        <w:jc w:val="both"/>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WHEREAS, pursuant to the Business Combination Agreement, Parent and GG will have the right, under certain circumstances, to terminate the Business Combination Agreement if the Transactions contemplated thereby shall not have been consummated on or prior to May 27, 2022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left="4" w:firstLine="991"/>
        <w:spacing w:after="0" w:line="282" w:lineRule="auto"/>
        <w:rPr>
          <w:sz w:val="20"/>
          <w:szCs w:val="20"/>
          <w:color w:val="auto"/>
        </w:rPr>
      </w:pPr>
      <w:r>
        <w:rPr>
          <w:rFonts w:ascii="Times New Roman" w:cs="Times New Roman" w:eastAsia="Times New Roman" w:hAnsi="Times New Roman"/>
          <w:sz w:val="18"/>
          <w:szCs w:val="18"/>
          <w:color w:val="auto"/>
        </w:rPr>
        <w:t>WHEREAS, the Parties wish to amend the Business Combination Agreement to extend the Termination Date of the Business Combination Agreement from May 27, 2022 to June 24, 2022.</w:t>
      </w:r>
    </w:p>
    <w:p>
      <w:pPr>
        <w:spacing w:after="0" w:line="162" w:lineRule="exact"/>
        <w:rPr>
          <w:sz w:val="20"/>
          <w:szCs w:val="20"/>
          <w:color w:val="auto"/>
        </w:rPr>
      </w:pPr>
    </w:p>
    <w:p>
      <w:pPr>
        <w:jc w:val="both"/>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covenants, promises and representations set forth herein and in the Business Combination Agreement, and for other good and valuable consideration, the receipt and sufficiency of which are hereby acknowledged, the Parties agree as follows:</w:t>
      </w:r>
    </w:p>
    <w:p>
      <w:pPr>
        <w:spacing w:after="0" w:line="162" w:lineRule="exact"/>
        <w:rPr>
          <w:sz w:val="20"/>
          <w:szCs w:val="20"/>
          <w:color w:val="auto"/>
        </w:rPr>
      </w:pPr>
    </w:p>
    <w:p>
      <w:pPr>
        <w:ind w:left="4" w:right="20" w:hanging="4"/>
        <w:spacing w:after="0" w:line="282" w:lineRule="auto"/>
        <w:tabs>
          <w:tab w:leader="none" w:pos="1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Section 10.01(d)</w:t>
      </w:r>
      <w:r>
        <w:rPr>
          <w:rFonts w:ascii="Times New Roman" w:cs="Times New Roman" w:eastAsia="Times New Roman" w:hAnsi="Times New Roman"/>
          <w:sz w:val="18"/>
          <w:szCs w:val="18"/>
          <w:color w:val="auto"/>
        </w:rPr>
        <w:t>. Section 10.01(d) of the Business Combination Agreement is hereby amended and restated in its entirety to read as follows:</w:t>
      </w:r>
    </w:p>
    <w:p>
      <w:pPr>
        <w:spacing w:after="0" w:line="53" w:lineRule="exact"/>
        <w:rPr>
          <w:rFonts w:ascii="Times New Roman" w:cs="Times New Roman" w:eastAsia="Times New Roman" w:hAnsi="Times New Roman"/>
          <w:sz w:val="18"/>
          <w:szCs w:val="18"/>
          <w:color w:val="auto"/>
        </w:rPr>
      </w:pPr>
    </w:p>
    <w:p>
      <w:pPr>
        <w:ind w:left="444" w:right="20" w:firstLine="419"/>
        <w:spacing w:after="0" w:line="282" w:lineRule="auto"/>
        <w:tabs>
          <w:tab w:leader="none" w:pos="11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GG or Parent, if the Transactions shall not have been consummated on or prior to June 24, 2022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w:t>
      </w:r>
    </w:p>
    <w:p>
      <w:pPr>
        <w:sectPr>
          <w:pgSz w:w="11900" w:h="16838" w:orient="portrait"/>
          <w:cols w:equalWidth="0" w:num="1">
            <w:col w:w="11024"/>
          </w:cols>
          <w:pgMar w:left="436" w:top="266" w:right="439" w:bottom="1440" w:gutter="0" w:footer="0" w:header="0"/>
        </w:sectPr>
      </w:pPr>
    </w:p>
    <w:bookmarkStart w:id="6" w:name="page7"/>
    <w:bookmarkEnd w:id="6"/>
    <w:p>
      <w:pPr>
        <w:ind w:left="44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terminate this Agreement pursuant to this </w:t>
      </w:r>
      <w:r>
        <w:rPr>
          <w:rFonts w:ascii="Times New Roman" w:cs="Times New Roman" w:eastAsia="Times New Roman" w:hAnsi="Times New Roman"/>
          <w:sz w:val="18"/>
          <w:szCs w:val="18"/>
          <w:u w:val="single" w:color="auto"/>
          <w:color w:val="auto"/>
        </w:rPr>
        <w:t>Section 10.01(d)</w:t>
      </w:r>
      <w:r>
        <w:rPr>
          <w:rFonts w:ascii="Times New Roman" w:cs="Times New Roman" w:eastAsia="Times New Roman" w:hAnsi="Times New Roman"/>
          <w:sz w:val="18"/>
          <w:szCs w:val="18"/>
          <w:color w:val="auto"/>
        </w:rPr>
        <w:t xml:space="preserve"> shall not be available to (i) GG if GG’s breach of any of its covenants or obligations under this Agreement shall have been the primary cause of the failure to consummate the Transactions on or before the Termination Date or</w:t>
      </w:r>
    </w:p>
    <w:p>
      <w:pPr>
        <w:ind w:left="444" w:hanging="4"/>
        <w:spacing w:after="0" w:line="260" w:lineRule="auto"/>
        <w:tabs>
          <w:tab w:leader="none" w:pos="71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if Parent’s, Polestar Singapore’s, Polestar Sweden’s, ListCo’s or Merger Sub’s breach of any of its covenants or obligations under this Agreement shall have been the primary cause of the failure to consummate the Transactions on or before the Termination Date;</w:t>
      </w:r>
    </w:p>
    <w:p>
      <w:pPr>
        <w:spacing w:after="0" w:line="181"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Amendment</w:t>
      </w:r>
      <w:r>
        <w:rPr>
          <w:rFonts w:ascii="Times New Roman" w:cs="Times New Roman" w:eastAsia="Times New Roman" w:hAnsi="Times New Roman"/>
          <w:sz w:val="18"/>
          <w:szCs w:val="18"/>
          <w:color w:val="auto"/>
        </w:rPr>
        <w:t>. This Amendment No. 3 shall be effective as of the date first written above. For the avoidance of any doubt, all references:</w:t>
      </w:r>
    </w:p>
    <w:p>
      <w:pPr>
        <w:spacing w:after="0" w:line="27" w:lineRule="exact"/>
        <w:rPr>
          <w:rFonts w:ascii="Times New Roman" w:cs="Times New Roman" w:eastAsia="Times New Roman" w:hAnsi="Times New Roman"/>
          <w:sz w:val="18"/>
          <w:szCs w:val="18"/>
          <w:color w:val="auto"/>
        </w:rPr>
      </w:pPr>
    </w:p>
    <w:p>
      <w:pPr>
        <w:jc w:val="both"/>
        <w:ind w:left="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Business Combination Agreement to “this Agreement” and (b) to the Business Combination Agreement in any other agreements, exhibits and schedules will, in each case, be deemed to be references to the Business Combination Agreement as amended by this Amendment No. 3. Except as amended hereby, the Business Combination Agreement will continue in full force and effect and shall be otherwise unaffected hereby. This Amendment No. 3 shall be binding upon and shall inure to the benefit of the Parties and their respective successors and assigns. This Amendment No. 3 only may be amended by the Parties by execution of an instrument in writing signed on behalf of each of the Parties.</w:t>
      </w:r>
    </w:p>
    <w:p>
      <w:pPr>
        <w:spacing w:after="0" w:line="186" w:lineRule="exact"/>
        <w:rPr>
          <w:rFonts w:ascii="Times New Roman" w:cs="Times New Roman" w:eastAsia="Times New Roman" w:hAnsi="Times New Roman"/>
          <w:sz w:val="18"/>
          <w:szCs w:val="18"/>
          <w:color w:val="auto"/>
        </w:rPr>
      </w:pPr>
    </w:p>
    <w:p>
      <w:pPr>
        <w:jc w:val="both"/>
        <w:ind w:left="4" w:hanging="4"/>
        <w:spacing w:after="0" w:line="266" w:lineRule="auto"/>
        <w:tabs>
          <w:tab w:leader="none" w:pos="18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by Reference</w:t>
      </w:r>
      <w:r>
        <w:rPr>
          <w:rFonts w:ascii="Times New Roman" w:cs="Times New Roman" w:eastAsia="Times New Roman" w:hAnsi="Times New Roman"/>
          <w:sz w:val="18"/>
          <w:szCs w:val="18"/>
          <w:color w:val="auto"/>
        </w:rPr>
        <w:t xml:space="preserve">. Sections 1.02 (Construction); 11.03 (Assignment); 11.06 (Governing Law); 11.07 (Captions; Counterparts); 11.09 (Entire Agreement); 11.10 (Amendments); 11.11 (Severability); 11.12 (Jurisdiction); 11.13 (Waiver of Jury Trial) and 11.14 (Enforcement) of the Business Combination Agreement are incorporated herein and shall apply to this Amendment No. 3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Amendment No. 3 to be executed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GORES GUGGENHEIM, INC.</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Stone</w:t>
            </w:r>
          </w:p>
        </w:tc>
      </w:tr>
      <w:tr>
        <w:trPr>
          <w:trHeight w:val="22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Mark Stone</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8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PAH UK MERGER SUB INC.</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 Mikael Alkmark</w:t>
            </w:r>
          </w:p>
        </w:tc>
      </w:tr>
      <w:tr>
        <w:trPr>
          <w:trHeight w:val="22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Jan Mikael Alkmark</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8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POLESTAR AUTOMOTIVE HOLDING LIMITED</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Carla De Geyseleer</w:t>
            </w:r>
          </w:p>
        </w:tc>
      </w:tr>
      <w:tr>
        <w:trPr>
          <w:trHeight w:val="22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Carla De Geyseleer</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8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POLESTAR AUTOMOTIVE (SINGAPORE) PTE. LTD.</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 Ang</w:t>
            </w:r>
          </w:p>
        </w:tc>
      </w:tr>
      <w:tr>
        <w:trPr>
          <w:trHeight w:val="22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Alex Ang</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2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 Mikael Alkmark</w:t>
            </w:r>
          </w:p>
        </w:tc>
      </w:tr>
      <w:tr>
        <w:trPr>
          <w:trHeight w:val="22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Jan Mikael Alkmark</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8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POLESTAR HOLDING AB (SWEDEN)</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Johan Malmqvist</w:t>
            </w:r>
          </w:p>
        </w:tc>
      </w:tr>
      <w:tr>
        <w:trPr>
          <w:trHeight w:val="22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Johan Malmqvist</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2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Anna Rudensjö</w:t>
            </w:r>
          </w:p>
        </w:tc>
      </w:tr>
      <w:tr>
        <w:trPr>
          <w:trHeight w:val="22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Anna Rudensjö</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23"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No. 3 to Business Combination Agreement</w:t>
      </w:r>
      <w:r>
        <w:rPr>
          <w:rFonts w:ascii="Times New Roman" w:cs="Times New Roman" w:eastAsia="Times New Roman" w:hAnsi="Times New Roman"/>
          <w:sz w:val="18"/>
          <w:szCs w:val="18"/>
          <w:color w:val="auto"/>
        </w:rPr>
        <w:t>]</w:t>
      </w:r>
    </w:p>
    <w:p>
      <w:pPr>
        <w:sectPr>
          <w:pgSz w:w="11900" w:h="16838" w:orient="portrait"/>
          <w:cols w:equalWidth="0" w:num="1">
            <w:col w:w="10580"/>
          </w:cols>
          <w:pgMar w:left="880" w:top="270" w:right="439" w:bottom="1440" w:gutter="0" w:footer="0" w:header="0"/>
        </w:sectPr>
      </w:pPr>
    </w:p>
    <w:bookmarkStart w:id="8" w:name="page9"/>
    <w:bookmarkEnd w:id="8"/>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POLESTAR AUTOMOTIVE HOLDING UK LIMITED</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 Mikael Alkmark</w:t>
            </w:r>
          </w:p>
        </w:tc>
      </w:tr>
      <w:tr>
        <w:trPr>
          <w:trHeight w:val="22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Jan Mikael Alkmark</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2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No. 3 to Business Combination Agreement</w:t>
      </w:r>
      <w:r>
        <w:rPr>
          <w:rFonts w:ascii="Times New Roman" w:cs="Times New Roman" w:eastAsia="Times New Roman" w:hAnsi="Times New Roman"/>
          <w:sz w:val="18"/>
          <w:szCs w:val="18"/>
          <w:color w:val="auto"/>
        </w:rPr>
        <w:t>]</w:t>
      </w:r>
    </w:p>
    <w:sectPr>
      <w:pgSz w:w="11900" w:h="16838" w:orient="portrait"/>
      <w:cols w:equalWidth="0" w:num="1">
        <w:col w:w="10020"/>
      </w:cols>
      <w:pgMar w:left="1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lvl w:ilvl="1">
      <w:lvlJc w:val="left"/>
      <w:lvlText w:val="(%2)"/>
      <w:numFmt w:val="lowerLetter"/>
      <w:start w:val="4"/>
    </w:lvl>
  </w:abstractNum>
  <w:abstractNum w:abstractNumId="4">
    <w:nsid w:val="3D1B58BA"/>
    <w:multiLevelType w:val="hybridMultilevel"/>
    <w:lvl w:ilvl="0">
      <w:lvlJc w:val="left"/>
      <w:lvlText w:val="%1"/>
      <w:numFmt w:val="decimal"/>
      <w:start w:val="1"/>
    </w:lvl>
    <w:lvl w:ilvl="1">
      <w:lvlJc w:val="left"/>
      <w:lvlText w:val="(%2)"/>
      <w:numFmt w:val="lowerLetter"/>
      <w:start w:val="35"/>
    </w:lvl>
  </w:abstractNum>
  <w:abstractNum w:abstractNumId="5">
    <w:nsid w:val="507ED7AB"/>
    <w:multiLevelType w:val="hybridMultilevel"/>
    <w:lvl w:ilvl="0">
      <w:lvlJc w:val="left"/>
      <w:lvlText w:val="%1."/>
      <w:numFmt w:val="decimal"/>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2022-04-21T16:26:59Z</dcterms:created>
  <dcterms:modified xsi:type="dcterms:W3CDTF">2022-04-21T16:26:59Z</dcterms:modified>
</cp:coreProperties>
</file>