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Vahland Winfried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tcPr>
          <w:p>
            <w:pPr>
              <w:ind w:left="40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ASSAR GABRIELSSONS VAG 9</w:t>
            </w:r>
          </w:p>
        </w:tc>
        <w:tc>
          <w:tcPr>
            <w:tcW w:w="12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GOTHENBURG V7</w:t>
            </w: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SE-405 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tcPr>
          <w:p>
            <w:pPr>
              <w:ind w:left="400"/>
              <w:spacing w:after="0"/>
              <w:rPr>
                <w:sz w:val="20"/>
                <w:szCs w:val="20"/>
                <w:color w:val="auto"/>
              </w:rPr>
            </w:pPr>
            <w:r>
              <w:rPr>
                <w:rFonts w:ascii="Arial" w:cs="Arial" w:eastAsia="Arial" w:hAnsi="Arial"/>
                <w:sz w:val="13"/>
                <w:szCs w:val="13"/>
                <w:color w:val="auto"/>
              </w:rPr>
              <w:t>(State)</w:t>
            </w:r>
          </w:p>
        </w:tc>
        <w:tc>
          <w:tcPr>
            <w:tcW w:w="120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Polestar Automotive Holding UK PLC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80" w:type="dxa"/>
            <w:vAlign w:val="bottom"/>
            <w:tcBorders>
              <w:bottom w:val="single" w:sz="8" w:color="0000EE"/>
            </w:tcBorders>
          </w:tcPr>
          <w:p>
            <w:pPr>
              <w:spacing w:after="0"/>
              <w:rPr>
                <w:sz w:val="3"/>
                <w:szCs w:val="3"/>
                <w:color w:val="auto"/>
              </w:rPr>
            </w:pPr>
          </w:p>
        </w:tc>
        <w:tc>
          <w:tcPr>
            <w:tcW w:w="4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PSNY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0" w:type="dxa"/>
            <w:vAlign w:val="bottom"/>
            <w:gridSpan w:val="2"/>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18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1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3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American Depositary Shares</w:t>
            </w:r>
          </w:p>
        </w:tc>
        <w:tc>
          <w:tcPr>
            <w:tcW w:w="150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6,700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19.72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31,979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$19.47 to $19.79, inclusive. The reporting person undertakes to provide to Polestar Automotive Holding UK PLC ("Polestar"), any security holder of Polestar, or the staff of the Securities and Exchange Commission, upon request, full information regarding the number of shares purchased at each separate price within the ranges set forth in footnote (1)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Chris Bailey-Gates, Attorney-  </w:t>
      </w:r>
      <w:r>
        <w:rPr>
          <w:rFonts w:ascii="Times New Roman" w:cs="Times New Roman" w:eastAsia="Times New Roman" w:hAnsi="Times New Roman"/>
          <w:sz w:val="34"/>
          <w:szCs w:val="34"/>
          <w:color w:val="0000FF"/>
          <w:vertAlign w:val="subscript"/>
        </w:rPr>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5942" TargetMode="External"/><Relationship Id="rId14" Type="http://schemas.openxmlformats.org/officeDocument/2006/relationships/hyperlink" Target="http://www.sec.gov/cgi-bin/browse-edgar?action=getcompany&amp;CIK=00018840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2026-06-03T16:57:44Z</dcterms:created>
  <dcterms:modified xsi:type="dcterms:W3CDTF">2026-06-03T16:57:44Z</dcterms:modified>
</cp:coreProperties>
</file>