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99"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For the month of April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001-41431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ind w:left="2080"/>
        <w:spacing w:after="0"/>
        <w:rPr>
          <w:sz w:val="20"/>
          <w:szCs w:val="20"/>
          <w:color w:val="auto"/>
        </w:rPr>
      </w:pPr>
      <w:r>
        <w:rPr>
          <w:rFonts w:ascii="Times New Roman" w:cs="Times New Roman" w:eastAsia="Times New Roman" w:hAnsi="Times New Roman"/>
          <w:sz w:val="43"/>
          <w:szCs w:val="43"/>
          <w:b w:val="1"/>
          <w:bCs w:val="1"/>
          <w:color w:val="auto"/>
        </w:rPr>
        <w:t>Polestar Automotive Holding UK PLC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Assar Gabrielssons Väg 9</w:t>
      </w:r>
    </w:p>
    <w:p>
      <w:pPr>
        <w:spacing w:after="0" w:line="31"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405 31 Göteborg, Sweden</w:t>
      </w:r>
    </w:p>
    <w:p>
      <w:pPr>
        <w:spacing w:after="0" w:line="9"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320"/>
        <w:spacing w:after="0" w:line="207" w:lineRule="exact"/>
        <w:tabs>
          <w:tab w:leader="none" w:pos="588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Form 40-F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submitting the Form 6-K in paper as permitted by Regulation S-T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652145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54"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INFORMATION CONTAINED IN THIS REPORT ON FORM 6-K</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On April 9, 2026, Polestar Automotive Holding UK PLC (“Polestar”) issued a press release announcing its preliminary estimates for global volumes for the first quarter of 2026. A copy of the press release is attached hereto as Exhibit 99.1.</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Exhibit 99.1 to this Report on Form 6-K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100" w:type="dxa"/>
            <w:vAlign w:val="bottom"/>
            <w:gridSpan w:val="2"/>
          </w:tcPr>
          <w:p>
            <w:pPr>
              <w:ind w:left="378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ind w:left="4200"/>
              <w:spacing w:after="0"/>
              <w:rPr>
                <w:sz w:val="20"/>
                <w:szCs w:val="20"/>
                <w:color w:val="auto"/>
              </w:rPr>
            </w:pPr>
            <w:r>
              <w:rPr>
                <w:rFonts w:ascii="Times New Roman" w:cs="Times New Roman" w:eastAsia="Times New Roman" w:hAnsi="Times New Roman"/>
                <w:sz w:val="18"/>
                <w:szCs w:val="18"/>
                <w:b w:val="1"/>
                <w:bCs w:val="1"/>
                <w:color w:val="auto"/>
              </w:rPr>
              <w:t>Description of Exhibit</w:t>
            </w:r>
          </w:p>
        </w:tc>
      </w:tr>
      <w:tr>
        <w:trPr>
          <w:trHeight w:val="392"/>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color w:val="0000EE"/>
              </w:rPr>
              <w:t>Press Release of Polestar Automotive Holding UK PLC, dated April 9, 2026.</w:t>
            </w:r>
          </w:p>
        </w:tc>
      </w:tr>
      <w:tr>
        <w:trPr>
          <w:trHeight w:val="453"/>
        </w:trPr>
        <w:tc>
          <w:tcPr>
            <w:tcW w:w="32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5560" w:type="dxa"/>
            <w:vAlign w:val="bottom"/>
            <w:tcBorders>
              <w:top w:val="single" w:sz="8" w:color="0000EE"/>
              <w:bottom w:val="single" w:sz="8" w:color="auto"/>
            </w:tcBorders>
          </w:tcPr>
          <w:p>
            <w:pPr>
              <w:spacing w:after="0"/>
              <w:rPr>
                <w:sz w:val="24"/>
                <w:szCs w:val="24"/>
                <w:color w:val="auto"/>
              </w:rPr>
            </w:pPr>
          </w:p>
        </w:tc>
        <w:tc>
          <w:tcPr>
            <w:tcW w:w="45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96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520" w:type="dxa"/>
            <w:vAlign w:val="bottom"/>
          </w:tcPr>
          <w:p>
            <w:pPr>
              <w:spacing w:after="0"/>
              <w:rPr>
                <w:sz w:val="20"/>
                <w:szCs w:val="20"/>
                <w:color w:val="auto"/>
              </w:rPr>
            </w:pPr>
          </w:p>
        </w:tc>
        <w:tc>
          <w:tcPr>
            <w:tcW w:w="7720" w:type="dxa"/>
            <w:vAlign w:val="bottom"/>
            <w:gridSpan w:val="2"/>
          </w:tcPr>
          <w:p>
            <w:pPr>
              <w:ind w:left="2120"/>
              <w:spacing w:after="0"/>
              <w:rPr>
                <w:sz w:val="20"/>
                <w:szCs w:val="20"/>
                <w:color w:val="auto"/>
              </w:rPr>
            </w:pPr>
            <w:r>
              <w:rPr>
                <w:rFonts w:ascii="Times New Roman" w:cs="Times New Roman" w:eastAsia="Times New Roman" w:hAnsi="Times New Roman"/>
                <w:sz w:val="18"/>
                <w:szCs w:val="18"/>
                <w:b w:val="1"/>
                <w:bCs w:val="1"/>
                <w:color w:val="auto"/>
              </w:rPr>
              <w:t>POLESTAR AUTOMOTIVE HOLDING UK PLC</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2026</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Michael Lohscheller</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Michael Lohscheller</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Executive Officer</w:t>
            </w:r>
          </w:p>
        </w:tc>
      </w:tr>
      <w:tr>
        <w:trPr>
          <w:trHeight w:val="432"/>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April 9, 2026</w:t>
            </w: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Jean-François Mady</w:t>
            </w:r>
          </w:p>
        </w:tc>
      </w:tr>
      <w:tr>
        <w:trPr>
          <w:trHeight w:val="191"/>
        </w:trPr>
        <w:tc>
          <w:tcPr>
            <w:tcW w:w="3520" w:type="dxa"/>
            <w:vAlign w:val="bottom"/>
          </w:tcPr>
          <w:p>
            <w:pPr>
              <w:spacing w:after="0"/>
              <w:rPr>
                <w:sz w:val="16"/>
                <w:szCs w:val="16"/>
                <w:color w:val="auto"/>
              </w:rPr>
            </w:pPr>
          </w:p>
        </w:tc>
        <w:tc>
          <w:tcPr>
            <w:tcW w:w="2680" w:type="dxa"/>
            <w:vAlign w:val="bottom"/>
          </w:tcPr>
          <w:p>
            <w:pPr>
              <w:ind w:left="212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Jean-François Mady</w:t>
            </w:r>
          </w:p>
        </w:tc>
      </w:tr>
      <w:tr>
        <w:trPr>
          <w:trHeight w:val="234"/>
        </w:trPr>
        <w:tc>
          <w:tcPr>
            <w:tcW w:w="3520" w:type="dxa"/>
            <w:vAlign w:val="bottom"/>
          </w:tcPr>
          <w:p>
            <w:pPr>
              <w:spacing w:after="0"/>
              <w:rPr>
                <w:sz w:val="20"/>
                <w:szCs w:val="20"/>
                <w:color w:val="auto"/>
              </w:rPr>
            </w:pPr>
          </w:p>
        </w:tc>
        <w:tc>
          <w:tcPr>
            <w:tcW w:w="2680" w:type="dxa"/>
            <w:vAlign w:val="bottom"/>
          </w:tcPr>
          <w:p>
            <w:pPr>
              <w:ind w:left="212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r>
        <w:trPr>
          <w:trHeight w:val="432"/>
        </w:trPr>
        <w:tc>
          <w:tcPr>
            <w:tcW w:w="3520" w:type="dxa"/>
            <w:vAlign w:val="bottom"/>
            <w:tcBorders>
              <w:bottom w:val="single" w:sz="8" w:color="auto"/>
            </w:tcBorders>
          </w:tcPr>
          <w:p>
            <w:pPr>
              <w:spacing w:after="0"/>
              <w:rPr>
                <w:sz w:val="24"/>
                <w:szCs w:val="24"/>
                <w:color w:val="auto"/>
              </w:rPr>
            </w:pPr>
          </w:p>
        </w:tc>
        <w:tc>
          <w:tcPr>
            <w:tcW w:w="268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543050" cy="3257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43050" cy="325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Polestar reports highest ever first quarter retail sales of 13,126 in Q1 2026</w:t>
      </w:r>
    </w:p>
    <w:p>
      <w:pPr>
        <w:spacing w:after="0" w:line="229" w:lineRule="exact"/>
        <w:rPr>
          <w:sz w:val="20"/>
          <w:szCs w:val="20"/>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Retail sales in Q1 2026 totalled 13,126 cars, a growth of 7% versus Q1 2025</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Network expansion continuing, with 230 retail sales points at the end of Q1 2026, a growth of 50% vs Q1 2025</w:t>
      </w:r>
    </w:p>
    <w:p>
      <w:pPr>
        <w:spacing w:after="0" w:line="203" w:lineRule="exact"/>
        <w:rPr>
          <w:sz w:val="20"/>
          <w:szCs w:val="20"/>
          <w:color w:val="auto"/>
        </w:rPr>
      </w:pPr>
    </w:p>
    <w:p>
      <w:pPr>
        <w:ind w:right="3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GOTHENBURG, SWEDEN – 9 April 2026. </w:t>
      </w:r>
      <w:r>
        <w:rPr>
          <w:rFonts w:ascii="Times New Roman" w:cs="Times New Roman" w:eastAsia="Times New Roman" w:hAnsi="Times New Roman"/>
          <w:sz w:val="18"/>
          <w:szCs w:val="18"/>
          <w:color w:val="auto"/>
        </w:rPr>
        <w:t>Polestar (Nasdaq: PSNY) retail sales amounted to an estimated 13,126 cars in Q1 2026, a growth of 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to Q1 2025. 230 retail sales points are currently in operation, compared to 154 at the end of Q1 2025, representing a growth of 50%.</w:t>
      </w:r>
    </w:p>
    <w:p>
      <w:pPr>
        <w:spacing w:after="0" w:line="15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Michael Lohscheller, Polestar CEO, says: “Following a record 2025, we’ve delivered our highest ever first quarter retail sales figure of 13,126 cars. Growth compared to the first quarter last year totalled 7%, with a strong performance in key markets such as Australia, Germany, Sweden, South Korea and the UK, testament to the hard work of our teams and our established brand position.”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performance in the first quarter has shown resilience, with market conditions becoming more challenging, amid ongoing geopolitical developments.”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Breakdown of retail sales volumes: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52"/>
        </w:trPr>
        <w:tc>
          <w:tcPr>
            <w:tcW w:w="6980" w:type="dxa"/>
            <w:vAlign w:val="bottom"/>
          </w:tcPr>
          <w:p>
            <w:pPr>
              <w:spacing w:after="0"/>
              <w:rPr>
                <w:sz w:val="21"/>
                <w:szCs w:val="21"/>
                <w:color w:val="auto"/>
              </w:rPr>
            </w:pPr>
          </w:p>
        </w:tc>
        <w:tc>
          <w:tcPr>
            <w:tcW w:w="1480" w:type="dxa"/>
            <w:vAlign w:val="bottom"/>
            <w:gridSpan w:val="2"/>
          </w:tcPr>
          <w:p>
            <w:pPr>
              <w:ind w:left="320"/>
              <w:spacing w:after="0"/>
              <w:rPr>
                <w:sz w:val="20"/>
                <w:szCs w:val="20"/>
                <w:color w:val="auto"/>
              </w:rPr>
            </w:pPr>
            <w:r>
              <w:rPr>
                <w:rFonts w:ascii="Times New Roman" w:cs="Times New Roman" w:eastAsia="Times New Roman" w:hAnsi="Times New Roman"/>
                <w:sz w:val="18"/>
                <w:szCs w:val="18"/>
                <w:b w:val="1"/>
                <w:bCs w:val="1"/>
                <w:color w:val="auto"/>
              </w:rPr>
              <w:t>Q1 2026</w:t>
            </w:r>
          </w:p>
        </w:tc>
        <w:tc>
          <w:tcPr>
            <w:tcW w:w="1440" w:type="dxa"/>
            <w:vAlign w:val="bottom"/>
            <w:gridSpan w:val="2"/>
          </w:tcPr>
          <w:p>
            <w:pPr>
              <w:ind w:left="300"/>
              <w:spacing w:after="0"/>
              <w:rPr>
                <w:sz w:val="20"/>
                <w:szCs w:val="20"/>
                <w:color w:val="auto"/>
              </w:rPr>
            </w:pPr>
            <w:r>
              <w:rPr>
                <w:rFonts w:ascii="Times New Roman" w:cs="Times New Roman" w:eastAsia="Times New Roman" w:hAnsi="Times New Roman"/>
                <w:sz w:val="18"/>
                <w:szCs w:val="18"/>
                <w:b w:val="1"/>
                <w:bCs w:val="1"/>
                <w:color w:val="auto"/>
              </w:rPr>
              <w:t>Q1 2025</w:t>
            </w:r>
          </w:p>
        </w:tc>
        <w:tc>
          <w:tcPr>
            <w:tcW w:w="13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Change (%)</w:t>
            </w:r>
          </w:p>
        </w:tc>
      </w:tr>
      <w:tr>
        <w:trPr>
          <w:trHeight w:val="210"/>
        </w:trPr>
        <w:tc>
          <w:tcPr>
            <w:tcW w:w="6980" w:type="dxa"/>
            <w:vAlign w:val="bottom"/>
            <w:tcBorders>
              <w:top w:val="single" w:sz="8" w:color="CCEEFF"/>
            </w:tcBorders>
            <w:shd w:val="clear" w:color="auto" w:fill="CCEEFF"/>
          </w:tcPr>
          <w:p>
            <w:pPr>
              <w:ind w:left="2740"/>
              <w:spacing w:after="0"/>
              <w:rPr>
                <w:sz w:val="20"/>
                <w:szCs w:val="20"/>
                <w:color w:val="auto"/>
              </w:rPr>
            </w:pPr>
            <w:r>
              <w:rPr>
                <w:rFonts w:ascii="Times New Roman" w:cs="Times New Roman" w:eastAsia="Times New Roman" w:hAnsi="Times New Roman"/>
                <w:sz w:val="18"/>
                <w:szCs w:val="18"/>
                <w:color w:val="auto"/>
              </w:rPr>
              <w:t>Retail sales volumes</w:t>
            </w:r>
          </w:p>
        </w:tc>
        <w:tc>
          <w:tcPr>
            <w:tcW w:w="12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13,126</w:t>
            </w: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12,263</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Polestar continues to expand its sales network, with plans to reach approximately 250 sales points by the end of this year, representing a growth of 20% compared to the end of 2025.</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Ends.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Anna Gavrilova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anna.gavrilova@polestar.com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Theo Kjellberg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Head of Corporate Communication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theo.kjellberg@polestar.com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About Polestar</w:t>
      </w:r>
    </w:p>
    <w:p>
      <w:pPr>
        <w:spacing w:after="0" w:line="229"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Polestar (Nasdaq: PSNY) is the Swedish electric performance car brand with a focus on uncompromised design and innovation, and the ambition to accelerate the change towards a sustainable future. Headquartered in Gothenburg, Sweden, its cars are available in 28 markets globally across North America, Europe, and Asia Pacific.</w:t>
      </w:r>
    </w:p>
    <w:p>
      <w:pPr>
        <w:spacing w:after="0" w:line="176"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Polestar has four models in its line-up: Polestar 2, Polestar 3, Polestar 4, and Polestar 5. Planned models include Polestar 7 compact SUV (to be introduced in 2028) and the Polestar 6 roadster. With its vehicles currently manufactured on two continents, North America and Asia, Polestar is diversifying its manufacturing footprint further, with production of Polestar 7 planned in Europe.</w:t>
      </w:r>
    </w:p>
    <w:p>
      <w:pPr>
        <w:spacing w:after="0" w:line="176"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Polestar has an unwavering commitment to sustainability and has set an ambitious roadmap to reach its climate targets: halve greenhouse gas emissions by 2030 per-vehicle-sold and become climate-neutral across its value chain by 2040. Polestar’s comprehensive sustainability strategy covers the four areas of Climate, Transparency, Circularity, and Inclusion.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2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Certain statements in this press release (“Press Release”) may be considered “forward-looking statements” as defined in the Private Securities Litigation Reform Act of 1995. Forward-looking statements generally relate to future events or the future financial or operating performance of Polestar, including the timing and completion of the equity investment from the financial institutions and the loan conversion. In some cases, you can identify forward-looking statements by terminology such as “may”, “should”, “expect”, “intend”, “will”, “estimate”, “anticipate”, “believe”, “predict”, “potential”, “forecast”, “plan”, “seek”, “future”, “propose” or “continue”, or the negatives of these terms or variations of them or similar terminology. Such forward-looking statements are subject to risks, uncertainties, and other factors which could cause actual results to differ materially from those expressed or implied by such forward 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333" w:right="359" w:bottom="1440" w:gutter="0" w:footer="0" w:header="0"/>
        </w:sectPr>
      </w:pPr>
    </w:p>
    <w:bookmarkStart w:id="6" w:name="page7"/>
    <w:bookmarkEnd w:id="6"/>
    <w:p>
      <w:pPr>
        <w:ind w:right="60"/>
        <w:spacing w:after="0" w:line="261" w:lineRule="auto"/>
        <w:rPr>
          <w:sz w:val="20"/>
          <w:szCs w:val="20"/>
          <w:color w:val="auto"/>
        </w:rPr>
      </w:pPr>
      <w:r>
        <w:rPr>
          <w:rFonts w:ascii="Times New Roman" w:cs="Times New Roman" w:eastAsia="Times New Roman" w:hAnsi="Times New Roman"/>
          <w:sz w:val="18"/>
          <w:szCs w:val="18"/>
          <w:color w:val="auto"/>
        </w:rPr>
        <w:t>These forward-looking statements are based upon estimates and assumptions that, while considered reasonable by Polestar and its management, as the case may be, are inherently uncertain. Factors that may cause actual results to differ materially from current expectations include, but are not limited to:</w:t>
      </w:r>
    </w:p>
    <w:p>
      <w:pPr>
        <w:jc w:val="both"/>
        <w:ind w:right="40" w:firstLine="8"/>
        <w:spacing w:after="0" w:line="265" w:lineRule="auto"/>
        <w:tabs>
          <w:tab w:leader="none" w:pos="255"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Polestar’s ability to enter into or maintain agreements or partnerships with its strategic partners, including Volvo Cars and Geely, original equipment manufacturers, vendors and technology providers; (2) Polestar’s ability to maintain relationships with its existing suppliers, source new suppliers for its critical components and enter into longer term supply contracts and complete building out its supply chain; (3) Polestar’s ability to raise additional funding;</w:t>
      </w:r>
    </w:p>
    <w:p>
      <w:pPr>
        <w:ind w:right="140" w:firstLine="8"/>
        <w:spacing w:after="0" w:line="265" w:lineRule="auto"/>
        <w:tabs>
          <w:tab w:leader="none" w:pos="2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Polestar’s ability to successfully execute cost-cutting activities and strategic efficiency initiatives; (5) Polestar’s estimates of expenses, profitability, gross margin, cash flow, and cash reserves; (6) Polestar’s ability to continue to meet stock exchange listing standards; (7) changes in domestic and foreign business, market, financial, political and legal conditions; (8) demand for Polestar’s vehicles or car sale volumes, revenue and margin development based on pricing, variant and market mix, cost reduction efficiencies, logistics and growing aftersales; (9) delays in the expected timelines for the development, design, manufacture, launch and financing of Polestar’s vehicles and Polestar’s reliance on a limited number of vehicle models to generate revenues;</w:t>
      </w:r>
    </w:p>
    <w:p>
      <w:pPr>
        <w:ind w:firstLine="8"/>
        <w:spacing w:after="0" w:line="251" w:lineRule="auto"/>
        <w:tabs>
          <w:tab w:leader="none" w:pos="34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or shortage of materials, in particular for lithium-ion cells or semiconductors; (11) risks related to product recalls, regulatory fines and/or an unexpectedly high volume of warranty claims; (12) Polestar’s reliance on its partners to manufacture vehicles at a high volume, some of which have limited experience in producing electric vehicles, and on the allocation of sufficient production capacity to Polestar by its partners in order for Polestar to be able to increase its vehicle production volumes; (13) the ability of Polestar to grow and manage growth profitably, maintain relationships with customers and suppliers and retain its management and key employees; (14) risks related to future market adoption of Polestar’s offerings; (15) risks related to Polestar’s current distribution model and the evolution of its distribution model in the future; (16) the effects of competition and the high barriers to entry in the automotive industry and the pace and depth of electric vehicle adoption generally on Polestar’s future business; (17) changes in regulatory requirements (including environmental laws and regulations and regulations related to connected vehicles), governmental incentives, tariffs and fuel and energy prices; (18) Polestar’s reliance on the development of vehicle charging networks to provide charging solutions for its vehicles and its strategic partners for servicing its vehicles and their integrated software; (19) Polestar’s ability to establish its brand and capture additional market share, and the risks associated with negative press or reputational harm, including from electric vehicle fires; (20) the outcome of any potential litigation, including litigation involving Polestar and Gores Guggenheim, Inc., government and regulatory proceedings, including the NHTSA investigation into the Polestar 2 rear view camera, tax audits, investigations and inquiries; (21) Polestar’s ability to continuously and rapidly innovate, develop and market new products; (22) the impact of the ongoing conflict between Ukraine and Russia and the conflict with Iran and the conflict in the Red Sea; and (23) other risks and uncertainties set forth in the sections entitled “Risk Factors” and “Cautionary Note Regarding Forward-Looking Statements” in Polestar’s Form 20-F, and other documents filed, or to be filed, with the SEC by Polestar. There may be additional risks that Polestar presently does not know or that Polestar currently believes are immaterial that could also cause actual results to differ from those contained in the forward-looking statements.</w:t>
      </w:r>
    </w:p>
    <w:p>
      <w:pPr>
        <w:spacing w:after="0" w:line="19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Nothing in this Press Release should be regarded as a representation by any person that the forward-looking statements set forth herein will be achieved or that any of the contemplated results of such forward-looking statements will be achieved. You should not place undue reliance on forward-looking statements, which speak only as of the date they are made. Polestar assumes no obligation to update these forward-looking statements, even if new information becomes available in the future, except as may be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262890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4"/>
    </w:lvl>
  </w:abstractNum>
  <w:abstractNum w:abstractNumId="3">
    <w:nsid w:val="625558EC"/>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2026-04-09T06:16:21Z</dcterms:created>
  <dcterms:modified xsi:type="dcterms:W3CDTF">2026-04-09T06:16:21Z</dcterms:modified>
</cp:coreProperties>
</file>