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502584d6k.htm"/>
      <w:bookmarkStart w:id="1" w:name="ksd502584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REPORT OF FOREIGN PRIVATE ISSUER </w:t>
      </w:r>
    </w:p>
    <w:p>
      <w:pPr>
        <w:pStyle w:val="TextBody"/>
        <w:spacing w:before="0" w:after="0"/>
        <w:jc w:val="center"/>
        <w:rPr>
          <w:rFonts w:ascii="Times New Roman" w:hAnsi="Times New Roman"/>
          <w:b/>
          <w:sz w:val="20"/>
        </w:rPr>
      </w:pPr>
      <w:r>
        <w:rPr>
          <w:rFonts w:ascii="Times New Roman" w:hAnsi="Times New Roman"/>
          <w:b/>
          <w:sz w:val="20"/>
        </w:rPr>
        <w:t xml:space="preserve">PURSUANT TO RULE 13a-16 OR 15d-16 </w:t>
      </w:r>
    </w:p>
    <w:p>
      <w:pPr>
        <w:pStyle w:val="TextBody"/>
        <w:spacing w:before="0" w:after="0"/>
        <w:jc w:val="center"/>
        <w:rPr>
          <w:rFonts w:ascii="Times New Roman" w:hAnsi="Times New Roman"/>
          <w:b/>
          <w:sz w:val="20"/>
        </w:rPr>
      </w:pPr>
      <w:r>
        <w:rPr>
          <w:rFonts w:ascii="Times New Roman" w:hAnsi="Times New Roman"/>
          <w:b/>
          <w:sz w:val="20"/>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May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001-41431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Polestar Automotive Holding UK PLC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Assar Gabrielssons Väg 9 </w:t>
      </w:r>
    </w:p>
    <w:p>
      <w:pPr>
        <w:pStyle w:val="TextBody"/>
        <w:spacing w:before="0" w:after="0"/>
        <w:jc w:val="center"/>
        <w:rPr>
          <w:rFonts w:ascii="Times New Roman" w:hAnsi="Times New Roman"/>
          <w:b/>
          <w:sz w:val="20"/>
        </w:rPr>
      </w:pPr>
      <w:r>
        <w:rPr>
          <w:rFonts w:ascii="Times New Roman" w:hAnsi="Times New Roman"/>
          <w:b/>
          <w:sz w:val="20"/>
        </w:rPr>
        <w:t xml:space="preserve">405 31 Göteborg, Sweden </w:t>
      </w:r>
    </w:p>
    <w:p>
      <w:pPr>
        <w:pStyle w:val="TextBody"/>
        <w:spacing w:before="0" w:after="0"/>
        <w:jc w:val="center"/>
        <w:rPr>
          <w:rFonts w:ascii="Times New Roman" w:hAnsi="Times New Roman"/>
          <w:b/>
          <w:sz w:val="20"/>
        </w:rPr>
      </w:pPr>
      <w:r>
        <w:rPr>
          <w:rFonts w:ascii="Times New Roman" w:hAnsi="Times New Roman"/>
          <w:b/>
          <w:sz w:val="20"/>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spacing w:before="240" w:after="0"/>
        <w:jc w:val="left"/>
        <w:rPr>
          <w:rFonts w:ascii="Times New Roman" w:hAnsi="Times New Roman"/>
          <w:sz w:val="20"/>
        </w:rPr>
      </w:pPr>
      <w:r>
        <w:rPr>
          <w:rFonts w:ascii="Times New Roman" w:hAnsi="Times New Roman"/>
          <w:sz w:val="20"/>
        </w:rPr>
        <w:t xml:space="preserve">On May 11, 2023, Polestar Automotive Holding UK PLC (Polestar) announced its financial results for the first quarter ended March 31, 2023 in a press release that is attached hereto as Exhibit 99.1. A copy of the investor update presentation that was posted on the investor relations website of Polestar in connection with the announcement is attached hereto as Exhibit 99.2. </w:t>
      </w:r>
    </w:p>
    <w:p>
      <w:pPr>
        <w:pStyle w:val="TextBody"/>
        <w:spacing w:before="240" w:after="0"/>
        <w:jc w:val="left"/>
        <w:rPr>
          <w:rFonts w:ascii="Times New Roman" w:hAnsi="Times New Roman"/>
          <w:sz w:val="20"/>
        </w:rPr>
      </w:pPr>
      <w:r>
        <w:rPr>
          <w:rFonts w:ascii="Times New Roman" w:hAnsi="Times New Roman"/>
          <w:sz w:val="20"/>
        </w:rPr>
        <w:t xml:space="preserve">Also attached as exhibits to this Report on Form 6-K are (i) Polestars Managements Discussion and Analysis of Financial Conditions and Results of Operations for the Three Months Ended March 31, 2023 and 2022, which is attached as Exhibit 99.3; and (ii) Polestars Unaudited Condensed Consolidated Financial Statements as of March 31, 2023 and for the Three Months Ended March 31, 2023 and 2022, which are attached as Exhibit 99.4 </w:t>
      </w:r>
    </w:p>
    <w:p>
      <w:pPr>
        <w:pStyle w:val="TextBody"/>
        <w:spacing w:before="240" w:after="0"/>
        <w:jc w:val="left"/>
        <w:rPr>
          <w:rFonts w:ascii="Times New Roman" w:hAnsi="Times New Roman"/>
          <w:sz w:val="20"/>
        </w:rPr>
      </w:pPr>
      <w:r>
        <w:rPr>
          <w:rFonts w:ascii="Times New Roman" w:hAnsi="Times New Roman"/>
          <w:sz w:val="20"/>
        </w:rPr>
        <w:t xml:space="preserve">The information contained in Exhibit 99.3 and Exhibit 99.4 shall be deemed to be incorporated by reference into Polestars registration statement on Form S-8 (File No: 333-267146) and to be a part thereof from the date on which this report is submitted, to the extent not superseded by documents or reports subsequently filed or furnished. Exhibits 99.1 and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23"/>
        <w:gridCol w:w="676"/>
        <w:gridCol w:w="8640"/>
      </w:tblGrid>
      <w:tr>
        <w:trPr/>
        <w:tc>
          <w:tcPr>
            <w:tcW w:w="1223"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bottom"/>
          </w:tcPr>
          <w:p>
            <w:pPr>
              <w:pStyle w:val="TableContents"/>
              <w:spacing w:before="0" w:after="283"/>
              <w:rPr>
                <w:sz w:val="4"/>
                <w:szCs w:val="4"/>
              </w:rPr>
            </w:pPr>
            <w:r>
              <w:rPr>
                <w:sz w:val="4"/>
                <w:szCs w:val="4"/>
              </w:rPr>
            </w:r>
          </w:p>
        </w:tc>
        <w:tc>
          <w:tcPr>
            <w:tcW w:w="8640" w:type="dxa"/>
            <w:tcBorders/>
            <w:shd w:fill="auto" w:val="clear"/>
            <w:vAlign w:val="center"/>
          </w:tcPr>
          <w:p>
            <w:pPr>
              <w:pStyle w:val="TableContents"/>
              <w:spacing w:before="0" w:after="283"/>
              <w:rPr>
                <w:sz w:val="4"/>
                <w:szCs w:val="4"/>
              </w:rPr>
            </w:pPr>
            <w:r>
              <w:rPr>
                <w:sz w:val="4"/>
                <w:szCs w:val="4"/>
              </w:rPr>
            </w:r>
          </w:p>
        </w:tc>
      </w:tr>
      <w:tr>
        <w:trPr/>
        <w:tc>
          <w:tcPr>
            <w:tcW w:w="1223"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76" w:type="dxa"/>
            <w:tcBorders/>
            <w:shd w:fill="auto" w:val="clear"/>
            <w:vAlign w:val="bottom"/>
          </w:tcPr>
          <w:p>
            <w:pPr>
              <w:pStyle w:val="TableContents"/>
              <w:spacing w:before="0" w:after="283"/>
              <w:rPr/>
            </w:pPr>
            <w:r>
              <w:rPr/>
              <w:t>  </w:t>
            </w:r>
          </w:p>
        </w:tc>
        <w:tc>
          <w:tcPr>
            <w:tcW w:w="864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Description of Exhibit</w:t>
            </w:r>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99.1</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hyperlink w:anchor="d502584dex991.htm">
              <w:r>
                <w:rPr>
                  <w:rStyle w:val="InternetLink"/>
                </w:rPr>
                <w:t xml:space="preserve">Press Release of Polestar Automotive Holding UK PLC, dated May 11, 2023, titled Polestar reports results for first quarter of 2023 and intensifies cost management. </w:t>
              </w:r>
            </w:hyperlink>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99.2</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hyperlink w:anchor="d502584dex992.htm">
              <w:r>
                <w:rPr>
                  <w:rStyle w:val="InternetLink"/>
                </w:rPr>
                <w:t xml:space="preserve">Investor Update, dated May 11, 2023. </w:t>
              </w:r>
            </w:hyperlink>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99.3</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hyperlink w:anchor="d502584dex993.htm">
              <w:r>
                <w:rPr>
                  <w:rStyle w:val="InternetLink"/>
                </w:rPr>
                <w:t xml:space="preserve">Managements Discussion and Analysis of Financial Conditions and Results of Operations for the Three Months Ended March 31, 2023 and 2022. </w:t>
              </w:r>
            </w:hyperlink>
          </w:p>
        </w:tc>
      </w:tr>
      <w:tr>
        <w:trPr>
          <w:trHeight w:val="120" w:hRule="atLeast"/>
        </w:trPr>
        <w:tc>
          <w:tcPr>
            <w:tcW w:w="1223" w:type="dxa"/>
            <w:tcBorders/>
            <w:shd w:fill="auto" w:val="clear"/>
            <w:vAlign w:val="center"/>
          </w:tcPr>
          <w:p>
            <w:pPr>
              <w:pStyle w:val="TableContents"/>
              <w:spacing w:before="0" w:after="283"/>
              <w:rPr>
                <w:sz w:val="4"/>
                <w:szCs w:val="4"/>
              </w:rPr>
            </w:pPr>
            <w:r>
              <w:rPr>
                <w:sz w:val="4"/>
                <w:szCs w:val="4"/>
              </w:rPr>
            </w:r>
          </w:p>
        </w:tc>
        <w:tc>
          <w:tcPr>
            <w:tcW w:w="9316" w:type="dxa"/>
            <w:gridSpan w:val="2"/>
            <w:tcBorders/>
            <w:shd w:fill="auto" w:val="clear"/>
            <w:vAlign w:val="center"/>
          </w:tcPr>
          <w:p>
            <w:pPr>
              <w:pStyle w:val="TableContents"/>
              <w:spacing w:before="0" w:after="283"/>
              <w:rPr>
                <w:sz w:val="4"/>
                <w:szCs w:val="4"/>
              </w:rPr>
            </w:pPr>
            <w:r>
              <w:rPr>
                <w:sz w:val="4"/>
                <w:szCs w:val="4"/>
              </w:rPr>
            </w:r>
          </w:p>
        </w:tc>
      </w:tr>
      <w:tr>
        <w:trPr/>
        <w:tc>
          <w:tcPr>
            <w:tcW w:w="1223" w:type="dxa"/>
            <w:tcBorders/>
            <w:shd w:fill="auto" w:val="clear"/>
          </w:tcPr>
          <w:p>
            <w:pPr>
              <w:pStyle w:val="TableContents"/>
              <w:spacing w:before="0" w:after="283"/>
              <w:rPr/>
            </w:pPr>
            <w:r>
              <w:rPr/>
              <w:t>99.4</w:t>
            </w:r>
          </w:p>
        </w:tc>
        <w:tc>
          <w:tcPr>
            <w:tcW w:w="676"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hyperlink w:anchor="d502584dex994.htm">
              <w:r>
                <w:rPr>
                  <w:rStyle w:val="InternetLink"/>
                </w:rPr>
                <w:t xml:space="preserve">Unaudited Condensed Consolidated Financial Statements as of March 31, 2023 and for the Three Months Ended March 31, 2023 and 2022.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51"/>
        <w:gridCol w:w="93"/>
        <w:gridCol w:w="1871"/>
        <w:gridCol w:w="209"/>
        <w:gridCol w:w="4515"/>
      </w:tblGrid>
      <w:tr>
        <w:trPr/>
        <w:tc>
          <w:tcPr>
            <w:tcW w:w="3851"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6595" w:type="dxa"/>
            <w:gridSpan w:val="3"/>
            <w:tcBorders/>
            <w:shd w:fill="auto" w:val="clear"/>
            <w:vAlign w:val="bottom"/>
          </w:tcPr>
          <w:p>
            <w:pPr>
              <w:pStyle w:val="TableContents"/>
              <w:spacing w:before="0" w:after="283"/>
              <w:rPr>
                <w:b/>
              </w:rPr>
            </w:pPr>
            <w:r>
              <w:rPr>
                <w:b/>
              </w:rPr>
              <w:t>POLESTAR AUTOMOTIVE HOLDING UK PLC</w:t>
            </w:r>
          </w:p>
        </w:tc>
      </w:tr>
      <w:tr>
        <w:trPr>
          <w:trHeight w:val="240" w:hRule="atLeast"/>
        </w:trPr>
        <w:tc>
          <w:tcPr>
            <w:tcW w:w="3851" w:type="dxa"/>
            <w:tcBorders/>
            <w:shd w:fill="auto" w:val="clear"/>
            <w:vAlign w:val="center"/>
          </w:tcPr>
          <w:p>
            <w:pPr>
              <w:pStyle w:val="TableContents"/>
              <w:spacing w:before="0" w:after="283"/>
              <w:rPr>
                <w:sz w:val="4"/>
                <w:szCs w:val="4"/>
              </w:rPr>
            </w:pPr>
            <w:r>
              <w:rPr>
                <w:sz w:val="4"/>
                <w:szCs w:val="4"/>
              </w:rPr>
            </w:r>
          </w:p>
        </w:tc>
        <w:tc>
          <w:tcPr>
            <w:tcW w:w="1964" w:type="dxa"/>
            <w:gridSpan w:val="2"/>
            <w:tcBorders/>
            <w:shd w:fill="auto" w:val="clear"/>
            <w:vAlign w:val="center"/>
          </w:tcPr>
          <w:p>
            <w:pPr>
              <w:pStyle w:val="TableContents"/>
              <w:spacing w:before="0" w:after="283"/>
              <w:rPr>
                <w:sz w:val="4"/>
                <w:szCs w:val="4"/>
              </w:rPr>
            </w:pPr>
            <w:r>
              <w:rPr>
                <w:sz w:val="4"/>
                <w:szCs w:val="4"/>
              </w:rPr>
            </w:r>
          </w:p>
        </w:tc>
        <w:tc>
          <w:tcPr>
            <w:tcW w:w="4724" w:type="dxa"/>
            <w:gridSpan w:val="2"/>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vAlign w:val="bottom"/>
          </w:tcPr>
          <w:p>
            <w:pPr>
              <w:pStyle w:val="TableContents"/>
              <w:spacing w:before="0" w:after="283"/>
              <w:rPr/>
            </w:pPr>
            <w:r>
              <w:rPr/>
              <w:t>Date: May 11, 2023</w:t>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By:</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Thomas Ingenlath</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Name: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Thomas Ingenlath</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Title: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Chief Executive Officer</w:t>
            </w:r>
          </w:p>
        </w:tc>
      </w:tr>
      <w:tr>
        <w:trPr>
          <w:trHeight w:val="240" w:hRule="atLeast"/>
        </w:trPr>
        <w:tc>
          <w:tcPr>
            <w:tcW w:w="3851" w:type="dxa"/>
            <w:tcBorders/>
            <w:shd w:fill="auto" w:val="clear"/>
            <w:vAlign w:val="center"/>
          </w:tcPr>
          <w:p>
            <w:pPr>
              <w:pStyle w:val="TableContents"/>
              <w:spacing w:before="0" w:after="283"/>
              <w:rPr>
                <w:sz w:val="4"/>
                <w:szCs w:val="4"/>
              </w:rPr>
            </w:pPr>
            <w:r>
              <w:rPr>
                <w:sz w:val="4"/>
                <w:szCs w:val="4"/>
              </w:rPr>
            </w:r>
          </w:p>
        </w:tc>
        <w:tc>
          <w:tcPr>
            <w:tcW w:w="1964" w:type="dxa"/>
            <w:gridSpan w:val="2"/>
            <w:tcBorders/>
            <w:shd w:fill="auto" w:val="clear"/>
            <w:vAlign w:val="center"/>
          </w:tcPr>
          <w:p>
            <w:pPr>
              <w:pStyle w:val="TableContents"/>
              <w:spacing w:before="0" w:after="283"/>
              <w:rPr>
                <w:sz w:val="4"/>
                <w:szCs w:val="4"/>
              </w:rPr>
            </w:pPr>
            <w:r>
              <w:rPr>
                <w:sz w:val="4"/>
                <w:szCs w:val="4"/>
              </w:rPr>
            </w:r>
          </w:p>
        </w:tc>
        <w:tc>
          <w:tcPr>
            <w:tcW w:w="4724" w:type="dxa"/>
            <w:gridSpan w:val="2"/>
            <w:tcBorders/>
            <w:shd w:fill="auto" w:val="clear"/>
            <w:vAlign w:val="center"/>
          </w:tcPr>
          <w:p>
            <w:pPr>
              <w:pStyle w:val="TableContents"/>
              <w:spacing w:before="0" w:after="283"/>
              <w:rPr>
                <w:sz w:val="4"/>
                <w:szCs w:val="4"/>
              </w:rPr>
            </w:pPr>
            <w:r>
              <w:rPr>
                <w:sz w:val="4"/>
                <w:szCs w:val="4"/>
              </w:rPr>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By:</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Johan Malmqvist</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Name: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Johan Malmqvist</w:t>
            </w:r>
          </w:p>
        </w:tc>
      </w:tr>
      <w:tr>
        <w:trPr/>
        <w:tc>
          <w:tcPr>
            <w:tcW w:w="3851"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1871" w:type="dxa"/>
            <w:tcBorders/>
            <w:shd w:fill="auto" w:val="clear"/>
            <w:vAlign w:val="bottom"/>
          </w:tcPr>
          <w:p>
            <w:pPr>
              <w:pStyle w:val="TableContents"/>
              <w:spacing w:before="0" w:after="283"/>
              <w:rPr/>
            </w:pPr>
            <w:r>
              <w:rPr/>
              <w:t>Title:</w:t>
            </w:r>
          </w:p>
        </w:tc>
        <w:tc>
          <w:tcPr>
            <w:tcW w:w="209" w:type="dxa"/>
            <w:tcBorders/>
            <w:shd w:fill="auto" w:val="clear"/>
            <w:vAlign w:val="bottom"/>
          </w:tcPr>
          <w:p>
            <w:pPr>
              <w:pStyle w:val="TableContents"/>
              <w:spacing w:before="0" w:after="283"/>
              <w:rPr/>
            </w:pPr>
            <w:r>
              <w:rPr/>
              <w:t> </w:t>
            </w:r>
          </w:p>
        </w:tc>
        <w:tc>
          <w:tcPr>
            <w:tcW w:w="4515" w:type="dxa"/>
            <w:tcBorders/>
            <w:shd w:fill="auto" w:val="clear"/>
            <w:vAlign w:val="bottom"/>
          </w:tcPr>
          <w:p>
            <w:pPr>
              <w:pStyle w:val="TableContents"/>
              <w:spacing w:before="0" w:after="283"/>
              <w:rPr/>
            </w:pPr>
            <w:r>
              <w:rPr/>
              <w:t>Chief Financial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TextBody"/>
        <w:spacing w:before="0" w:after="0"/>
        <w:jc w:val="right"/>
        <w:rPr>
          <w:rFonts w:ascii="Times New Roman" w:hAnsi="Times New Roman"/>
          <w:b/>
          <w:sz w:val="20"/>
        </w:rPr>
      </w:pPr>
      <w:bookmarkStart w:id="2" w:name="d502584dex991.htm"/>
      <w:bookmarkStart w:id="3" w:name="ksd502584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left"/>
        <w:rPr/>
      </w:pPr>
      <w:r>
        <w:rPr/>
        <w:drawing>
          <wp:inline distT="0" distB="0" distL="0" distR="0">
            <wp:extent cx="80962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228600"/>
                    </a:xfrm>
                    <a:prstGeom prst="rect">
                      <a:avLst/>
                    </a:prstGeom>
                  </pic:spPr>
                </pic:pic>
              </a:graphicData>
            </a:graphic>
          </wp:inline>
        </w:drawing>
      </w:r>
      <w:r>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Polestar reports results for first quarter of 2023 and intensifies cost management </w:t>
      </w:r>
    </w:p>
    <w:p>
      <w:pPr>
        <w:pStyle w:val="TextBody"/>
        <w:spacing w:before="240" w:after="0"/>
        <w:jc w:val="left"/>
        <w:rPr>
          <w:rFonts w:ascii="Times New Roman" w:hAnsi="Times New Roman"/>
          <w:sz w:val="20"/>
        </w:rPr>
      </w:pPr>
      <w:r>
        <w:rPr>
          <w:rFonts w:ascii="Times New Roman" w:hAnsi="Times New Roman"/>
          <w:b/>
          <w:sz w:val="20"/>
        </w:rPr>
        <w:t>GOTHENBURG, SWEDEN  11</w:t>
      </w:r>
      <w:r>
        <w:rPr>
          <w:rFonts w:ascii="Times New Roman" w:hAnsi="Times New Roman"/>
          <w:sz w:val="20"/>
        </w:rPr>
        <w:t> </w:t>
      </w:r>
      <w:r>
        <w:rPr>
          <w:rFonts w:ascii="Times New Roman" w:hAnsi="Times New Roman"/>
          <w:b/>
          <w:sz w:val="20"/>
        </w:rPr>
        <w:t xml:space="preserve">May 2023. </w:t>
      </w:r>
      <w:r>
        <w:rPr>
          <w:rFonts w:ascii="Times New Roman" w:hAnsi="Times New Roman"/>
          <w:sz w:val="20"/>
        </w:rPr>
        <w:t xml:space="preserve">Polestar Automotive Holding UK PLC (Polestar or the Company, Nasdaq: PSNY), the Swedish electric performance car brand, reports its results for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Polestar achieved record first quarter deliveries of 12,076 cars, up 26% year on year and enters the second quarter with good commercial momentum. The Company has experienced strong growth over the past five years establishing a global footprint with over 100,000 cars on the road across 27 markets. It recently launched two new cars  Polestar 3 and Polestar 4  to address the popular SUV segment. </w:t>
      </w:r>
    </w:p>
    <w:p>
      <w:pPr>
        <w:pStyle w:val="TextBody"/>
        <w:spacing w:before="240" w:after="0"/>
        <w:jc w:val="left"/>
        <w:rPr>
          <w:rFonts w:ascii="Times New Roman" w:hAnsi="Times New Roman"/>
          <w:sz w:val="20"/>
        </w:rPr>
      </w:pPr>
      <w:r>
        <w:rPr>
          <w:rFonts w:ascii="Times New Roman" w:hAnsi="Times New Roman"/>
          <w:sz w:val="20"/>
        </w:rPr>
        <w:t xml:space="preserve">Polestar was recently informed that additional time for final software development of the new all-electric platform shared by Volvo Cars is needed and that the start of production of Polestar 3 is now expected in the first quarter of 2024. In light of this and the economic environment affecting the automotive industry, Polestar now expects 2023 global volumes of 60,000  70,000 vehicles, representing annual growth of 16% - 36%, following record deliveries of 51,491 last year. There is no change to the start of production of Polestar 4, which is expected for China in the fourth quarter of 2023, and for other markets in early 2024. </w:t>
      </w:r>
    </w:p>
    <w:p>
      <w:pPr>
        <w:pStyle w:val="TextBody"/>
        <w:spacing w:before="240" w:after="0"/>
        <w:jc w:val="left"/>
        <w:rPr>
          <w:rFonts w:ascii="Times New Roman" w:hAnsi="Times New Roman"/>
          <w:sz w:val="20"/>
        </w:rPr>
      </w:pPr>
      <w:r>
        <w:rPr>
          <w:rFonts w:ascii="Times New Roman" w:hAnsi="Times New Roman"/>
          <w:sz w:val="20"/>
        </w:rPr>
        <w:t xml:space="preserve">Polestar is intensifying its focus on cost management, including a global hiring freeze and 10% headcount reduction, driving greater efficiencies across the business. </w:t>
      </w:r>
    </w:p>
    <w:p>
      <w:pPr>
        <w:pStyle w:val="TextBody"/>
        <w:spacing w:before="240" w:after="0"/>
        <w:jc w:val="left"/>
        <w:rPr>
          <w:rFonts w:ascii="Times New Roman" w:hAnsi="Times New Roman"/>
          <w:sz w:val="20"/>
        </w:rPr>
      </w:pPr>
      <w:r>
        <w:rPr>
          <w:rFonts w:ascii="Times New Roman" w:hAnsi="Times New Roman"/>
          <w:sz w:val="20"/>
        </w:rPr>
        <w:t xml:space="preserve">Thomas Ingenlath, Polestar CEO, comments: We are taking necessary steps to strengthen Polestar in the near-term. While production of Polestar 3 will now start in the first quarter of 2024, the successful launch of Polestar 4 last month means that we add two strong offers in the attractive electric SUV market in 2024. I am confident that we will deliver on our growth ambitions and path towards profitability. </w:t>
      </w:r>
    </w:p>
    <w:p>
      <w:pPr>
        <w:pStyle w:val="TextBody"/>
        <w:spacing w:before="240" w:after="0"/>
        <w:jc w:val="left"/>
        <w:rPr>
          <w:rFonts w:ascii="Times New Roman" w:hAnsi="Times New Roman"/>
          <w:sz w:val="20"/>
        </w:rPr>
      </w:pPr>
      <w:r>
        <w:rPr>
          <w:rFonts w:ascii="Times New Roman" w:hAnsi="Times New Roman"/>
          <w:sz w:val="20"/>
        </w:rPr>
        <w:t xml:space="preserve">The investor update presentation, Managements Discussion and Analysis of Financial Conditions and Results of Operations and Unaudited Condensed Consolidated Financial Statements, are available on the Polestar investor relations website and will be filed with the SEC. </w:t>
      </w:r>
    </w:p>
    <w:p>
      <w:pPr>
        <w:pStyle w:val="TextBody"/>
        <w:spacing w:before="240" w:after="0"/>
        <w:jc w:val="left"/>
        <w:rPr>
          <w:rFonts w:ascii="Times New Roman" w:hAnsi="Times New Roman"/>
          <w:sz w:val="20"/>
        </w:rPr>
      </w:pPr>
      <w:r>
        <w:rPr>
          <w:rFonts w:ascii="Times New Roman" w:hAnsi="Times New Roman"/>
          <w:sz w:val="20"/>
        </w:rPr>
        <w:t xml:space="preserve">Polestar management will hold a live audio webcast today, 11 May 2023 at 08:00 EDT (14:00 CEST) to discuss the Companys results and outlook. The live webcast will be available at </w:t>
      </w:r>
      <w:r>
        <w:rPr>
          <w:rFonts w:ascii="Times New Roman" w:hAnsi="Times New Roman"/>
          <w:sz w:val="20"/>
          <w:u w:val="single"/>
        </w:rPr>
        <w:t>https://edge.media-server.com/mmc/p/kjynmjj5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Following the completion of the call, a replay will be available shortly at </w:t>
      </w:r>
      <w:r>
        <w:rPr>
          <w:rFonts w:ascii="Times New Roman" w:hAnsi="Times New Roman"/>
          <w:sz w:val="20"/>
          <w:u w:val="single"/>
        </w:rPr>
        <w:t>https://investors.polestar.com/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Ends.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809625"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 cy="2286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Contacts </w:t>
      </w:r>
    </w:p>
    <w:p>
      <w:pPr>
        <w:pStyle w:val="TextBody"/>
        <w:spacing w:before="240" w:after="0"/>
        <w:jc w:val="left"/>
        <w:rPr>
          <w:rFonts w:ascii="Times New Roman" w:hAnsi="Times New Roman"/>
          <w:sz w:val="20"/>
        </w:rPr>
      </w:pPr>
      <w:r>
        <w:rPr>
          <w:rFonts w:ascii="Times New Roman" w:hAnsi="Times New Roman"/>
          <w:sz w:val="20"/>
        </w:rPr>
        <w:t xml:space="preserve">Bojana Flint </w:t>
      </w:r>
    </w:p>
    <w:p>
      <w:pPr>
        <w:pStyle w:val="TextBody"/>
        <w:spacing w:before="0" w:after="0"/>
        <w:jc w:val="left"/>
        <w:rPr>
          <w:rFonts w:ascii="Times New Roman" w:hAnsi="Times New Roman"/>
          <w:sz w:val="20"/>
        </w:rPr>
      </w:pPr>
      <w:r>
        <w:rPr>
          <w:rFonts w:ascii="Times New Roman" w:hAnsi="Times New Roman"/>
          <w:sz w:val="20"/>
        </w:rPr>
        <w:t xml:space="preserve">Head of Investor Relations </w:t>
      </w:r>
    </w:p>
    <w:p>
      <w:pPr>
        <w:pStyle w:val="TextBody"/>
        <w:spacing w:before="0" w:after="0"/>
        <w:jc w:val="left"/>
        <w:rPr>
          <w:rFonts w:ascii="Times New Roman" w:hAnsi="Times New Roman"/>
          <w:sz w:val="20"/>
        </w:rPr>
      </w:pPr>
      <w:r>
        <w:rPr>
          <w:rFonts w:ascii="Times New Roman" w:hAnsi="Times New Roman"/>
          <w:sz w:val="20"/>
          <w:u w:val="single"/>
        </w:rPr>
        <w:t>bojana.flint@polestar.com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Tanya Ridd </w:t>
      </w:r>
    </w:p>
    <w:p>
      <w:pPr>
        <w:pStyle w:val="TextBody"/>
        <w:spacing w:before="0" w:after="0"/>
        <w:jc w:val="left"/>
        <w:rPr>
          <w:rFonts w:ascii="Times New Roman" w:hAnsi="Times New Roman"/>
          <w:sz w:val="20"/>
        </w:rPr>
      </w:pPr>
      <w:r>
        <w:rPr>
          <w:rFonts w:ascii="Times New Roman" w:hAnsi="Times New Roman"/>
          <w:sz w:val="20"/>
        </w:rPr>
        <w:t xml:space="preserve">Global Head of Communications &amp; PR </w:t>
      </w:r>
    </w:p>
    <w:p>
      <w:pPr>
        <w:pStyle w:val="TextBody"/>
        <w:spacing w:before="0" w:after="0"/>
        <w:jc w:val="left"/>
        <w:rPr>
          <w:rFonts w:ascii="Times New Roman" w:hAnsi="Times New Roman"/>
          <w:sz w:val="20"/>
        </w:rPr>
      </w:pPr>
      <w:r>
        <w:rPr>
          <w:rFonts w:ascii="Times New Roman" w:hAnsi="Times New Roman"/>
          <w:sz w:val="20"/>
          <w:u w:val="single"/>
        </w:rPr>
        <w:t>tanya.ridd@polestar.com</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About Polestar </w:t>
      </w:r>
    </w:p>
    <w:p>
      <w:pPr>
        <w:pStyle w:val="TextBody"/>
        <w:spacing w:before="120" w:after="0"/>
        <w:jc w:val="left"/>
        <w:rPr>
          <w:rFonts w:ascii="Times New Roman" w:hAnsi="Times New Roman"/>
          <w:i/>
          <w:sz w:val="20"/>
        </w:rPr>
      </w:pPr>
      <w:r>
        <w:rPr>
          <w:rFonts w:ascii="Times New Roman" w:hAnsi="Times New Roman"/>
          <w:i/>
          <w:sz w:val="20"/>
        </w:rPr>
        <w:t xml:space="preserve">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 </w:t>
      </w:r>
    </w:p>
    <w:p>
      <w:pPr>
        <w:pStyle w:val="TextBody"/>
        <w:spacing w:before="240" w:after="0"/>
        <w:jc w:val="left"/>
        <w:rPr>
          <w:rFonts w:ascii="Times New Roman" w:hAnsi="Times New Roman"/>
          <w:i/>
          <w:sz w:val="20"/>
        </w:rPr>
      </w:pPr>
      <w:r>
        <w:rPr>
          <w:rFonts w:ascii="Times New Roman" w:hAnsi="Times New Roman"/>
          <w:i/>
          <w:sz w:val="20"/>
        </w:rPr>
        <w:t xml:space="preserve">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4 launched in April 2023 and transforms the aerodynamic of a coupé and the space of an SUV into a new breed of SUV coupé. Polestar plans to release two more electric performance vehicles through to 2026. </w:t>
      </w:r>
    </w:p>
    <w:p>
      <w:pPr>
        <w:pStyle w:val="TextBody"/>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spacing w:before="120" w:after="0"/>
        <w:jc w:val="left"/>
        <w:rPr>
          <w:rFonts w:ascii="Times New Roman" w:hAnsi="Times New Roman"/>
          <w:i/>
          <w:sz w:val="20"/>
        </w:rPr>
      </w:pPr>
      <w:r>
        <w:rPr>
          <w:rFonts w:ascii="Times New Roman" w:hAnsi="Times New Roman"/>
          <w:i/>
          <w:sz w:val="20"/>
        </w:rPr>
        <w:t xml:space="preserve">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p>
    <w:p>
      <w:pPr>
        <w:pStyle w:val="TextBody"/>
        <w:spacing w:before="240" w:after="0"/>
        <w:jc w:val="left"/>
        <w:rPr>
          <w:rFonts w:ascii="Times New Roman" w:hAnsi="Times New Roman"/>
          <w:i/>
          <w:sz w:val="20"/>
        </w:rPr>
      </w:pPr>
      <w:r>
        <w:rPr>
          <w:rFonts w:ascii="Times New Roman" w:hAnsi="Times New Roman"/>
          <w:i/>
          <w:sz w:val="20"/>
        </w:rPr>
        <w:t xml:space="preserve">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and Polestars ability to implement cost management strategies, including hiring freezes, headcount reductions and improvement of efficiencies across its business;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80962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 cy="2286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Times New Roman" w:hAnsi="Times New Roman"/>
          <w:i/>
          <w:sz w:val="20"/>
        </w:rPr>
      </w:pPr>
      <w:r>
        <w:rPr>
          <w:rFonts w:ascii="Times New Roman" w:hAnsi="Times New Roman"/>
          <w:i/>
          <w:sz w:val="20"/>
        </w:rPr>
        <w:t xml:space="preserve">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w:t>
      </w:r>
    </w:p>
    <w:p>
      <w:pPr>
        <w:pStyle w:val="TextBody"/>
        <w:spacing w:before="240" w:after="0"/>
        <w:jc w:val="left"/>
        <w:rPr>
          <w:rFonts w:ascii="Times New Roman" w:hAnsi="Times New Roman"/>
          <w:i/>
          <w:sz w:val="20"/>
        </w:rPr>
      </w:pPr>
      <w:r>
        <w:rPr>
          <w:rFonts w:ascii="Times New Roman" w:hAnsi="Times New Roman"/>
          <w:i/>
          <w:sz w:val="20"/>
        </w:rPr>
        <w:t xml:space="preserve">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w:t>
      </w:r>
      <w:r>
        <w:br w:type="page"/>
      </w:r>
    </w:p>
    <w:p>
      <w:pPr>
        <w:pStyle w:val="TextBody"/>
        <w:spacing w:before="0" w:after="0"/>
        <w:jc w:val="center"/>
        <w:rPr/>
      </w:pPr>
      <w:bookmarkStart w:id="4" w:name="d502584dex992.htm"/>
      <w:bookmarkStart w:id="5" w:name="ksd502584dex992"/>
      <w:bookmarkEnd w:id="4"/>
      <w:bookmarkEnd w:id="5"/>
      <w:r>
        <w:rPr/>
        <w:drawing>
          <wp:inline distT="0" distB="0" distL="0" distR="0">
            <wp:extent cx="6225540" cy="350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Investor update   for the three months ended March 31, 2023 May 11, 2023 Polestar Automotive Holding UK PLC Exhibit 99.2</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Disclaimer Forward-Looking Statements Certain statements in this presentation (“Presentation”) of Polestar Automotive Holding UK PLC (“Polestar”) constitute forward-looking statements, within the meaning of the “safe harbor” provisions of the United States Private Securities Litigation Reform Act of 1995, that express Polestar’s opinions, expectations, beliefs, plans, objectives, assumptions or projections regarding future events or future results and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Presentation and include statements regarding Polestar’s intentions, beliefs or current expectations concerning, among other things: results of operations; financial condition; liquidity; prospects; growth; strategies and the markets in which Polestar operates, including estimates and forecasts of financial and operational metrics, projections of market opportunity, market share, vehicle sales, revenue or other financial or operation results;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access to financing and liquidity support from major shareholders; the adequacy of funding through 2023; and future market launches and expansion. 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the failure to realize the anticipated benefits of the business combination (the “Business Combination”) that Polestar consummated on June 23, 2022 with Gores Guggenheim, Inc. (“GGI”); the outcome of any legal proceedings that may be instituted against GGI or Polestar in connection with the Business Combination; the ability to continue to meet stock exchange listing standards; our securities’ potential liquidity and trading; changes in domestic and foreign business, market, financial, political and legal conditions; Polestar’s ability to enter into or maintain agreements or partnerships with its strategic partners, including Volvo Car AB (publ) and its subsidiaries, and Zhejiang Geely Holding Group Company Limited, original equipment manufacturers, vendors and technology providers, and to source new suppliers for its critical components, and to complete building out its supply chain, while effectively managing the risks due to such relationships; 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 delays in the development, design, manufacture, launch and financing of Polestar’s vehicles and Polestar’s reliance on a limited number of vehicle models to generate revenues; risks related to the timing of expected business milestones and commercial launches, including Polestar’s ability to mass produce its current and new vehicle models and complete the upgrade or tooling of its manufacturing facilities; increases in costs, disruption of supply or shortage of materials, in particular for lithium-ion cells or semiconductors, and Polestar's ability to implement cost management strategies, including hiring freezes, headcount reductions and improvement of efficiencies across its business;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and meet timings for product launches; competition, the ability of Polestar to grow and manage growth profitably, maintain relationships with customers and suppliers and retain its management and key employees; the possibility that Polestar may be adversely affected by other economic, business, and/or competitive factors; risks related to future market adoption of Polestar’s product offerings; risks related to Polestar’s distribution model; the effects of competition and the high barriers to entry in the automotive industry, and the pace and depth of electric vehicle adoption generally on Polestar’s future business; changes in regulatory requirements (including environmental laws and regulations), governmental incentives and fuel and energy prices; Polestar’s ability to rapidly innovate;risks associated with changes in applicable laws or regulations and with Polestar’s international operations; Polestar’s ability to effectively manage its growth and recruit and retain key employees, including its chief executive officer and executive team; Polestar’s reliance on its partnerships with vehicle charging networks to provide charging solutions for its vehicles and its reliance on strategic partners for servicing its vehicles and their integrated software; Polestar’s ability to establish its brand and capture additional market share, and the risks associated with negative press or reputational harm, including from lithium-ion battery cells catching fire or venting smoke; the outcome of any potential litigation, government and regulatory proceedings, investigations and inquiries; Polestar’s ability to continuously and rapidly innovate, develop and market new products; a re-emergence of the global COVID-19 pandemic, new lockdowns in China, government mandated quarantines,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the need to raise additional funds to support business growth; and the other risks and uncertainties described in Polestar’s filings with the U.S. Securities and Exchange Commission (the “SEC”). 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Polestar’s filings with the SEC.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You are cautioned not to put undue reliance on these forward-looking statements. Trademarks This Presentation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 Non-GAAP Financial Information This presentation includes certain financial measures that are not presented in accordance with generally accepted accounting principles in the U.S. (“GAAP”), including adjusted operating loss, adjusted EBITDA, adjusted net loss, and free cash flow. Please see slide 26 for a reconciliation of the non-GAAP financial measures to their most directly comparable GAAP financial measures.  *** Past results are not indicative of future performance and investing in securities of Polestar involves significant risks. Potential investors should read and understand the explanations of risks disclosed by Polestar in its filings with the SEC before making any decisions.  This Presentation should be read in conjunction with the other documents filed with the SEC on the date hereof, including a press release relating to the first quarter 2023, Management's Discussion and Analysis of Financial Conditions and Results of Operations and Unaudited Condensed Consolidated Financial Statements. The information set forth herein is based upon information reasonably available to Polestar as of the date of this Presentation (or any such earlier date referenced herein), and Polestar does not undertake any obligation to update such information at any time after such date. No representation, warranty or undertaking, express or implied, is made as to, and no reliance should be placed on, the fairness, accuracy, completeness or correctness of the information or the opinions contained herein and as may be amended.  This presentation shall not constitute an offer to sell or the solicitation of an offer to buy any securities of Polestar, nor shall there be any sale or offer of any securities in any state or jurisdiction in which such offer, solicitation or sale would be unlawful. This Presentation is not intended to constitute, and should not be construed as investment, tax, legal or other advice. Certain information contained herein has been derived from sources prepared by third parties. While such information is believed to be reliable for the purposes used herein neither Polestar nor any of its directors, officers, employees, affiliates or advisors makes any representation or warranty with respect to the accuracy of such information. This Presentation does not purport to contain all of the information that may be required to evaluate Polestar and has solely been prepared for the purpose of generally familiarizing the reader with Polestar.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Debuted Polestar 3 in North America The SUV for electric age which defines the essence of our brand, in terms of design, luxury, and ambition  Polestar — Recent developments Reduced relative CO2 emissions per car sold by 8% in 2022 Published the third Annual Sustainability Report, which outlines our initiatives and performance on ESG matters Record first quarter - delivered 12,0761 vehicles, up 26% year on year Generated $546mn2 in revenues, driven by higher Polestar 2 sales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and IFRS 16, Leases, respectively. Revenue is not recognized in scenario (c). Rounded. See slide 23 for unaudited condensed consolidated statement of loss and comprehensive loss for figure in thousands of U.S. dollars. Explored performance and design with Polestar 2 BST edition 230 With colours, graphics and materials in faster and more creative ways Successfully unveiled Polestar 4 for China at Shanghai Auto Show An electric performance SUV coupé and the second SUV in the brand’s line-up  Launched a major update to Polestar 2 Model Year 2024 High-tech front end, all-new electric motors, more powerful batteries, sustainability improvements and rear-wheel drive Intensified cost management with Polestar 3 adjusted start of production and tougher macro  Adjusted 2023 global volume expectation to 60-70k vehicles, representing an annual growth rate of 16% to 36%</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 Our past, our present and our future History in performance 1996–2017 Founded in 1996 as a racing team Developed and sold performance software for Volvo Cars The official performance partner to Volvo Cars from 2009 Acquired by Volvo Cars in 2015 Launching the new Polestar brand 2017–2021 Launched Polestar 1 in 2017 and Polestar 2 in 2019 First customer handovers and retail locations open in 2020 Global from day one in 2020, with presence in 10 markets Growing rapidly 2021 onwards Listed on Nasdaq New York in June 2022 Launched limited edition Polestar 6 in August 2022 Launched Polestar 3 in October 2022 Launched Polestar 4 for China in April 2023 Leading ambition of a climate-neutral production car by 2030  Source: Company information.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1 Polestar 2 Polestar 3 Polestar 4 Polestar 5 Type Segment ASP1 Range Launch Factory Hybrid Grand Tourer Sports Premium ~$155k ~120km range 2017 Chengdu, China Fastback C/D premium ~$50-70k ~540km 2019 Taizhou, China Luxury Aero SUV SUV E premium ~$80-120k up to 610km2 2022 Chengdu, China Charleston, US Premium Sport SUV SUV D premium ~$60-80k 600km +2 2023 Hangzhou Bay, China Luxury Sport GT 4-Door F coupé premium &gt;$100k 600km +2 2024E Chongqing, China Polestar — Rapidly expanding premium product portfolio Polestar 6 Luxury 2+2 roadster S roadster premium &gt;$200k 600km +2 2026E Chongqing, China Prices vary by region. Estimated indicative US market pricing range as at May 2023, subject to change. WLTP (Worldwide Harmonised Light Vehicle Test Procedure) target range. Source: Company information, management estimates.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Flexible and scalable set-up Agility of a start-up Innovation and high-performance technologies Avant-garde design Leading sustainability goals Full vehicle attributes Digital first DTC customer approach Stability of established players Over 100 years of combined experience Platform development Engineering capability Supply chain and partnerships Manufacturing capacity Safety credentials Service network access Source: Company information. Polestar — Our asset-light model</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01 Design Avant-garde, pure Scandinavian design High tech minimalism  Design perfection focus Unique design attributes 03 Sustainability Climate-neutral car by 2030 with ongoing sustainability upgrades Circular battery and material strategy, battery centers in place  Blockchain-powered traceability on risk materials Ethical and inclusive work principles and values 02 Innovation Bonded aluminium platform  High-performance electric motors  Advanced battery technology design R&amp;D capability in the UK, Sweden and China Polestar — Our core pillars  Source: Company information.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01 Rapidly expanding product portfolio 02 Growth in existing and new markets 03 Expanding sales and service network Polestar — Our well-defined growth strategy 2019       Polestar 2 2022      Polestar 3 2023      Polestar 4 2024E   Polestar 5 2026E   Polestar 6 Product launches Global network – Q1 2022 vs Q1 2023 Global presence 27 Represents Polestar Spaces, Polestar Destinations and Polestar Test Drive Centers (Unaudited). Represents Volvo Cars service centres to provide access to customer service points worldwide in support of Polestar’s international expansion (Unaudited). Source: Company information. Locations1 143 120 Service points2 1,117 842</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Unaudited financial highlights for the three months ended March 31, 2023</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and operational highlights — Key financial highlights for the three months ended Mar 31, 2023 (unaudited) Revenue ($ mn) Gross profit ($ mn)   Q1 2022 Q1 2023 546 452 Q1 2022 Q1 2023 (7) 21% Gross profit of $18mn As the result of model year 2023 vehicles price increases alongside FX transaction effect. This was partially offset by higher freight and input costs. Delivered $546mn in revenues Driven by higher Polestar 2 sales across major geographic markets such as the United Kingdom, United States, Australia, Canada and Italy. Cash and cash equivalents ($ mn) FY 2022 884 974 Cash balance of $884mn Impacted by the operating loss, working capital changes and investment in IP, partially offset by the net proceedings from borrowings. Q1 2023 18 Note: All U.S. dollar figures on this slide rounded. Percentages have been calculated using unrounded amounts. See slide 23 for unaudited condensed consolidated statement of loss and comprehensive loss for figure in thousands of U.S. dollars.</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Financial and operational highlights — Key financial highlights for the three months ended Mar 31, 2023 (unaudited) US$ million Q1 2023 Q1 2022 % Change Revenue 546 452 21 Cost of sales (528) (459) 15 Gross profit (loss) 18 (7) n/m Gross margin (%) 3.4 (1.6) n/m SG&amp;A expense (189) (213) (11) R&amp;D expenses (36) (32) 11 Other operating income (expense), net 7 (6) n/m Operating loss (199) (258) (23) Note: All U.S. dollar figures on this slide rounded. Percentages have been calculated using unrounded amounts. See slide 23 for unaudited condensed consolidated statement of loss and comprehensive loss for figure in thousands of U.S. dollars. Revenue up 21% Driven by higher Polestar 2 sales across major geographic markets Gross profit up $25mn With vehicle price increases alongside FX transaction effects, partially offset by higher freight and input costs SG&amp;A down 11% With active cost management R&amp;D up $4mn With continued product development for future vehicles and technologies Operating loss reduced by c.$60mn Benefiting from higher gross profit and active cost management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and operational highlights — Cash flow for the three months ended Mar 31, 2023 (unaudited) Cash flow ($ mn)   2022 Operating Investing Other repayment and FX1 Q1 2023 Operating Mainly driven by operating loss, higher inventory and trade payables repayments Investing Mainly driven by Polestar 2, Polestar 3 and Polestar 4 intellectual property investments Financing   Mainly from $637mn short-term borrowings, of which $300mn Volvo Cars term facility drawn down, partially offset by $311mn principal repayments Net short-term borrowings Including effect of principal repayments of lease liabilities of -$4mn, and foreign exchange rate changes on cash and cash equivalents of $2mn,. Note: All U.S. dollar figures on this slide rounded. See slide 25 for unaudited condensed consolidated statement of cash flows for figures in thousands of U.S. dollars.   326 (2) 884 (131) (283) 974</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Financial and operational highlights — 2023 outlook Cash balance at 31 Mar 2023 Global volumes Gross profit margin 60-70k With support from major shareholders and $884mn cash balance, we continue to explore potential equity or debt offerings to fund operations and business growth. Expect global volumes of 60-70k, representing annual growth of 16%-36%. Revised guidance reflects adjusted Polestar 3 start of production and tougher economic environment. Expect gross profit margin of around 4%. Revised guidance reflects absence of Polestar 3 sales and sales support activities.    $884mn Source: Company estimates. ~400bps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Imagery</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2 — Model Year 24</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2 — BST edition 230</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3 — The SUV for the electric age</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4  — The electric SUV coupé</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Polestar 5 — The electric 4-door GT</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Polestar 6 — The electric roadster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statements  — Unaudited condensed consolidated statement of loss and comprehensive loss in thousands of U.S. dollars except per share data and unless otherwise stated For the three months ended March 31 2023 2022 Revenue 546,018 452,227 Cost of sales (527,596) (459,492) Gross profit/ (loss) 18,422 (7,265) Selling, general and administrative expense (189,005) (212,554) Research and development expense (35,701) (32,085) Other operating income and expense 6,884 (6,009) Operating loss (199,400) (257,913) Finance income 8,530 5,753 Finance expense (29,158) (17,932) Fair value change - Earn-out rights 206,195 — Fair value change - Class C Shares 7,250 — Loss before income taxes (6,583) (270,092) Income tax expense (2,394) (4,398) Net loss (8,977) (274,490)     Net loss per share (in U.S. dollars)     Basic and diluted &lt;(0.01) (0.14)     Consolidated Statement of Comprehensive Loss         Net loss (8,977) (274,490) Other comprehensive income/ (loss):     Items that may be subsequently reclassified to the Consolidated Statement of Loss:     Exchange rate differences from translation of foreign operations 471 (2,645) Total other comprehensive income/ (loss) 471 (2,645) Total comprehensive loss (8,506) (277,135)</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statements — Unaudited condensed consolidated statement of financial position in thousands of U.S. dollars March 31, 2023 December 31, 2022 Assets Non-current assets Intangible assets and goodwill 1,478,953 1,396,477 Property, plant and equipment 242,525 258,048 Vehicles under operating leases 96,284 92,198 Other non-current assets 4,880 5,306 Deferred tax asset 10,383 7,755 Other investments 2,345 2,333 Total non-current assets 1,835,370 1,762,117 Current assets     Cash and cash equivalents 884,271 973,877 Trade receivables 163,324 246,107 Trade receivables - related parties 58,892 74,996 Accrued income - related parties 8,476 49,060 Inventories 847,028 658,559 Current tax assets 5,968 7,184 Assets held for sale 61,276 63,224 Other current assets 118,865 107,327 Total current assets 2,148,100 2,180,334 Total assets 3,983,470 3,942,451 Equity Share capital (21,165) (21,165) Other contributed capital (3,585,391) (3,584,232) Foreign currency translation reserve 11,794 12,265 Accumulated deficit 3,735,752 3,726,775 Total equity 140,990 133,643 in thousands of U.S. dollars March 31, 2023 December 31, 2022 Liabilities     Non-current liabilities Non-current contract liabilities (52,728) (50,252) Deferred tax liabilities (478) (476) Other non-current provisions (90,404) (73,985) Other non-current liabilities (15,052) (14,753) Earn-out liability (392,375) (598,570) Other non-current interest-bearing liabilities (72,888) (85,556) Other non-current interest-bearing liabilities - related parties (300,000) — Total non-current liabilities (923,925) (823,592) Current liabilities     Trade payables (97,049) (98,458) Trade payables - related parties (911,856) (957,497) Accrued expenses - related parties (205,564) (164,902) Advance payments from customers (33,041) (40,869) Current provisions (78,649) (74,907) Liabilities to credit institutions (1,348,635) (1,328,752) Current tax liabilities (15,846) (10,617) Interest-bearing current liabilities (22,988) (21,545) Interest-bearing current liabilities - related parties (20,888) (16,690) Contract liabilities (57,942) (46,217) Class C Shares liability (20,750) (28,000) Other current liabilities (369,578) (393,790) Other current liabilities - related parties (17,749) (70,258) Total current liabilities (3,200,535) (3,252,502) Total liabilities (4,124,460) (4,076,094) Total equity and liabilities (3,983,470) (3,942,451)</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 xml:space="preserve">Financial statements — Unaudited condensed consolidated statement of cash flows in thousands of U.S. dollars For the three months ended March 31,  2023 2022 Cash flows from operating activities Net loss (8,977) (274,490) Adjustments to reconcile net loss to net cash flows Depreciation and amortization 31,995 36,953 Warranties 24,340 8,862 Inventory impairment (9,440) 10,618 Finance income (8,530) (5,753) Finance expense 29,158 17,932 Fair value change - Earn-out rights (206,195) — Fair value change - Class C Shares (7,250) — Income tax expense 2,394 4,398 Other non-cash expense and income 21,544 18,166 Change in operating assets and liabilities Inventories (169,752) (11,529) Contract liabilities 13,630 (10,919) Trade receivables, prepaid expenses and other assets 133,119 43,684 Trade payables, accrued expenses and other liabilities (107,323) 206,687 Interest received 5,453 5,144 Interest paid (28,991) (8,848) Taxes paid 1,438 (453) Cash (used for)/ provided by operating activities (283,387) 40,452 in thousands of U.S. dollars For the three months ended March 31,  2023 2022 Cash flows from investing activities Additions to property, plant and equipment (19,715) (1,388) Additions to intangible assets (113,030) (292,881) Additions to other investments — (2,599) Divestment of non-current assets  1,710 — Cash used for investing activities (131,035) (296,868) Cash flows from financing activities Proceeds from borrowings 637,177 98,118 Principal repayments of borrowings (310,667) — Principal repayments of lease liabilities (3,926) (2,232) Cash provided by financing activities 322,584 95,886 Effect of foreign exchange rate changes on cash and cash equivalents 2,232 (10,993) Net decrease in cash and cash equivalents (89,606) (171,523) Cash and cash equivalents at beginning of period 973,877 756,677 Cash and cash equivalents at end of period 884,271 585,154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Financial statements — Unaudited reconciliation of GAAP and Non-GAAP results in millions of U.S. dollars For the three months ended March 31,  2023 2022 Adjusted EBITDA Net loss (8,977) (274,490) Listing expense — — Fair value change - Earn-out rights (206,195) — Fair value change - Class C Shares (7,250) — Interest income (5,453) (340) Interest expenses 29,155 17,932 Income tax expense 2,394 4,398 Depreciation and amortization 31,995 36,953 Adjusted EBITDA (164,331) (215,547) in millions of U.S. dollars For the three months ended March 31,  2023 2022 Adjusted net loss Net loss (8,977) (274,490) Listing expense — — Fair value change - Earn-out rights (206,195) — Fair value change - Class C Shares (7,250) — Adjusted net loss (222,422) (274,490) in millions of U.S. dollars For the three months ended March 31,  2023 2022 Adjusted operating loss Operating loss (199,400) (257,913) Listing expense — — Adjusted operating loss (199,400) (257,913) in millions of U.S. dollars For the three months ended March 31,  2023 2022 Free cash flow Net cash (used for)/ provided by operating activities (283,387) 40,452 Additions to property, plant and equipment (19,715) (1,388) Additions to intangible assets (113,030) (292,881) Free cash flow (416,132) (253,817) Non-GAAP Financial Information Polestar uses both generally accepted accounting principles (“GAAP,”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 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225540" cy="35020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225540" cy="3502025"/>
                    </a:xfrm>
                    <a:prstGeom prst="rect">
                      <a:avLst/>
                    </a:prstGeom>
                  </pic:spPr>
                </pic:pic>
              </a:graphicData>
            </a:graphic>
          </wp:inline>
        </w:drawing>
      </w:r>
    </w:p>
    <w:p>
      <w:pPr>
        <w:pStyle w:val="TextBody"/>
        <w:spacing w:before="0" w:after="0"/>
        <w:rPr>
          <w:rFonts w:ascii="Times New Roman" w:hAnsi="Times New Roman"/>
          <w:color w:val="FFFFFF"/>
          <w:sz w:val="2"/>
        </w:rPr>
      </w:pPr>
      <w:r>
        <w:rPr>
          <w:rFonts w:ascii="Times New Roman" w:hAnsi="Times New Roman"/>
          <w:color w:val="FFFFFF"/>
          <w:sz w:val="2"/>
        </w:rPr>
        <w:t>For questions, please contact: Bojana Flint Head of Investor Relations ir@polestar.com  Polestar Assar Gabrielssons Väg 9 SE-418 78 Göteborg Sweden polestar.com All ideas contained within this document are owned by Polestar. © Polestar 2023 Investor update for preliminary unaudited results for the three months ended March 31, 2023 — Contact information</w:t>
      </w:r>
      <w:r>
        <w:br w:type="page"/>
      </w:r>
    </w:p>
    <w:p>
      <w:pPr>
        <w:pStyle w:val="TextBody"/>
        <w:spacing w:before="0" w:after="0"/>
        <w:jc w:val="right"/>
        <w:rPr>
          <w:rFonts w:ascii="Times New Roman" w:hAnsi="Times New Roman"/>
          <w:b/>
          <w:sz w:val="20"/>
        </w:rPr>
      </w:pPr>
      <w:bookmarkStart w:id="6" w:name="d502584dex993.htm"/>
      <w:bookmarkStart w:id="7" w:name="ksd502584dex993"/>
      <w:bookmarkEnd w:id="6"/>
      <w:bookmarkEnd w:id="7"/>
      <w:r>
        <w:rPr>
          <w:rFonts w:ascii="Times New Roman" w:hAnsi="Times New Roman"/>
          <w:b/>
          <w:sz w:val="20"/>
        </w:rPr>
        <w:t xml:space="preserve">Exhibit 99.3 </w:t>
      </w:r>
    </w:p>
    <w:p>
      <w:pPr>
        <w:pStyle w:val="TextBody"/>
        <w:spacing w:before="360" w:after="0"/>
        <w:jc w:val="left"/>
        <w:rPr>
          <w:rFonts w:ascii="Times New Roman" w:hAnsi="Times New Roman"/>
          <w:b/>
          <w:sz w:val="20"/>
        </w:rPr>
      </w:pPr>
      <w:r>
        <w:rPr>
          <w:rFonts w:ascii="Times New Roman" w:hAnsi="Times New Roman"/>
          <w:b/>
          <w:sz w:val="20"/>
        </w:rPr>
        <w:t xml:space="preserve">Managements Discussion and Analysis of Financial Conditions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The following discussion includes information that is relevant to understanding Polestars financial condition and results of operations and should be read together with the Unaudited Condensed Consolidated Financial Statements as of March 31, 2023 and for the three months ended March 31, 2023 and 2022, included elsewhere in this report. Refer to the Form 20-F filed with the SEC on April 14, 2023 for information related to the year ended December 31, 2022. All amounts presented in this report are shown in thousands of U.S. dollars, except per share data and unless otherwise stated. </w:t>
      </w:r>
    </w:p>
    <w:p>
      <w:pPr>
        <w:pStyle w:val="TextBody"/>
        <w:spacing w:before="360" w:after="0"/>
        <w:jc w:val="left"/>
        <w:rPr>
          <w:rFonts w:ascii="Times New Roman" w:hAnsi="Times New Roman"/>
          <w:b/>
          <w:sz w:val="20"/>
        </w:rPr>
      </w:pPr>
      <w:r>
        <w:rPr>
          <w:rFonts w:ascii="Times New Roman" w:hAnsi="Times New Roman"/>
          <w:b/>
          <w:sz w:val="20"/>
        </w:rPr>
        <w:t xml:space="preserve">Key figures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98"/>
        <w:gridCol w:w="241"/>
        <w:gridCol w:w="60"/>
        <w:gridCol w:w="1121"/>
        <w:gridCol w:w="155"/>
        <w:gridCol w:w="186"/>
        <w:gridCol w:w="76"/>
        <w:gridCol w:w="1414"/>
        <w:gridCol w:w="158"/>
      </w:tblGrid>
      <w:tr>
        <w:trPr/>
        <w:tc>
          <w:tcPr>
            <w:tcW w:w="45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2023</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b/>
                <w:sz w:val="20"/>
              </w:rPr>
            </w:pPr>
            <w:r>
              <w:rPr>
                <w:rFonts w:ascii="Times New Roman" w:hAnsi="Times New Roman"/>
                <w:b/>
                <w:sz w:val="20"/>
              </w:rPr>
              <w:t>Statement of financial position</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2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14"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884,271</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jc w:val="right"/>
              <w:rPr/>
            </w:pPr>
            <w:r>
              <w:rPr/>
              <w:t>973,877</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3,983,470</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14" w:type="dxa"/>
            <w:tcBorders/>
            <w:shd w:fill="CCEEFF" w:val="clear"/>
            <w:vAlign w:val="bottom"/>
          </w:tcPr>
          <w:p>
            <w:pPr>
              <w:pStyle w:val="TableContents"/>
              <w:spacing w:before="0" w:after="283"/>
              <w:jc w:val="right"/>
              <w:rPr/>
            </w:pPr>
            <w:r>
              <w:rPr/>
              <w:t>3,942,451</w:t>
            </w:r>
          </w:p>
        </w:tc>
        <w:tc>
          <w:tcPr>
            <w:tcW w:w="158"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Total equity</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140,990</w:t>
            </w:r>
          </w:p>
        </w:tc>
        <w:tc>
          <w:tcPr>
            <w:tcW w:w="15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14" w:type="dxa"/>
            <w:tcBorders/>
            <w:shd w:fill="auto" w:val="clear"/>
            <w:vAlign w:val="bottom"/>
          </w:tcPr>
          <w:p>
            <w:pPr>
              <w:pStyle w:val="TableContents"/>
              <w:spacing w:before="0" w:after="283"/>
              <w:jc w:val="right"/>
              <w:rPr/>
            </w:pPr>
            <w:r>
              <w:rPr/>
              <w:t>133,643</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(4,124,460</w:t>
            </w:r>
          </w:p>
        </w:tc>
        <w:tc>
          <w:tcPr>
            <w:tcW w:w="155"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14" w:type="dxa"/>
            <w:tcBorders/>
            <w:shd w:fill="CCEEFF" w:val="clear"/>
            <w:vAlign w:val="bottom"/>
          </w:tcPr>
          <w:p>
            <w:pPr>
              <w:pStyle w:val="TableContents"/>
              <w:spacing w:before="0" w:after="283"/>
              <w:jc w:val="right"/>
              <w:rPr/>
            </w:pPr>
            <w:r>
              <w:rPr/>
              <w:t>(4,076,094</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1739"/>
        <w:gridCol w:w="190"/>
        <w:gridCol w:w="60"/>
        <w:gridCol w:w="1445"/>
        <w:gridCol w:w="361"/>
        <w:gridCol w:w="118"/>
        <w:gridCol w:w="60"/>
        <w:gridCol w:w="1259"/>
        <w:gridCol w:w="275"/>
        <w:gridCol w:w="118"/>
        <w:gridCol w:w="80"/>
        <w:gridCol w:w="1939"/>
        <w:gridCol w:w="365"/>
      </w:tblGrid>
      <w:tr>
        <w:trPr/>
        <w:tc>
          <w:tcPr>
            <w:tcW w:w="173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73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30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w:t>
              <w:br/>
              <w:t>March 31,</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w:t>
            </w:r>
          </w:p>
        </w:tc>
        <w:tc>
          <w:tcPr>
            <w:tcW w:w="365" w:type="dxa"/>
            <w:tcBorders/>
            <w:shd w:fill="auto"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b/>
                <w:sz w:val="20"/>
              </w:rPr>
            </w:pPr>
            <w:r>
              <w:rPr>
                <w:rFonts w:ascii="Times New Roman" w:hAnsi="Times New Roman"/>
                <w:b/>
                <w:sz w:val="20"/>
              </w:rPr>
              <w:t>Statement of loss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55" w:type="dxa"/>
            <w:gridSpan w:val="9"/>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sz w:val="4"/>
                <w:szCs w:val="4"/>
              </w:rPr>
            </w:pPr>
            <w:r>
              <w:rPr>
                <w:sz w:val="4"/>
                <w:szCs w:val="4"/>
              </w:rPr>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Revenue</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546,018</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452,227</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2,461,896</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Cost of sales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(527,596</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(459,492</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(2,342,453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Gross profit/(loss)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b/>
              </w:rPr>
            </w:pPr>
            <w:r>
              <w:rPr>
                <w:b/>
              </w:rPr>
              <w:t>18,422</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b/>
              </w:rPr>
            </w:pPr>
            <w:r>
              <w:rPr>
                <w:b/>
              </w:rPr>
              <w:t>(7,265</w:t>
            </w:r>
          </w:p>
        </w:tc>
        <w:tc>
          <w:tcPr>
            <w:tcW w:w="275" w:type="dxa"/>
            <w:tcBorders/>
            <w:shd w:fill="auto" w:val="clear"/>
            <w:vAlign w:val="bottom"/>
          </w:tcPr>
          <w:p>
            <w:pPr>
              <w:pStyle w:val="TableContents"/>
              <w:spacing w:before="0" w:after="283"/>
              <w:rPr>
                <w:b/>
              </w:rPr>
            </w:pPr>
            <w:r>
              <w:rPr>
                <w:b/>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b/>
              </w:rPr>
            </w:pPr>
            <w:r>
              <w:rPr>
                <w:b/>
              </w:rPr>
              <w:t>119,443</w:t>
            </w:r>
          </w:p>
        </w:tc>
        <w:tc>
          <w:tcPr>
            <w:tcW w:w="365" w:type="dxa"/>
            <w:tcBorders/>
            <w:shd w:fill="auto"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(217,822</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(250,648</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(1,405,723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b/>
              </w:rPr>
            </w:pPr>
            <w:r>
              <w:rPr>
                <w:b/>
              </w:rPr>
              <w:t>(199,400</w:t>
            </w:r>
          </w:p>
        </w:tc>
        <w:tc>
          <w:tcPr>
            <w:tcW w:w="361" w:type="dxa"/>
            <w:tcBorders/>
            <w:shd w:fill="auto" w:val="clear"/>
            <w:vAlign w:val="bottom"/>
          </w:tcPr>
          <w:p>
            <w:pPr>
              <w:pStyle w:val="TableContents"/>
              <w:spacing w:before="0" w:after="283"/>
              <w:rPr>
                <w:b/>
              </w:rPr>
            </w:pPr>
            <w:r>
              <w:rPr>
                <w:b/>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b/>
              </w:rPr>
            </w:pPr>
            <w:r>
              <w:rPr>
                <w:b/>
              </w:rPr>
              <w:t>(257,913</w:t>
            </w:r>
          </w:p>
        </w:tc>
        <w:tc>
          <w:tcPr>
            <w:tcW w:w="275" w:type="dxa"/>
            <w:tcBorders/>
            <w:shd w:fill="auto" w:val="clear"/>
            <w:vAlign w:val="bottom"/>
          </w:tcPr>
          <w:p>
            <w:pPr>
              <w:pStyle w:val="TableContents"/>
              <w:spacing w:before="0" w:after="283"/>
              <w:rPr>
                <w:b/>
              </w:rPr>
            </w:pPr>
            <w:r>
              <w:rPr>
                <w:b/>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b/>
              </w:rPr>
            </w:pPr>
            <w:r>
              <w:rPr>
                <w:b/>
              </w:rPr>
              <w:t>(1,286,280</w:t>
            </w:r>
          </w:p>
        </w:tc>
        <w:tc>
          <w:tcPr>
            <w:tcW w:w="365" w:type="dxa"/>
            <w:tcBorders/>
            <w:shd w:fill="auto" w:val="clear"/>
            <w:vAlign w:val="bottom"/>
          </w:tcPr>
          <w:p>
            <w:pPr>
              <w:pStyle w:val="TableContents"/>
              <w:spacing w:before="0" w:after="283"/>
              <w:rPr>
                <w:b/>
              </w:rPr>
            </w:pPr>
            <w:r>
              <w:rPr>
                <w:b/>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 and expense, net</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192,817</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(12,179</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837,275</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(2,394</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(4,398</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(16,784</w:t>
            </w:r>
          </w:p>
        </w:tc>
        <w:tc>
          <w:tcPr>
            <w:tcW w:w="365" w:type="dxa"/>
            <w:tcBorders/>
            <w:shd w:fill="auto" w:val="clear"/>
            <w:vAlign w:val="bottom"/>
          </w:tcPr>
          <w:p>
            <w:pPr>
              <w:pStyle w:val="TableContents"/>
              <w:spacing w:before="0" w:after="283"/>
              <w:rPr/>
            </w:pPr>
            <w:r>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b/>
              </w:rPr>
            </w:pPr>
            <w:r>
              <w:rPr>
                <w:b/>
              </w:rPr>
              <w:t>(8,977</w:t>
            </w:r>
          </w:p>
        </w:tc>
        <w:tc>
          <w:tcPr>
            <w:tcW w:w="361" w:type="dxa"/>
            <w:tcBorders/>
            <w:shd w:fill="CCEEFF" w:val="clear"/>
            <w:vAlign w:val="bottom"/>
          </w:tcPr>
          <w:p>
            <w:pPr>
              <w:pStyle w:val="TableContents"/>
              <w:spacing w:before="0" w:after="283"/>
              <w:rPr>
                <w:b/>
              </w:rPr>
            </w:pPr>
            <w:r>
              <w:rPr>
                <w:b/>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b/>
              </w:rPr>
            </w:pPr>
            <w:r>
              <w:rPr>
                <w:b/>
              </w:rPr>
              <w:t>(274,490</w:t>
            </w:r>
          </w:p>
        </w:tc>
        <w:tc>
          <w:tcPr>
            <w:tcW w:w="275" w:type="dxa"/>
            <w:tcBorders/>
            <w:shd w:fill="CCEEFF" w:val="clear"/>
            <w:vAlign w:val="bottom"/>
          </w:tcPr>
          <w:p>
            <w:pPr>
              <w:pStyle w:val="TableContents"/>
              <w:spacing w:before="0" w:after="283"/>
              <w:rPr>
                <w:b/>
              </w:rPr>
            </w:pPr>
            <w:r>
              <w:rPr>
                <w:b/>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b/>
              </w:rPr>
            </w:pPr>
            <w:r>
              <w:rPr>
                <w:b/>
              </w:rPr>
              <w:t>(465,789</w:t>
            </w:r>
          </w:p>
        </w:tc>
        <w:tc>
          <w:tcPr>
            <w:tcW w:w="365" w:type="dxa"/>
            <w:tcBorders/>
            <w:shd w:fill="CCEEFF" w:val="clear"/>
            <w:vAlign w:val="bottom"/>
          </w:tcPr>
          <w:p>
            <w:pPr>
              <w:pStyle w:val="TableContents"/>
              <w:spacing w:before="0" w:after="283"/>
              <w:rPr>
                <w:b/>
              </w:rPr>
            </w:pPr>
            <w:r>
              <w:rPr>
                <w:b/>
              </w:rPr>
              <w:t>) </w:t>
            </w:r>
          </w:p>
        </w:tc>
      </w:tr>
      <w:tr>
        <w:trPr/>
        <w:tc>
          <w:tcPr>
            <w:tcW w:w="173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45" w:type="dxa"/>
            <w:tcBorders/>
            <w:shd w:fill="auto" w:val="clear"/>
            <w:vAlign w:val="bottom"/>
          </w:tcPr>
          <w:p>
            <w:pPr>
              <w:pStyle w:val="TableContents"/>
              <w:pBdr>
                <w:top w:val="single" w:sz="2" w:space="1" w:color="000000"/>
              </w:pBdr>
              <w:spacing w:before="0" w:after="0"/>
              <w:rPr/>
            </w:pPr>
            <w:r>
              <w:rPr/>
              <w:t> </w:t>
            </w:r>
          </w:p>
        </w:tc>
        <w:tc>
          <w:tcPr>
            <w:tcW w:w="361"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5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1939" w:type="dxa"/>
            <w:tcBorders/>
            <w:shd w:fill="auto" w:val="clear"/>
            <w:vAlign w:val="bottom"/>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b/>
                <w:sz w:val="20"/>
              </w:rPr>
            </w:pPr>
            <w:r>
              <w:rPr>
                <w:rFonts w:ascii="Times New Roman" w:hAnsi="Times New Roman"/>
                <w:b/>
                <w:sz w:val="20"/>
              </w:rPr>
              <w:t>Statement of cash flows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5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1939"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Cash (used for)/provided by operating activities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(283,387</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40,452</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(1,083,423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Cash used for investing activities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(131,035</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(296,868</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(715,973</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Cash provided by financing activities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322,584</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95,886</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2,083,029</w:t>
            </w:r>
          </w:p>
        </w:tc>
        <w:tc>
          <w:tcPr>
            <w:tcW w:w="365" w:type="dxa"/>
            <w:tcBorders/>
            <w:shd w:fill="CCEEFF" w:val="clear"/>
            <w:vAlign w:val="bottom"/>
          </w:tcPr>
          <w:p>
            <w:pPr>
              <w:pStyle w:val="TableContents"/>
              <w:spacing w:before="0" w:after="283"/>
              <w:rPr/>
            </w:pPr>
            <w:r>
              <w:rPr/>
              <w:t> </w:t>
            </w:r>
          </w:p>
        </w:tc>
      </w:tr>
      <w:tr>
        <w:trPr>
          <w:trHeight w:val="240" w:hRule="atLeast"/>
        </w:trPr>
        <w:tc>
          <w:tcPr>
            <w:tcW w:w="1739" w:type="dxa"/>
            <w:tcBorders/>
            <w:shd w:fill="auto" w:val="clear"/>
            <w:vAlign w:val="center"/>
          </w:tcPr>
          <w:p>
            <w:pPr>
              <w:pStyle w:val="TableContents"/>
              <w:spacing w:before="0" w:after="283"/>
              <w:rPr>
                <w:sz w:val="4"/>
                <w:szCs w:val="4"/>
              </w:rPr>
            </w:pPr>
            <w:r>
              <w:rPr>
                <w:sz w:val="4"/>
                <w:szCs w:val="4"/>
              </w:rPr>
            </w:r>
          </w:p>
        </w:tc>
        <w:tc>
          <w:tcPr>
            <w:tcW w:w="2056" w:type="dxa"/>
            <w:gridSpan w:val="4"/>
            <w:tcBorders/>
            <w:shd w:fill="auto" w:val="clear"/>
            <w:vAlign w:val="center"/>
          </w:tcPr>
          <w:p>
            <w:pPr>
              <w:pStyle w:val="TableContents"/>
              <w:spacing w:before="0" w:after="283"/>
              <w:rPr>
                <w:sz w:val="4"/>
                <w:szCs w:val="4"/>
              </w:rPr>
            </w:pPr>
            <w:r>
              <w:rPr>
                <w:sz w:val="4"/>
                <w:szCs w:val="4"/>
              </w:rPr>
            </w:r>
          </w:p>
        </w:tc>
        <w:tc>
          <w:tcPr>
            <w:tcW w:w="1712" w:type="dxa"/>
            <w:gridSpan w:val="4"/>
            <w:tcBorders/>
            <w:shd w:fill="auto" w:val="clear"/>
            <w:vAlign w:val="center"/>
          </w:tcPr>
          <w:p>
            <w:pPr>
              <w:pStyle w:val="TableContents"/>
              <w:spacing w:before="0" w:after="283"/>
              <w:rPr>
                <w:sz w:val="4"/>
                <w:szCs w:val="4"/>
              </w:rPr>
            </w:pPr>
            <w:r>
              <w:rPr>
                <w:sz w:val="4"/>
                <w:szCs w:val="4"/>
              </w:rPr>
            </w:r>
          </w:p>
        </w:tc>
        <w:tc>
          <w:tcPr>
            <w:tcW w:w="2502" w:type="dxa"/>
            <w:gridSpan w:val="4"/>
            <w:tcBorders/>
            <w:shd w:fill="auto" w:val="clear"/>
            <w:vAlign w:val="center"/>
          </w:tcPr>
          <w:p>
            <w:pPr>
              <w:pStyle w:val="TableContents"/>
              <w:spacing w:before="0" w:after="283"/>
              <w:rPr>
                <w:sz w:val="4"/>
                <w:szCs w:val="4"/>
              </w:rPr>
            </w:pPr>
            <w:r>
              <w:rPr>
                <w:sz w:val="4"/>
                <w:szCs w:val="4"/>
              </w:rPr>
            </w:r>
          </w:p>
        </w:tc>
      </w:tr>
      <w:tr>
        <w:trPr/>
        <w:tc>
          <w:tcPr>
            <w:tcW w:w="1739" w:type="dxa"/>
            <w:tcBorders/>
            <w:shd w:fill="auto" w:val="clear"/>
          </w:tcPr>
          <w:p>
            <w:pPr>
              <w:pStyle w:val="TableContents"/>
              <w:spacing w:before="0" w:after="0"/>
              <w:rPr>
                <w:rFonts w:ascii="Times New Roman" w:hAnsi="Times New Roman"/>
                <w:b/>
                <w:sz w:val="20"/>
              </w:rPr>
            </w:pPr>
            <w:r>
              <w:rPr>
                <w:rFonts w:ascii="Times New Roman" w:hAnsi="Times New Roman"/>
                <w:b/>
                <w:sz w:val="20"/>
              </w:rPr>
              <w:t>Key metrics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5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1939"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Class A shares outstanding at period end</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467,708,923</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197,026,729</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467,677,673</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Class B shares outstanding at period end</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1,642,233,575</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35,377,866</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1,642,233,575</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Share price at period end1</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3.79</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N/A</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5.31</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&lt; (0.01</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(0.14</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(0.23</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Equity ratio2</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(3.54</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4.88</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(3.39</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Global volumes3</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12,076</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9,576</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51,491</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Volume of external vehicles without repurchase obligations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11,423</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8,507</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48,531</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Volume of external vehicles with repurchase obligations</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355</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440</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1,296</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Volume of internal vehicles</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298</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629</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1,664</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Markets4</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27</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21</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27</w:t>
            </w:r>
          </w:p>
        </w:tc>
        <w:tc>
          <w:tcPr>
            <w:tcW w:w="365" w:type="dxa"/>
            <w:tcBorders/>
            <w:shd w:fill="auto" w:val="clear"/>
            <w:vAlign w:val="bottom"/>
          </w:tcPr>
          <w:p>
            <w:pPr>
              <w:pStyle w:val="TableContents"/>
              <w:spacing w:before="0" w:after="283"/>
              <w:rPr/>
            </w:pPr>
            <w:r>
              <w:rPr/>
              <w:t> </w:t>
            </w:r>
          </w:p>
        </w:tc>
      </w:tr>
      <w:tr>
        <w:trPr/>
        <w:tc>
          <w:tcPr>
            <w:tcW w:w="1739" w:type="dxa"/>
            <w:tcBorders/>
            <w:shd w:fill="CCEEFF" w:val="clear"/>
          </w:tcPr>
          <w:p>
            <w:pPr>
              <w:pStyle w:val="TableContents"/>
              <w:spacing w:before="0" w:after="0"/>
              <w:rPr>
                <w:rFonts w:ascii="Times New Roman" w:hAnsi="Times New Roman"/>
                <w:sz w:val="20"/>
              </w:rPr>
            </w:pPr>
            <w:r>
              <w:rPr>
                <w:rFonts w:ascii="Times New Roman" w:hAnsi="Times New Roman"/>
                <w:sz w:val="20"/>
              </w:rPr>
              <w:t>Locations5</w:t>
            </w:r>
          </w:p>
        </w:tc>
        <w:tc>
          <w:tcPr>
            <w:tcW w:w="1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45" w:type="dxa"/>
            <w:tcBorders/>
            <w:shd w:fill="CCEEFF" w:val="clear"/>
            <w:vAlign w:val="bottom"/>
          </w:tcPr>
          <w:p>
            <w:pPr>
              <w:pStyle w:val="TableContents"/>
              <w:spacing w:before="0" w:after="283"/>
              <w:jc w:val="right"/>
              <w:rPr/>
            </w:pPr>
            <w:r>
              <w:rPr/>
              <w:t>143</w:t>
            </w:r>
          </w:p>
        </w:tc>
        <w:tc>
          <w:tcPr>
            <w:tcW w:w="36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120</w:t>
            </w:r>
          </w:p>
        </w:tc>
        <w:tc>
          <w:tcPr>
            <w:tcW w:w="27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939" w:type="dxa"/>
            <w:tcBorders/>
            <w:shd w:fill="CCEEFF" w:val="clear"/>
            <w:vAlign w:val="bottom"/>
          </w:tcPr>
          <w:p>
            <w:pPr>
              <w:pStyle w:val="TableContents"/>
              <w:spacing w:before="0" w:after="283"/>
              <w:jc w:val="right"/>
              <w:rPr/>
            </w:pPr>
            <w:r>
              <w:rPr/>
              <w:t>158</w:t>
            </w:r>
          </w:p>
        </w:tc>
        <w:tc>
          <w:tcPr>
            <w:tcW w:w="365" w:type="dxa"/>
            <w:tcBorders/>
            <w:shd w:fill="CCEEFF" w:val="clear"/>
            <w:vAlign w:val="bottom"/>
          </w:tcPr>
          <w:p>
            <w:pPr>
              <w:pStyle w:val="TableContents"/>
              <w:spacing w:before="0" w:after="283"/>
              <w:rPr/>
            </w:pPr>
            <w:r>
              <w:rPr/>
              <w:t> </w:t>
            </w:r>
          </w:p>
        </w:tc>
      </w:tr>
      <w:tr>
        <w:trPr/>
        <w:tc>
          <w:tcPr>
            <w:tcW w:w="1739" w:type="dxa"/>
            <w:tcBorders/>
            <w:shd w:fill="auto" w:val="clear"/>
          </w:tcPr>
          <w:p>
            <w:pPr>
              <w:pStyle w:val="TableContents"/>
              <w:spacing w:before="0" w:after="0"/>
              <w:rPr>
                <w:rFonts w:ascii="Times New Roman" w:hAnsi="Times New Roman"/>
                <w:sz w:val="20"/>
              </w:rPr>
            </w:pPr>
            <w:r>
              <w:rPr>
                <w:rFonts w:ascii="Times New Roman" w:hAnsi="Times New Roman"/>
                <w:sz w:val="20"/>
              </w:rPr>
              <w:t>Service points6</w:t>
            </w:r>
          </w:p>
        </w:tc>
        <w:tc>
          <w:tcPr>
            <w:tcW w:w="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right"/>
              <w:rPr/>
            </w:pPr>
            <w:r>
              <w:rPr/>
              <w:t>1,117</w:t>
            </w:r>
          </w:p>
        </w:tc>
        <w:tc>
          <w:tcPr>
            <w:tcW w:w="36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842</w:t>
            </w:r>
          </w:p>
        </w:tc>
        <w:tc>
          <w:tcPr>
            <w:tcW w:w="27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939" w:type="dxa"/>
            <w:tcBorders/>
            <w:shd w:fill="auto" w:val="clear"/>
            <w:vAlign w:val="bottom"/>
          </w:tcPr>
          <w:p>
            <w:pPr>
              <w:pStyle w:val="TableContents"/>
              <w:spacing w:before="0" w:after="283"/>
              <w:jc w:val="right"/>
              <w:rPr/>
            </w:pPr>
            <w:r>
              <w:rPr/>
              <w:t>1,116</w:t>
            </w:r>
          </w:p>
        </w:tc>
        <w:tc>
          <w:tcPr>
            <w:tcW w:w="365"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Represents PSNY share price at period end while publicly traded. The share price at March 31, 2022 is not disclosed as Polestar was not publicly traded. </w:t>
      </w:r>
    </w:p>
    <w:p>
      <w:pPr>
        <w:pStyle w:val="TextBody"/>
        <w:spacing w:before="0" w:after="0"/>
        <w:jc w:val="left"/>
        <w:rPr>
          <w:rFonts w:ascii="Times New Roman" w:hAnsi="Times New Roman"/>
          <w:sz w:val="20"/>
        </w:rPr>
      </w:pPr>
      <w:r>
        <w:rPr>
          <w:rFonts w:ascii="Times New Roman" w:hAnsi="Times New Roman"/>
          <w:sz w:val="20"/>
        </w:rPr>
        <w:t xml:space="preserve">2 - Calculated as total equity divided by total assets.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and IFRS 16, Leases, respectively. Revenue is not recognized in scenario (c). </w:t>
      </w:r>
    </w:p>
    <w:p>
      <w:pPr>
        <w:pStyle w:val="TextBody"/>
        <w:spacing w:before="0" w:after="0"/>
        <w:jc w:val="left"/>
        <w:rPr>
          <w:rFonts w:ascii="Times New Roman" w:hAnsi="Times New Roman"/>
          <w:sz w:val="20"/>
        </w:rPr>
      </w:pPr>
      <w:r>
        <w:rPr>
          <w:rFonts w:ascii="Times New Roman" w:hAnsi="Times New Roman"/>
          <w:sz w:val="20"/>
        </w:rPr>
        <w:t xml:space="preserve">4 - Represents the markets in which Polestar operates. </w:t>
      </w:r>
    </w:p>
    <w:p>
      <w:pPr>
        <w:pStyle w:val="TextBody"/>
        <w:spacing w:before="0" w:after="0"/>
        <w:jc w:val="left"/>
        <w:rPr>
          <w:rFonts w:ascii="Times New Roman" w:hAnsi="Times New Roman"/>
          <w:sz w:val="20"/>
        </w:rPr>
      </w:pPr>
      <w:r>
        <w:rPr>
          <w:rFonts w:ascii="Times New Roman" w:hAnsi="Times New Roman"/>
          <w:sz w:val="20"/>
        </w:rPr>
        <w:t xml:space="preserve">5 - Represents Polestar Spaces, Polestar Destinations, and Polestar Test Drive Centers. </w:t>
      </w:r>
    </w:p>
    <w:p>
      <w:pPr>
        <w:pStyle w:val="TextBody"/>
        <w:spacing w:before="0" w:after="0"/>
        <w:jc w:val="left"/>
        <w:rPr>
          <w:rFonts w:ascii="Times New Roman" w:hAnsi="Times New Roman"/>
          <w:sz w:val="20"/>
        </w:rPr>
      </w:pPr>
      <w:r>
        <w:rPr>
          <w:rFonts w:ascii="Times New Roman" w:hAnsi="Times New Roman"/>
          <w:sz w:val="20"/>
        </w:rPr>
        <w:t xml:space="preserve">6 - Represents Volvo Cars service centers to provide access to customer service points worldwide in support of Polestars international expansion. The number of service points at March 31, 2022 is an estimate as information was not recorded internally. </w:t>
      </w:r>
    </w:p>
    <w:p>
      <w:pPr>
        <w:pStyle w:val="TextBody"/>
        <w:spacing w:before="360" w:after="0"/>
        <w:jc w:val="left"/>
        <w:rPr>
          <w:rFonts w:ascii="Times New Roman" w:hAnsi="Times New Roman"/>
          <w:b/>
          <w:sz w:val="20"/>
        </w:rPr>
      </w:pPr>
      <w:r>
        <w:rPr>
          <w:rFonts w:ascii="Times New Roman" w:hAnsi="Times New Roman"/>
          <w:b/>
          <w:sz w:val="20"/>
        </w:rPr>
        <w:t xml:space="preserve">Key factors affecting performance </w:t>
      </w:r>
    </w:p>
    <w:p>
      <w:pPr>
        <w:pStyle w:val="TextBody"/>
        <w:spacing w:before="120" w:after="0"/>
        <w:jc w:val="left"/>
        <w:rPr>
          <w:rFonts w:ascii="Times New Roman" w:hAnsi="Times New Roman"/>
          <w:sz w:val="20"/>
        </w:rPr>
      </w:pPr>
      <w:r>
        <w:rPr>
          <w:rFonts w:ascii="Times New Roman" w:hAnsi="Times New Roman"/>
          <w:sz w:val="20"/>
        </w:rPr>
        <w:t xml:space="preserve">Polestars continued growth depends on numerous factors and trends. While these factors and trends provide opportunities for Polestar, they also pose risks and challenges as discussed in item 3.D </w:t>
      </w:r>
      <w:r>
        <w:rPr>
          <w:rFonts w:ascii="Times New Roman" w:hAnsi="Times New Roman"/>
          <w:i/>
          <w:sz w:val="20"/>
        </w:rPr>
        <w:t>Risk Factors</w:t>
      </w:r>
      <w:r>
        <w:rPr>
          <w:rFonts w:ascii="Times New Roman" w:hAnsi="Times New Roman"/>
          <w:sz w:val="20"/>
        </w:rPr>
        <w:t xml:space="preserve"> in Form 20-F filed with the SEC on April 14, 2023. The following paragraphs explain the key factors that had a notable impact on Polestar during the three months ended March 31, 2023. </w:t>
      </w:r>
    </w:p>
    <w:p>
      <w:pPr>
        <w:pStyle w:val="TextBody"/>
        <w:spacing w:before="360" w:after="0"/>
        <w:jc w:val="left"/>
        <w:rPr>
          <w:rFonts w:ascii="Times New Roman" w:hAnsi="Times New Roman"/>
          <w:i/>
          <w:sz w:val="20"/>
        </w:rPr>
      </w:pPr>
      <w:r>
        <w:rPr>
          <w:rFonts w:ascii="Times New Roman" w:hAnsi="Times New Roman"/>
          <w:i/>
          <w:sz w:val="20"/>
        </w:rPr>
        <w:t xml:space="preserve">Partnerships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Polestars relationship with Volvo Cars and Geely has provided it with a unique competitive advantage in its ability to rapidly scale and finance commercialization activities while maintaining an asset light balance sheet. This is achieved primarily through contract manufacturing, supply, and financing agreements with Volvo Cars and Geely. Polestar has utilized Volvo Cars and Geelys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 </w:t>
      </w:r>
    </w:p>
    <w:p>
      <w:pPr>
        <w:pStyle w:val="TextBody"/>
        <w:spacing w:before="240" w:after="0"/>
        <w:jc w:val="left"/>
        <w:rPr>
          <w:rFonts w:ascii="Times New Roman" w:hAnsi="Times New Roman"/>
          <w:sz w:val="20"/>
        </w:rPr>
      </w:pPr>
      <w:r>
        <w:rPr>
          <w:rFonts w:ascii="Times New Roman" w:hAnsi="Times New Roman"/>
          <w:sz w:val="20"/>
        </w:rPr>
        <w:t xml:space="preserve">Utilizing Volvo Cars Luqiao facility in China has allowed Polestar to ramp production of its Polestar 2 with over 100,000 units produced by December 31, 2022, while simultaneously producing limited edition variants utilizing Polestars Chengdu facility. Going forward, Polestar 3 is planned to be produced both in China at Volvo Cars Chengdu facility and in the United States at Volvo Cars facility in Charleston, South Carolina. The Polestar 4 and Polestar 5 are expected to be manufactured at Geelys Hangzhou Bay and Chongquing (currently under construction) facilities in China, respectively. Having access to the global manufacturing footprint of Volvo Cars and Geely has and will continue to provide Polestar flexibility to adjust and optimize its manufacturing plans in response factors such as particular market demand, relative production cost, changing shipping and logistic expenses and the availability of market-specific tax credit schemes. </w:t>
      </w:r>
    </w:p>
    <w:p>
      <w:pPr>
        <w:pStyle w:val="TextBody"/>
        <w:spacing w:before="240" w:after="0"/>
        <w:jc w:val="left"/>
        <w:rPr>
          <w:rFonts w:ascii="Times New Roman" w:hAnsi="Times New Roman"/>
          <w:sz w:val="20"/>
        </w:rPr>
      </w:pPr>
      <w:r>
        <w:rPr>
          <w:rFonts w:ascii="Times New Roman" w:hAnsi="Times New Roman"/>
          <w:sz w:val="20"/>
        </w:rPr>
        <w:t xml:space="preserve">During the three months ended March 31, 2023, Polestar did not enter into any new agreements with Volvo Cars or Geely. However, Polestar began to leverage the 18-month $800,000 credit facility with Volvo Cars that was entered into on November 3, 2022 during the period. Polestar drew down $150,000 on February 23, 2023 and March 29. 2023; leaving $500,000 of principal available to draw upon under the facility as of March 31, 2023. Refer to </w:t>
      </w:r>
      <w:r>
        <w:rPr>
          <w:rFonts w:ascii="Times New Roman" w:hAnsi="Times New Roman"/>
          <w:i/>
          <w:sz w:val="20"/>
        </w:rPr>
        <w:t>Note 11 - Related party transactions</w:t>
      </w:r>
      <w:r>
        <w:rPr>
          <w:rFonts w:ascii="Times New Roman" w:hAnsi="Times New Roman"/>
          <w:sz w:val="20"/>
        </w:rPr>
        <w:t xml:space="preserve"> in the Unaudited Condensed Consolidated Financial Statements included elsewhere in this report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Premium electric vehicle portfolio </w:t>
      </w:r>
    </w:p>
    <w:p>
      <w:pPr>
        <w:pStyle w:val="TextBody"/>
        <w:spacing w:before="120" w:after="0"/>
        <w:jc w:val="left"/>
        <w:rPr>
          <w:rFonts w:ascii="Times New Roman" w:hAnsi="Times New Roman"/>
          <w:sz w:val="20"/>
        </w:rPr>
      </w:pPr>
      <w:r>
        <w:rPr>
          <w:rFonts w:ascii="Times New Roman" w:hAnsi="Times New Roman"/>
          <w:sz w:val="20"/>
        </w:rPr>
        <w:t xml:space="preserve">Polestar is developing a premium all-electric vehicle portfolio to address the tastes and preferences of premium vehicle customers, one of the fastest growing segments of the global electric car market. The planned portfolio currently consists of the following models: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2 - a performance fastback;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3 - a performance sport utility vehicle;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4 - a performance sport utility coupe;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5 - a high performance 4-door grand tourer;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6 - a high performance roadster. </w:t>
            </w:r>
          </w:p>
        </w:tc>
      </w:tr>
    </w:tbl>
    <w:p>
      <w:pPr>
        <w:pStyle w:val="TextBody"/>
        <w:spacing w:before="240" w:after="0"/>
        <w:jc w:val="left"/>
        <w:rPr>
          <w:rFonts w:ascii="Times New Roman" w:hAnsi="Times New Roman"/>
          <w:sz w:val="20"/>
        </w:rPr>
      </w:pPr>
      <w:r>
        <w:rPr>
          <w:rFonts w:ascii="Times New Roman" w:hAnsi="Times New Roman"/>
          <w:sz w:val="20"/>
        </w:rPr>
        <w:t xml:space="preserve">The Polestar 2 has received numerous accolades and positive reviews since its launch in 2019. The limited edition higher specification Polestar 2 variants, the BST 270 and BST 230, which sell at higher price points have also received favorable reviews from customers and the automotive community. Polestar plans to continue offering higher specification variants, sometimes in limited production runs, for its future models, which it expects will further establish its brand within the premium electric segment and allow for pricing variability within certain markets. As a premium electric vehicle company, Polestar does not intend to offer models priced below the Polestar 2. </w:t>
      </w:r>
    </w:p>
    <w:p>
      <w:pPr>
        <w:pStyle w:val="TextBody"/>
        <w:spacing w:before="360" w:after="0"/>
        <w:jc w:val="left"/>
        <w:rPr>
          <w:rFonts w:ascii="Times New Roman" w:hAnsi="Times New Roman"/>
          <w:i/>
          <w:sz w:val="20"/>
        </w:rPr>
      </w:pPr>
      <w:r>
        <w:rPr>
          <w:rFonts w:ascii="Times New Roman" w:hAnsi="Times New Roman"/>
          <w:i/>
          <w:sz w:val="20"/>
        </w:rPr>
        <w:t xml:space="preserve">Innovative automotive technologies and design </w:t>
      </w:r>
    </w:p>
    <w:p>
      <w:pPr>
        <w:pStyle w:val="TextBody"/>
        <w:spacing w:before="120" w:after="0"/>
        <w:jc w:val="left"/>
        <w:rPr>
          <w:rFonts w:ascii="Times New Roman" w:hAnsi="Times New Roman"/>
          <w:sz w:val="20"/>
        </w:rPr>
      </w:pPr>
      <w:r>
        <w:rPr>
          <w:rFonts w:ascii="Times New Roman" w:hAnsi="Times New Roman"/>
          <w:sz w:val="20"/>
        </w:rPr>
        <w:t xml:space="preserve">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Precept and P10 electric powertrain have advanced Polestars organic intellectual property. Further, Polestar continues to display ambition to create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industry-leading technologies through partnerships with Volvo Cars, Geely, Nvidia, Luminar, and Zenseact,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During the three months ended March 31, 2023, Polestar invested $96,394 in new intellectual property. Refer to </w:t>
      </w:r>
      <w:r>
        <w:rPr>
          <w:rFonts w:ascii="Times New Roman" w:hAnsi="Times New Roman"/>
          <w:i/>
          <w:sz w:val="20"/>
        </w:rPr>
        <w:t>Note 6 - Intangible assets and goodwill</w:t>
      </w:r>
      <w:r>
        <w:rPr>
          <w:rFonts w:ascii="Times New Roman" w:hAnsi="Times New Roman"/>
          <w:sz w:val="20"/>
        </w:rPr>
        <w:t xml:space="preserve"> in the Unaudited Condensed Consolidated Financial Statements included elsewhere in this report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Direct-to-consumer business model </w:t>
      </w:r>
    </w:p>
    <w:p>
      <w:pPr>
        <w:pStyle w:val="TextBody"/>
        <w:spacing w:before="120" w:after="0"/>
        <w:jc w:val="left"/>
        <w:rPr>
          <w:rFonts w:ascii="Times New Roman" w:hAnsi="Times New Roman"/>
          <w:sz w:val="20"/>
        </w:rPr>
      </w:pPr>
      <w:r>
        <w:rPr>
          <w:rFonts w:ascii="Times New Roman" w:hAnsi="Times New Roman"/>
          <w:sz w:val="20"/>
        </w:rPr>
        <w:t xml:space="preserve">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 </w:t>
      </w:r>
    </w:p>
    <w:p>
      <w:pPr>
        <w:pStyle w:val="TextBody"/>
        <w:spacing w:before="360" w:after="0"/>
        <w:jc w:val="left"/>
        <w:rPr>
          <w:rFonts w:ascii="Times New Roman" w:hAnsi="Times New Roman"/>
          <w:i/>
          <w:sz w:val="20"/>
        </w:rPr>
      </w:pPr>
      <w:r>
        <w:rPr>
          <w:rFonts w:ascii="Times New Roman" w:hAnsi="Times New Roman"/>
          <w:i/>
          <w:sz w:val="20"/>
        </w:rPr>
        <w:t xml:space="preserve">Direct-to-business model </w:t>
      </w:r>
    </w:p>
    <w:p>
      <w:pPr>
        <w:pStyle w:val="TextBody"/>
        <w:spacing w:before="120" w:after="0"/>
        <w:jc w:val="left"/>
        <w:rPr>
          <w:rFonts w:ascii="Times New Roman" w:hAnsi="Times New Roman"/>
          <w:sz w:val="20"/>
        </w:rPr>
      </w:pPr>
      <w:r>
        <w:rPr>
          <w:rFonts w:ascii="Times New Roman" w:hAnsi="Times New Roman"/>
          <w:sz w:val="20"/>
        </w:rPr>
        <w:t xml:space="preserve">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w:t>
      </w:r>
    </w:p>
    <w:p>
      <w:pPr>
        <w:pStyle w:val="TextBody"/>
        <w:spacing w:before="360" w:after="0"/>
        <w:jc w:val="left"/>
        <w:rPr>
          <w:rFonts w:ascii="Times New Roman" w:hAnsi="Times New Roman"/>
          <w:i/>
          <w:sz w:val="20"/>
        </w:rPr>
      </w:pPr>
      <w:r>
        <w:rPr>
          <w:rFonts w:ascii="Times New Roman" w:hAnsi="Times New Roman"/>
          <w:i/>
          <w:sz w:val="20"/>
        </w:rPr>
        <w:t xml:space="preserve">Fleet sales </w:t>
      </w:r>
    </w:p>
    <w:p>
      <w:pPr>
        <w:pStyle w:val="TextBody"/>
        <w:spacing w:before="120" w:after="0"/>
        <w:jc w:val="left"/>
        <w:rPr>
          <w:rFonts w:ascii="Times New Roman" w:hAnsi="Times New Roman"/>
          <w:sz w:val="20"/>
        </w:rPr>
      </w:pPr>
      <w:r>
        <w:rPr>
          <w:rFonts w:ascii="Times New Roman" w:hAnsi="Times New Roman"/>
          <w:sz w:val="20"/>
        </w:rPr>
        <w:t xml:space="preserve">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upfront discounts and annual rebates based on the number of vehicles ordered during the year. </w:t>
      </w:r>
    </w:p>
    <w:p>
      <w:pPr>
        <w:pStyle w:val="TextBody"/>
        <w:spacing w:before="360" w:after="0"/>
        <w:jc w:val="left"/>
        <w:rPr>
          <w:rFonts w:ascii="Times New Roman" w:hAnsi="Times New Roman"/>
          <w:i/>
          <w:sz w:val="20"/>
        </w:rPr>
      </w:pPr>
      <w:r>
        <w:rPr>
          <w:rFonts w:ascii="Times New Roman" w:hAnsi="Times New Roman"/>
          <w:i/>
          <w:sz w:val="20"/>
        </w:rPr>
        <w:t xml:space="preserve">Importer markets </w:t>
      </w:r>
    </w:p>
    <w:p>
      <w:pPr>
        <w:pStyle w:val="TextBody"/>
        <w:spacing w:before="120" w:after="0"/>
        <w:jc w:val="left"/>
        <w:rPr>
          <w:rFonts w:ascii="Times New Roman" w:hAnsi="Times New Roman"/>
          <w:sz w:val="20"/>
        </w:rPr>
      </w:pPr>
      <w:r>
        <w:rPr>
          <w:rFonts w:ascii="Times New Roman" w:hAnsi="Times New Roman"/>
          <w:sz w:val="20"/>
        </w:rPr>
        <w:t xml:space="preserve">Polestar also sells vehicles to various importers in smaller markets around the globe where it does not have sales units (e.g., Hong Kong, New Zealand, Israel, UAE (United Arab Emirates), among others). Polestars relationships with importers allow it to create a more diversified global footprint and tap potential opportunities which may lead to increased sales. </w:t>
      </w:r>
    </w:p>
    <w:p>
      <w:pPr>
        <w:pStyle w:val="TextBody"/>
        <w:spacing w:before="360" w:after="0"/>
        <w:jc w:val="left"/>
        <w:rPr>
          <w:rFonts w:ascii="Times New Roman" w:hAnsi="Times New Roman"/>
          <w:i/>
          <w:sz w:val="20"/>
        </w:rPr>
      </w:pPr>
      <w:r>
        <w:rPr>
          <w:rFonts w:ascii="Times New Roman" w:hAnsi="Times New Roman"/>
          <w:i/>
          <w:sz w:val="20"/>
        </w:rPr>
        <w:t xml:space="preserve">Earn-out rights and Class C Shares from the reverse recapitalization </w:t>
      </w:r>
    </w:p>
    <w:p>
      <w:pPr>
        <w:pStyle w:val="TextBody"/>
        <w:spacing w:before="120" w:after="0"/>
        <w:jc w:val="left"/>
        <w:rPr>
          <w:rFonts w:ascii="Times New Roman" w:hAnsi="Times New Roman"/>
          <w:sz w:val="20"/>
        </w:rPr>
      </w:pPr>
      <w:r>
        <w:rPr>
          <w:rFonts w:ascii="Times New Roman" w:hAnsi="Times New Roman"/>
          <w:sz w:val="20"/>
        </w:rPr>
        <w:t xml:space="preserve">On June 23, 2022, Polestar consummated a capital reorganization via the merger with Gores Guggenheim, Inc. (GGI), a special purpose acquisition company. Polestar subsequently began trading on the National Association of Securities Dealers Automated Quotations (Nasdaq) on June 24, 2022 under the ticker symbol PSNY. As part of the merger, Polestar exchanged rights and obligations to the public and private warrant instruments of GGI, resulting in the issuance of similar instruments in the form of Class C-1 Shares and Class C-2 Shares, respectively. Polestar also issued certain rights to earn-out shares to its existing owners. These instruments are accounted for as derivative liabilities under International Accounting Standards (IAS) 32, Financial Instruments: Presentation, and IFRS 9, Financial Instruments, that are carried at fair value with subsequent changes in fair value recognized in the Unaudited Condensed Consolidated Statement of Loss and Comprehensive Loss at each reporting date.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March 31, 2023, the Class C Shares were valued at $28,000 and $20,750, respectively, resulting in an unrealized gain from the fair-value change of $7,250 during the three months ended March 31, 2023. As of December 31, 2022 and March 31, 2023, the earn-out rights were valued at $598,570 and $392,375, respectively, resulting in an unrealized gain from the fair value change of $206,195 during the three months ended March 31, 2023. The fair values of these derivative financial instruments are volatile and influenced by changes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Times New Roman" w:hAnsi="Times New Roman"/>
          <w:i/>
          <w:sz w:val="20"/>
        </w:rPr>
        <w:t>Note 1 - Significant accounting policies and judgements</w:t>
      </w:r>
      <w:r>
        <w:rPr>
          <w:rFonts w:ascii="Times New Roman" w:hAnsi="Times New Roman"/>
          <w:sz w:val="20"/>
        </w:rPr>
        <w:t xml:space="preserve"> and </w:t>
      </w:r>
      <w:r>
        <w:rPr>
          <w:rFonts w:ascii="Times New Roman" w:hAnsi="Times New Roman"/>
          <w:i/>
          <w:sz w:val="20"/>
        </w:rPr>
        <w:t>Note 8 - Reverse recapitalization</w:t>
      </w:r>
      <w:r>
        <w:rPr>
          <w:rFonts w:ascii="Times New Roman" w:hAnsi="Times New Roman"/>
          <w:sz w:val="20"/>
        </w:rPr>
        <w:t xml:space="preserve"> in the Unaudited Condensed Consolidated Financial Statements included elsewhere in this report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Impact of COVID-19, Russo-Ukrainian War, and inflation </w:t>
      </w:r>
    </w:p>
    <w:p>
      <w:pPr>
        <w:pStyle w:val="TextBody"/>
        <w:spacing w:before="120" w:after="0"/>
        <w:jc w:val="left"/>
        <w:rPr>
          <w:rFonts w:ascii="Times New Roman" w:hAnsi="Times New Roman"/>
          <w:sz w:val="20"/>
        </w:rPr>
      </w:pPr>
      <w:r>
        <w:rPr>
          <w:rFonts w:ascii="Times New Roman" w:hAnsi="Times New Roman"/>
          <w:sz w:val="20"/>
        </w:rPr>
        <w:t>In certain instances, Polestars suppliers and business partners have experienced delays or disruptions from COVID-19, resulting in negative impacts to Polestar. Further, while Polestar does not directly conduct any business with suppliers in Russia or the Ukraine, there can be no assurance that all parts of the supply chain are devoid of any exposure to disruptions caused by the Russo-Ukrainian War. Refer to Item 3.D </w:t>
      </w:r>
      <w:r>
        <w:rPr>
          <w:rFonts w:ascii="Times New Roman" w:hAnsi="Times New Roman"/>
          <w:i/>
          <w:sz w:val="20"/>
        </w:rPr>
        <w:t>Risk Factors</w:t>
      </w:r>
      <w:r>
        <w:rPr>
          <w:rFonts w:ascii="Times New Roman" w:hAnsi="Times New Roman"/>
          <w:sz w:val="20"/>
        </w:rPr>
        <w:t xml:space="preserve"> in Form 20-F filed with the SEC on April 14, 2023 for information on risks posed by COVID-19 and the Russo-Ukrainian War.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Global economic conditions have caused rising inflationary pressures on prices of components, materials, labor, and equipment used in the production of Polestar vehicles. Particularly, increases in battery prices due to the increased prices of lithium, cobalt, and nickel has contributed to increased cost of goods sold and is expected to lead to higher costs of goods sold in the future.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 Ukrainian War, and inflation. </w:t>
      </w:r>
    </w:p>
    <w:p>
      <w:pPr>
        <w:pStyle w:val="TextBody"/>
        <w:spacing w:before="360" w:after="0"/>
        <w:jc w:val="left"/>
        <w:rPr>
          <w:rFonts w:ascii="Times New Roman" w:hAnsi="Times New Roman"/>
          <w:b/>
          <w:sz w:val="20"/>
        </w:rPr>
      </w:pPr>
      <w:r>
        <w:rPr>
          <w:rFonts w:ascii="Times New Roman" w:hAnsi="Times New Roman"/>
          <w:b/>
          <w:sz w:val="20"/>
        </w:rPr>
        <w:t xml:space="preserve">A. 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conducts business under one operating segment with commercial operations in North America, Europe, Asia, and various importer markets. Refer to </w:t>
      </w:r>
      <w:r>
        <w:rPr>
          <w:rFonts w:ascii="Times New Roman" w:hAnsi="Times New Roman"/>
          <w:i/>
          <w:sz w:val="20"/>
        </w:rPr>
        <w:t>Note 1 - Significant accounting policies and judgements</w:t>
      </w:r>
      <w:r>
        <w:rPr>
          <w:rFonts w:ascii="Times New Roman" w:hAnsi="Times New Roman"/>
          <w:sz w:val="20"/>
        </w:rPr>
        <w:t xml:space="preserve"> in the Unaudited Condensed Consolidated Financial Statements included elsewhere in this report for more information on the basis of presentation. Refer to </w:t>
      </w:r>
      <w:r>
        <w:rPr>
          <w:rFonts w:ascii="Times New Roman" w:hAnsi="Times New Roman"/>
          <w:i/>
          <w:sz w:val="20"/>
        </w:rPr>
        <w:t>Note 1 - Significant accounting policies and judgements</w:t>
      </w:r>
      <w:r>
        <w:rPr>
          <w:rFonts w:ascii="Times New Roman" w:hAnsi="Times New Roman"/>
          <w:sz w:val="20"/>
        </w:rPr>
        <w:t xml:space="preserve"> in the Consolidated Financial Statements for Polestar Automotive Holding Limited, as of December 31, 2022 and 2021, and for the three years ended December 31, 2022, that were included the Form 20-F filed with the SEC on April 14, 2023 for more information related to segment reporting</w:t>
      </w:r>
      <w:r>
        <w:rPr>
          <w:rFonts w:ascii="Times New Roman" w:hAnsi="Times New Roman"/>
          <w:i/>
          <w:sz w:val="20"/>
        </w:rPr>
        <w:t>.</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Comparison of the three months ended March 31, 2023, and 2022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Polestars historical Unaudited Condensed Consolidated Statement of Loss and Comprehensive Loss for three months ended March 31, 2023, and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933"/>
        <w:gridCol w:w="205"/>
        <w:gridCol w:w="60"/>
        <w:gridCol w:w="944"/>
        <w:gridCol w:w="173"/>
        <w:gridCol w:w="147"/>
        <w:gridCol w:w="60"/>
        <w:gridCol w:w="944"/>
        <w:gridCol w:w="155"/>
        <w:gridCol w:w="147"/>
        <w:gridCol w:w="60"/>
        <w:gridCol w:w="888"/>
        <w:gridCol w:w="155"/>
        <w:gridCol w:w="147"/>
        <w:gridCol w:w="60"/>
        <w:gridCol w:w="456"/>
        <w:gridCol w:w="161"/>
      </w:tblGrid>
      <w:tr>
        <w:trPr/>
        <w:tc>
          <w:tcPr>
            <w:tcW w:w="49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32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76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Variance</w:t>
            </w:r>
          </w:p>
        </w:tc>
        <w:tc>
          <w:tcPr>
            <w:tcW w:w="161" w:type="dxa"/>
            <w:tcBorders/>
            <w:shd w:fill="auto"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546,018</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452,227</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93,791</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21</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(527,596</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(459,492</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(68,104</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15</w:t>
            </w:r>
          </w:p>
        </w:tc>
        <w:tc>
          <w:tcPr>
            <w:tcW w:w="161" w:type="dxa"/>
            <w:tcBorders/>
            <w:shd w:fill="auto"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Gross profit/(loss)</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18,422</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(7,265</w:t>
            </w:r>
          </w:p>
        </w:tc>
        <w:tc>
          <w:tcPr>
            <w:tcW w:w="155" w:type="dxa"/>
            <w:tcBorders/>
            <w:shd w:fill="CCEEFF" w:val="clear"/>
            <w:vAlign w:val="bottom"/>
          </w:tcPr>
          <w:p>
            <w:pPr>
              <w:pStyle w:val="TableContents"/>
              <w:spacing w:before="0" w:after="283"/>
              <w:rPr>
                <w:b/>
              </w:rPr>
            </w:pPr>
            <w:r>
              <w:rPr>
                <w:b/>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b/>
              </w:rPr>
            </w:pPr>
            <w:r>
              <w:rPr>
                <w:b/>
              </w:rPr>
              <w:t>25,687</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b/>
              </w:rPr>
            </w:pPr>
            <w:r>
              <w:rPr>
                <w:b/>
              </w:rPr>
              <w:t>(354</w:t>
            </w:r>
          </w:p>
        </w:tc>
        <w:tc>
          <w:tcPr>
            <w:tcW w:w="161" w:type="dxa"/>
            <w:tcBorders/>
            <w:shd w:fill="CCEEFF"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(189,005</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(212,554</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23,549</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(11</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(35,701</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(32,085</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(3,616</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11</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 and expense</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6,884</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(6,009</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12,893</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(215</w:t>
            </w:r>
          </w:p>
        </w:tc>
        <w:tc>
          <w:tcPr>
            <w:tcW w:w="161" w:type="dxa"/>
            <w:tcBorders/>
            <w:shd w:fill="auto"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(199,400</w:t>
            </w:r>
          </w:p>
        </w:tc>
        <w:tc>
          <w:tcPr>
            <w:tcW w:w="173" w:type="dxa"/>
            <w:tcBorders/>
            <w:shd w:fill="CCEEFF" w:val="clear"/>
            <w:vAlign w:val="bottom"/>
          </w:tcPr>
          <w:p>
            <w:pPr>
              <w:pStyle w:val="TableContents"/>
              <w:spacing w:before="0" w:after="283"/>
              <w:rPr>
                <w:b/>
              </w:rPr>
            </w:pPr>
            <w:r>
              <w:rPr>
                <w:b/>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b/>
              </w:rPr>
            </w:pPr>
            <w:r>
              <w:rPr>
                <w:b/>
              </w:rPr>
              <w:t>(257,913</w:t>
            </w:r>
          </w:p>
        </w:tc>
        <w:tc>
          <w:tcPr>
            <w:tcW w:w="155" w:type="dxa"/>
            <w:tcBorders/>
            <w:shd w:fill="CCEEFF" w:val="clear"/>
            <w:vAlign w:val="bottom"/>
          </w:tcPr>
          <w:p>
            <w:pPr>
              <w:pStyle w:val="TableContents"/>
              <w:spacing w:before="0" w:after="283"/>
              <w:rPr>
                <w:b/>
              </w:rPr>
            </w:pPr>
            <w:r>
              <w:rPr>
                <w:b/>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b/>
              </w:rPr>
            </w:pPr>
            <w:r>
              <w:rPr>
                <w:b/>
              </w:rPr>
              <w:t>58,513</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b/>
              </w:rPr>
            </w:pPr>
            <w:r>
              <w:rPr>
                <w:b/>
              </w:rPr>
              <w:t>(23</w:t>
            </w:r>
          </w:p>
        </w:tc>
        <w:tc>
          <w:tcPr>
            <w:tcW w:w="161" w:type="dxa"/>
            <w:tcBorders/>
            <w:shd w:fill="CCEEFF"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Finance income</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8,530</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5,753</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2,777</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48</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Finance expense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(29,158</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(17,932</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(11,226</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63</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206,195</w:t>
            </w:r>
          </w:p>
        </w:tc>
        <w:tc>
          <w:tcPr>
            <w:tcW w:w="17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206,195</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N/A</w:t>
            </w:r>
          </w:p>
        </w:tc>
        <w:tc>
          <w:tcPr>
            <w:tcW w:w="161" w:type="dxa"/>
            <w:tcBorders/>
            <w:shd w:fill="auto" w:val="clear"/>
            <w:vAlign w:val="bottom"/>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7,250</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7,250</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N/A</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(6,583</w:t>
            </w:r>
          </w:p>
        </w:tc>
        <w:tc>
          <w:tcPr>
            <w:tcW w:w="173"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(270,092</w:t>
            </w:r>
          </w:p>
        </w:tc>
        <w:tc>
          <w:tcPr>
            <w:tcW w:w="155"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b/>
              </w:rPr>
            </w:pPr>
            <w:r>
              <w:rPr>
                <w:b/>
              </w:rPr>
              <w:t>263,590</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b/>
              </w:rPr>
            </w:pPr>
            <w:r>
              <w:rPr>
                <w:b/>
              </w:rPr>
              <w:t>(98</w:t>
            </w:r>
          </w:p>
        </w:tc>
        <w:tc>
          <w:tcPr>
            <w:tcW w:w="161" w:type="dxa"/>
            <w:tcBorders/>
            <w:shd w:fill="auto"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2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(2,394</w:t>
            </w:r>
          </w:p>
        </w:tc>
        <w:tc>
          <w:tcPr>
            <w:tcW w:w="17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(4,398</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2,004</w:t>
            </w:r>
          </w:p>
        </w:tc>
        <w:tc>
          <w:tcPr>
            <w:tcW w:w="15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6" w:type="dxa"/>
            <w:tcBorders/>
            <w:shd w:fill="CCEEFF" w:val="clear"/>
            <w:vAlign w:val="bottom"/>
          </w:tcPr>
          <w:p>
            <w:pPr>
              <w:pStyle w:val="TableContents"/>
              <w:spacing w:before="0" w:after="283"/>
              <w:jc w:val="right"/>
              <w:rPr/>
            </w:pPr>
            <w:r>
              <w:rPr/>
              <w:t>(46</w:t>
            </w:r>
          </w:p>
        </w:tc>
        <w:tc>
          <w:tcPr>
            <w:tcW w:w="161" w:type="dxa"/>
            <w:tcBorders/>
            <w:shd w:fill="CCEEFF" w:val="clear"/>
            <w:vAlign w:val="bottom"/>
          </w:tcPr>
          <w:p>
            <w:pPr>
              <w:pStyle w:val="TableContents"/>
              <w:spacing w:before="0" w:after="283"/>
              <w:rPr/>
            </w:pPr>
            <w:r>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93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(8,977</w:t>
            </w:r>
          </w:p>
        </w:tc>
        <w:tc>
          <w:tcPr>
            <w:tcW w:w="173"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4" w:type="dxa"/>
            <w:tcBorders/>
            <w:shd w:fill="auto" w:val="clear"/>
            <w:vAlign w:val="bottom"/>
          </w:tcPr>
          <w:p>
            <w:pPr>
              <w:pStyle w:val="TableContents"/>
              <w:spacing w:before="0" w:after="283"/>
              <w:jc w:val="right"/>
              <w:rPr>
                <w:b/>
              </w:rPr>
            </w:pPr>
            <w:r>
              <w:rPr>
                <w:b/>
              </w:rPr>
              <w:t>(274,490</w:t>
            </w:r>
          </w:p>
        </w:tc>
        <w:tc>
          <w:tcPr>
            <w:tcW w:w="155" w:type="dxa"/>
            <w:tcBorders/>
            <w:shd w:fill="auto" w:val="clear"/>
            <w:vAlign w:val="bottom"/>
          </w:tcPr>
          <w:p>
            <w:pPr>
              <w:pStyle w:val="TableContents"/>
              <w:spacing w:before="0" w:after="283"/>
              <w:rPr>
                <w:b/>
              </w:rPr>
            </w:pPr>
            <w:r>
              <w:rPr>
                <w:b/>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b/>
              </w:rPr>
            </w:pPr>
            <w:r>
              <w:rPr>
                <w:b/>
              </w:rPr>
              <w:t>265,513</w:t>
            </w:r>
          </w:p>
        </w:tc>
        <w:tc>
          <w:tcPr>
            <w:tcW w:w="15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b/>
              </w:rPr>
            </w:pPr>
            <w:r>
              <w:rPr>
                <w:b/>
              </w:rPr>
              <w:t>(97</w:t>
            </w:r>
          </w:p>
        </w:tc>
        <w:tc>
          <w:tcPr>
            <w:tcW w:w="161" w:type="dxa"/>
            <w:tcBorders/>
            <w:shd w:fill="auto" w:val="clear"/>
            <w:vAlign w:val="bottom"/>
          </w:tcPr>
          <w:p>
            <w:pPr>
              <w:pStyle w:val="TableContents"/>
              <w:spacing w:before="0" w:after="283"/>
              <w:rPr>
                <w:b/>
              </w:rPr>
            </w:pPr>
            <w:r>
              <w:rPr>
                <w:b/>
              </w:rPr>
              <w:t>) </w:t>
            </w:r>
          </w:p>
        </w:tc>
      </w:tr>
      <w:tr>
        <w:trPr/>
        <w:tc>
          <w:tcPr>
            <w:tcW w:w="4933"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73"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4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5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Polestars revenue increased by $93,791 or 21%, from $452,227 for the three months ended March 31, 2022 to $546,018 for the three months ended March 31, 2023. Revenue from related parties decreased by $21,201, or 48%, from $44,009 for the three months ended March 31, 2023 to $22,808 for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the components of revenue and related changes between interim periods: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272"/>
        <w:gridCol w:w="213"/>
        <w:gridCol w:w="60"/>
        <w:gridCol w:w="889"/>
        <w:gridCol w:w="60"/>
        <w:gridCol w:w="213"/>
        <w:gridCol w:w="60"/>
        <w:gridCol w:w="889"/>
        <w:gridCol w:w="60"/>
        <w:gridCol w:w="213"/>
        <w:gridCol w:w="60"/>
        <w:gridCol w:w="740"/>
        <w:gridCol w:w="155"/>
        <w:gridCol w:w="149"/>
        <w:gridCol w:w="60"/>
        <w:gridCol w:w="441"/>
        <w:gridCol w:w="161"/>
      </w:tblGrid>
      <w:tr>
        <w:trPr/>
        <w:tc>
          <w:tcPr>
            <w:tcW w:w="527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7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17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60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Variance</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9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5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b/>
                <w:sz w:val="20"/>
              </w:rPr>
            </w:pPr>
            <w:r>
              <w:rPr>
                <w:rFonts w:ascii="Times New Roman" w:hAnsi="Times New Roman"/>
                <w:b/>
                <w:sz w:val="20"/>
              </w:rPr>
              <w:t>Revenues</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74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41"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Sales of vehicles</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529,732</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438,419</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91,313</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right"/>
              <w:rPr/>
            </w:pPr>
            <w:r>
              <w:rPr/>
              <w:t>21</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6,754</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4,529</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2,225</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jc w:val="right"/>
              <w:rPr/>
            </w:pPr>
            <w:r>
              <w:rPr/>
              <w:t>49</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1,168</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(1,168</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right"/>
              <w:rPr/>
            </w:pPr>
            <w:r>
              <w:rPr/>
              <w:t>N/A</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4,206</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4,874</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(668</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jc w:val="right"/>
              <w:rPr/>
            </w:pPr>
            <w:r>
              <w:rPr/>
              <w:t>(14</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Other revenue</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5,326</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3,237</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2,089</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jc w:val="right"/>
              <w:rPr/>
            </w:pPr>
            <w:r>
              <w:rPr/>
              <w:t>65</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4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41"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b/>
              </w:rPr>
            </w:pPr>
            <w:r>
              <w:rPr>
                <w:b/>
              </w:rPr>
              <w:t>546,018</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b/>
              </w:rPr>
            </w:pPr>
            <w:r>
              <w:rPr>
                <w:b/>
              </w:rPr>
              <w:t>452,227</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b/>
              </w:rPr>
            </w:pPr>
            <w:r>
              <w:rPr>
                <w:b/>
              </w:rPr>
              <w:t>93,791</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jc w:val="right"/>
              <w:rPr>
                <w:b/>
              </w:rPr>
            </w:pPr>
            <w:r>
              <w:rPr>
                <w:b/>
              </w:rPr>
              <w:t>21</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4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441"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Sales of vehicles increased by $91,313, or 21%, from $438,419 for the three months ended March 31, 2022 to $529,732 for the three months ended March 31, 2023. The increase was driven primarily by price increases established in second half of 2022 and greater volumes of Polestar 2 sales across certain geographic markets such as the United Kingdom, United States, Italy, Australia, and Canada. These positive impacts on revenue were partially offset by negative impacts from foreign currency translation effects, sales channel mix, and powertrain mix. Revenue per vehicle decreased slightly as fleet sales and sales of long-range single motor powertrains of the Polestar 2 represented a greater proportion of revenue during the three months ended March 31, 2023 as compared to the three months ended March 31, 2022. </w:t>
      </w:r>
    </w:p>
    <w:p>
      <w:pPr>
        <w:pStyle w:val="TextBody"/>
        <w:spacing w:before="240" w:after="0"/>
        <w:jc w:val="left"/>
        <w:rPr>
          <w:rFonts w:ascii="Times New Roman" w:hAnsi="Times New Roman"/>
          <w:sz w:val="20"/>
        </w:rPr>
      </w:pPr>
      <w:r>
        <w:rPr>
          <w:rFonts w:ascii="Times New Roman" w:hAnsi="Times New Roman"/>
          <w:sz w:val="20"/>
        </w:rPr>
        <w:t xml:space="preserve">Sales of software and performance engineered kits increased by $2,225, or 49%, from $4,529 for the three months ended March 31, 2022 to $6,754 for the three months ended March 31, 2023. The increase is primarily the result of performance software upgrades for the Polestar 2 which were introduced to customers in the United States and Canada in December 2022. </w:t>
      </w:r>
    </w:p>
    <w:p>
      <w:pPr>
        <w:pStyle w:val="TextBody"/>
        <w:spacing w:before="240" w:after="0"/>
        <w:jc w:val="left"/>
        <w:rPr>
          <w:rFonts w:ascii="Times New Roman" w:hAnsi="Times New Roman"/>
          <w:sz w:val="20"/>
        </w:rPr>
      </w:pPr>
      <w:r>
        <w:rPr>
          <w:rFonts w:ascii="Times New Roman" w:hAnsi="Times New Roman"/>
          <w:sz w:val="20"/>
        </w:rPr>
        <w:t xml:space="preserve">Sales of carbon credits decreased by $1,168, from $1,168 for the three months ended March 31, 2022 to $0 for three months ended March 31, 2023. Polestar did not sell carbon credits during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Vehicle leasing revenue decreased by $668, or 14%, from $4,874 for the three months ended March 31, 2022 to $4,206 for the three months ended March 31, 2023. This activity is primarily due to a decrease in revenue from repurchased vehicles leased to related parties for the three months ended March 31, 2022. </w:t>
      </w:r>
    </w:p>
    <w:p>
      <w:pPr>
        <w:pStyle w:val="TextBody"/>
        <w:spacing w:before="240" w:after="0"/>
        <w:jc w:val="left"/>
        <w:rPr>
          <w:rFonts w:ascii="Times New Roman" w:hAnsi="Times New Roman"/>
          <w:sz w:val="20"/>
        </w:rPr>
      </w:pPr>
      <w:r>
        <w:rPr>
          <w:rFonts w:ascii="Times New Roman" w:hAnsi="Times New Roman"/>
          <w:sz w:val="20"/>
        </w:rPr>
        <w:t xml:space="preserve">Other revenue increased by $2,089, or 65%, from $3,237 for the three months ended March 31, 2022 to $5,326 for the three months ended March 31, 2023. The increase is driven primarily by sales-based royalties received from Volvo Cars on sales of parts and accessories for the Polestar 2. In general, higher sales-based royalties on parts and accessories is correlated to higher sales volumes of the Polestar 2. </w:t>
      </w:r>
    </w:p>
    <w:p>
      <w:pPr>
        <w:pStyle w:val="TextBody"/>
        <w:spacing w:before="360" w:after="0"/>
        <w:jc w:val="left"/>
        <w:rPr>
          <w:rFonts w:ascii="Times New Roman" w:hAnsi="Times New Roman"/>
          <w:b/>
          <w:sz w:val="20"/>
        </w:rPr>
      </w:pPr>
      <w:r>
        <w:rPr>
          <w:rFonts w:ascii="Times New Roman" w:hAnsi="Times New Roman"/>
          <w:b/>
          <w:sz w:val="20"/>
        </w:rPr>
        <w:t xml:space="preserve">Cost of sales and gross profit/(loss) </w:t>
      </w:r>
    </w:p>
    <w:p>
      <w:pPr>
        <w:pStyle w:val="TextBody"/>
        <w:spacing w:before="120" w:after="0"/>
        <w:jc w:val="left"/>
        <w:rPr>
          <w:rFonts w:ascii="Times New Roman" w:hAnsi="Times New Roman"/>
          <w:sz w:val="20"/>
        </w:rPr>
      </w:pPr>
      <w:r>
        <w:rPr>
          <w:rFonts w:ascii="Times New Roman" w:hAnsi="Times New Roman"/>
          <w:sz w:val="20"/>
        </w:rPr>
        <w:t xml:space="preserve">Cost of sales increased by $68,104, or 15%, from $459,492 for the three months ended March 31, 2022 to $527,596 for the three months ended March 31, 2023. This increase was driven primarily by expanded production and commercialization of Polestar 2 vehicles leading to higher contract manufacturing, warranty, freight costs, offset by positive impacts from powertrain mix and foreign currency translation effects. </w:t>
      </w:r>
    </w:p>
    <w:p>
      <w:pPr>
        <w:pStyle w:val="TextBody"/>
        <w:spacing w:before="240" w:after="0"/>
        <w:jc w:val="left"/>
        <w:rPr>
          <w:rFonts w:ascii="Times New Roman" w:hAnsi="Times New Roman"/>
          <w:sz w:val="20"/>
        </w:rPr>
      </w:pPr>
      <w:r>
        <w:rPr>
          <w:rFonts w:ascii="Times New Roman" w:hAnsi="Times New Roman"/>
          <w:sz w:val="20"/>
        </w:rPr>
        <w:t xml:space="preserve">Gross profit/(loss) changed by $25,687, or 354%, from a gross loss of $7,265 for the three months ended March 31, 2022 to a gross profit of $18,422 for the three months ended March 31, 2023. Gross profit for the three months ended March 31, 2023 was positively impacted by $41,857 from price increases established in second half of 2022 and $10,637 from foreign currency transaction effects on contract manufacturing costs. These positive impacts were offset primarily by higher contract manufacturing, warranty, and freight costs of $30,617 during the three months ended March 31, 2023. The EUR and USD strengthened against the SEK and CNY during the three months ended March 31, 2023 as compared to three months ended March 31, 2022, resulting in an overall positive impact on gross profit/(loss) from foreign currency effects.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expense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 decreased by $23,549, or 11%, from $212,554 for the three months ended March 31, 2022 to $189,005 for the three months ended March 31, 2023. This activity is primarily due to a decrease in advertising, selling, and promotional activities of $37,185 and a reversal of impairment on internal vehicles of $11,154 during the three months ended March 31, 2023. The decrease of advertising, selling, and promotional activities was offset by an increase in administrative expenses of $24,761 related to higher wages and salaries associated with scaling headcount across global operations to meet demands of the growing business. </w:t>
      </w:r>
    </w:p>
    <w:p>
      <w:pPr>
        <w:pStyle w:val="TextBody"/>
        <w:spacing w:before="360" w:after="0"/>
        <w:jc w:val="left"/>
        <w:rPr>
          <w:rFonts w:ascii="Times New Roman" w:hAnsi="Times New Roman"/>
          <w:b/>
          <w:sz w:val="20"/>
        </w:rPr>
      </w:pPr>
      <w:r>
        <w:rPr>
          <w:rFonts w:ascii="Times New Roman" w:hAnsi="Times New Roman"/>
          <w:b/>
          <w:sz w:val="20"/>
        </w:rPr>
        <w:t xml:space="preserve">Research and development expense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 increased by $3,616, or 11%, from $32,085 for the three months ended March 31, 2022 to $35,701 for the three months ended March 31, 2023. This activity is primarily the result of increased R&amp;D personnel costs due to continuing product development for future vehicles and technologies. </w:t>
      </w:r>
    </w:p>
    <w:p>
      <w:pPr>
        <w:pStyle w:val="TextBody"/>
        <w:spacing w:before="360" w:after="0"/>
        <w:jc w:val="left"/>
        <w:rPr>
          <w:rFonts w:ascii="Times New Roman" w:hAnsi="Times New Roman"/>
          <w:b/>
          <w:sz w:val="20"/>
        </w:rPr>
      </w:pPr>
      <w:r>
        <w:rPr>
          <w:rFonts w:ascii="Times New Roman" w:hAnsi="Times New Roman"/>
          <w:b/>
          <w:sz w:val="20"/>
        </w:rPr>
        <w:t xml:space="preserve">Other operating income (expenses), net </w:t>
      </w:r>
    </w:p>
    <w:p>
      <w:pPr>
        <w:pStyle w:val="TextBody"/>
        <w:spacing w:before="120" w:after="0"/>
        <w:jc w:val="left"/>
        <w:rPr>
          <w:rFonts w:ascii="Times New Roman" w:hAnsi="Times New Roman"/>
          <w:sz w:val="20"/>
        </w:rPr>
      </w:pPr>
      <w:r>
        <w:rPr>
          <w:rFonts w:ascii="Times New Roman" w:hAnsi="Times New Roman"/>
          <w:sz w:val="20"/>
        </w:rPr>
        <w:t xml:space="preserve">Other operating income (expense), net increased by $12,893, or 215%, from an expense of $6,009 for the three months ended March 31, 2022 to an income of $6,884 for the three months ended March 31, 2023. This increase is primarily driven by lower negative foreign exchange effects on working capital, comprised of realized and unrealized gains on foreign currency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Finance income </w:t>
      </w:r>
    </w:p>
    <w:p>
      <w:pPr>
        <w:pStyle w:val="TextBody"/>
        <w:spacing w:before="120" w:after="0"/>
        <w:jc w:val="left"/>
        <w:rPr>
          <w:rFonts w:ascii="Times New Roman" w:hAnsi="Times New Roman"/>
          <w:sz w:val="20"/>
        </w:rPr>
      </w:pPr>
      <w:r>
        <w:rPr>
          <w:rFonts w:ascii="Times New Roman" w:hAnsi="Times New Roman"/>
          <w:sz w:val="20"/>
        </w:rPr>
        <w:t xml:space="preserve">Finance income increased by $2,777, or 48%, from $5,753 for the three months ended March 31, 2022 to $8,530 for the three months ended March 31, 2023. This increase was the result of higher interest income on bank accounts of $5,113, offset by lower net foreign currency exchange gains of $2,147 during the three months ended March 31, 2023. </w:t>
      </w:r>
    </w:p>
    <w:p>
      <w:pPr>
        <w:pStyle w:val="TextBody"/>
        <w:spacing w:before="360" w:after="0"/>
        <w:jc w:val="left"/>
        <w:rPr>
          <w:rFonts w:ascii="Times New Roman" w:hAnsi="Times New Roman"/>
          <w:b/>
          <w:sz w:val="20"/>
        </w:rPr>
      </w:pPr>
      <w:r>
        <w:rPr>
          <w:rFonts w:ascii="Times New Roman" w:hAnsi="Times New Roman"/>
          <w:b/>
          <w:sz w:val="20"/>
        </w:rPr>
        <w:t xml:space="preserve">Finance expenses </w:t>
      </w:r>
    </w:p>
    <w:p>
      <w:pPr>
        <w:pStyle w:val="TextBody"/>
        <w:spacing w:before="120" w:after="0"/>
        <w:jc w:val="left"/>
        <w:rPr>
          <w:rFonts w:ascii="Times New Roman" w:hAnsi="Times New Roman"/>
          <w:sz w:val="20"/>
        </w:rPr>
      </w:pPr>
      <w:r>
        <w:rPr>
          <w:rFonts w:ascii="Times New Roman" w:hAnsi="Times New Roman"/>
          <w:sz w:val="20"/>
        </w:rPr>
        <w:t xml:space="preserve">Finance expense increased by $11,226, or 63%, from $17,932 for the three months ended March 31, 2022 to $29,158 for the three months ended March 31, 2023. This increase was primarily the result of higher interest expense associated with liabilities to credit institutions of $14,694, offset by lower interest expense on related party liabilities of $3,834. </w:t>
      </w:r>
    </w:p>
    <w:p>
      <w:pPr>
        <w:pStyle w:val="TextBody"/>
        <w:spacing w:before="360" w:after="0"/>
        <w:jc w:val="left"/>
        <w:rPr>
          <w:rFonts w:ascii="Times New Roman" w:hAnsi="Times New Roman"/>
          <w:b/>
          <w:sz w:val="20"/>
        </w:rPr>
      </w:pPr>
      <w:r>
        <w:rPr>
          <w:rFonts w:ascii="Times New Roman" w:hAnsi="Times New Roman"/>
          <w:b/>
          <w:sz w:val="20"/>
        </w:rPr>
        <w:t xml:space="preserve">Fair value change - Earn-out rights </w:t>
      </w:r>
    </w:p>
    <w:p>
      <w:pPr>
        <w:pStyle w:val="TextBody"/>
        <w:spacing w:before="120" w:after="0"/>
        <w:jc w:val="left"/>
        <w:rPr>
          <w:rFonts w:ascii="Times New Roman" w:hAnsi="Times New Roman"/>
          <w:sz w:val="20"/>
        </w:rPr>
      </w:pPr>
      <w:r>
        <w:rPr>
          <w:rFonts w:ascii="Times New Roman" w:hAnsi="Times New Roman"/>
          <w:sz w:val="20"/>
        </w:rPr>
        <w:t xml:space="preserve">The earn-out rights were issued in connection with the capital reorganization that was consummated on June 23, 2022. As such, there is no comparison figure for the three months ended March 31, 2023. The gain on the fair value change of the earn out liability for three months ended March 31, 2023 was $206,195. These gains are primarily attributable to a decrease in Polestars share price from $5.31 on December 31, 2022 to $3.79 on March 31, 2023 and increased market volatility. Leveraging on a benchmark of peers, the implied asset volatility used in the Monte Carlo simulation increased from of 75% as of December 31, 2022 to 80% as of March 31, 2023. </w:t>
      </w:r>
    </w:p>
    <w:p>
      <w:pPr>
        <w:pStyle w:val="TextBody"/>
        <w:spacing w:before="360" w:after="0"/>
        <w:jc w:val="left"/>
        <w:rPr>
          <w:rFonts w:ascii="Times New Roman" w:hAnsi="Times New Roman"/>
          <w:b/>
          <w:sz w:val="20"/>
        </w:rPr>
      </w:pPr>
      <w:r>
        <w:rPr>
          <w:rFonts w:ascii="Times New Roman" w:hAnsi="Times New Roman"/>
          <w:b/>
          <w:sz w:val="20"/>
        </w:rPr>
        <w:t xml:space="preserve">Fair value change - Class C Shares </w:t>
      </w:r>
    </w:p>
    <w:p>
      <w:pPr>
        <w:pStyle w:val="TextBody"/>
        <w:spacing w:before="120" w:after="0"/>
        <w:jc w:val="left"/>
        <w:rPr>
          <w:rFonts w:ascii="Times New Roman" w:hAnsi="Times New Roman"/>
          <w:sz w:val="20"/>
        </w:rPr>
      </w:pPr>
      <w:r>
        <w:rPr>
          <w:rFonts w:ascii="Times New Roman" w:hAnsi="Times New Roman"/>
          <w:sz w:val="20"/>
        </w:rPr>
        <w:t xml:space="preserve">As part of the capital reorganization via the merger with GGI on June 23, 2022, Polestar exchanged rights and obligations to the public and private warrant instruments of GGI. The gain on the fair value change of these warrants (Class C Shares in Polestar) for the three months ended March 31, 2023 was $7,250. These gains are primarily attributable to a decrease in the price of the Class C-1 Shares from $1.12 on December 31, 2022 to $0.83 on March 31, 2023 and a decrease in the estimated value of the Class C-2 Shares from $1.12 to $0.83 over the same period. Polestar utilizes a binomial lattice model to calculate the value of the Class C-2 Shares which factors several inputs, including the changes in Polestars share price from $5.31 to $3.79, implied volatility of Class C-1 Shares from 89% to 123%, and risk-free rate from 4.01% to 3.65% over the same period. </w:t>
      </w:r>
    </w:p>
    <w:p>
      <w:pPr>
        <w:pStyle w:val="TextBody"/>
        <w:spacing w:before="360" w:after="0"/>
        <w:jc w:val="left"/>
        <w:rPr>
          <w:rFonts w:ascii="Times New Roman" w:hAnsi="Times New Roman"/>
          <w:b/>
          <w:sz w:val="20"/>
        </w:rPr>
      </w:pPr>
      <w:r>
        <w:rPr>
          <w:rFonts w:ascii="Times New Roman" w:hAnsi="Times New Roman"/>
          <w:b/>
          <w:sz w:val="20"/>
        </w:rPr>
        <w:t xml:space="preserve">B. 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Polestar continues to finance its operations primarily through the issuance of equity instruments, various short-term credit facilities, including working capital facilities, term loans with related parties, sale-leaseback arrangements, and extended trade credit with related parties. The principal uses of liquidity and capital are funding operations, market expansion, and investments in Polestars future vehicles and automotive technologies. </w:t>
      </w:r>
    </w:p>
    <w:p>
      <w:pPr>
        <w:pStyle w:val="TextBody"/>
        <w:spacing w:before="240" w:after="0"/>
        <w:jc w:val="left"/>
        <w:rPr>
          <w:rFonts w:ascii="Times New Roman" w:hAnsi="Times New Roman"/>
          <w:sz w:val="20"/>
        </w:rPr>
      </w:pPr>
      <w:r>
        <w:rPr>
          <w:rFonts w:ascii="Times New Roman" w:hAnsi="Times New Roman"/>
          <w:sz w:val="20"/>
        </w:rPr>
        <w:t xml:space="preserve">Polestar continues to generate negative operating and investing cash flows as a result of scaling up commercialization efforts globally and capital expenditures for the Polestar 2, Polestar 3, Polestar 4, and Polestar 5 and does not expect to achieve positive cash flow from operations for several years. Managing the companys liquidity profile and funding needs remains one of Managements key priorities. Substantial doubt about Polestars ability to continue as a going concern persists as timely realization of financing endeavors is necessary to cover forecasted operating and investing cash outflow. Refer to </w:t>
      </w:r>
      <w:r>
        <w:rPr>
          <w:rFonts w:ascii="Times New Roman" w:hAnsi="Times New Roman"/>
          <w:i/>
          <w:sz w:val="20"/>
        </w:rPr>
        <w:t>Note 1 - Significant accounting policies and judgements</w:t>
      </w:r>
      <w:r>
        <w:rPr>
          <w:rFonts w:ascii="Times New Roman" w:hAnsi="Times New Roman"/>
          <w:sz w:val="20"/>
        </w:rPr>
        <w:t xml:space="preserve"> in the Unaudited Condensed Consolidated Financial Statements included elsewhere in this report for more information. </w:t>
      </w:r>
    </w:p>
    <w:p>
      <w:pPr>
        <w:pStyle w:val="TextBody"/>
        <w:spacing w:before="240" w:after="0"/>
        <w:jc w:val="left"/>
        <w:rPr>
          <w:rFonts w:ascii="Times New Roman" w:hAnsi="Times New Roman"/>
          <w:sz w:val="20"/>
        </w:rPr>
      </w:pPr>
      <w:r>
        <w:rPr>
          <w:rFonts w:ascii="Times New Roman" w:hAnsi="Times New Roman"/>
          <w:sz w:val="20"/>
        </w:rPr>
        <w:t xml:space="preserve">If Polestars cash resources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 </w:t>
      </w:r>
    </w:p>
    <w:p>
      <w:pPr>
        <w:pStyle w:val="TextBody"/>
        <w:spacing w:before="240" w:after="0"/>
        <w:jc w:val="left"/>
        <w:rPr>
          <w:rFonts w:ascii="Times New Roman" w:hAnsi="Times New Roman"/>
          <w:sz w:val="20"/>
        </w:rPr>
      </w:pPr>
      <w:r>
        <w:rPr>
          <w:rFonts w:ascii="Times New Roman" w:hAnsi="Times New Roman"/>
          <w:sz w:val="20"/>
        </w:rPr>
        <w:t xml:space="preserve">Managements intention is to continue to develop Polestars short-term working capital financing relationships with European and Chinese banking partners, including upsizing current facilities where applicable, while also continuing to explore potential equity or debt offerings. </w:t>
      </w:r>
    </w:p>
    <w:p>
      <w:pPr>
        <w:pStyle w:val="TextBody"/>
        <w:spacing w:before="360" w:after="0"/>
        <w:jc w:val="left"/>
        <w:rPr>
          <w:rFonts w:ascii="Times New Roman" w:hAnsi="Times New Roman"/>
          <w:b/>
          <w:i/>
          <w:sz w:val="20"/>
        </w:rPr>
      </w:pPr>
      <w:r>
        <w:rPr>
          <w:rFonts w:ascii="Times New Roman" w:hAnsi="Times New Roman"/>
          <w:b/>
          <w:i/>
          <w:sz w:val="20"/>
        </w:rPr>
        <w:t xml:space="preserve">Comparison of the three months ended March 31, 2023 and 2022 </w:t>
      </w:r>
    </w:p>
    <w:p>
      <w:pPr>
        <w:pStyle w:val="TextBody"/>
        <w:spacing w:before="120" w:after="0"/>
        <w:jc w:val="left"/>
        <w:rPr>
          <w:rFonts w:ascii="Times New Roman" w:hAnsi="Times New Roman"/>
          <w:sz w:val="20"/>
        </w:rPr>
      </w:pPr>
      <w:r>
        <w:rPr>
          <w:rFonts w:ascii="Times New Roman" w:hAnsi="Times New Roman"/>
          <w:sz w:val="20"/>
        </w:rPr>
        <w:t xml:space="preserve">As of March 31, 2023, Polestar had cash and cash equivalents of $884,271 as compared to $973,877 as of December 31, 2022. Cash and cash equivalents consist of cash in banks with an original term of three months or less. Polestar did not have any restricted cash as of March 31, 2023 and December 31, 2022. The following table summarizes Polestars Unaudited Condensed Consolidated Statement of Cash Flows for the three months ended March 31, 2023 and 2022: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004"/>
        <w:gridCol w:w="197"/>
        <w:gridCol w:w="60"/>
        <w:gridCol w:w="906"/>
        <w:gridCol w:w="156"/>
        <w:gridCol w:w="135"/>
        <w:gridCol w:w="60"/>
        <w:gridCol w:w="906"/>
        <w:gridCol w:w="156"/>
        <w:gridCol w:w="135"/>
        <w:gridCol w:w="60"/>
        <w:gridCol w:w="915"/>
        <w:gridCol w:w="162"/>
      </w:tblGrid>
      <w:tr>
        <w:trPr/>
        <w:tc>
          <w:tcPr>
            <w:tcW w:w="500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0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222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Variance</w:t>
            </w:r>
          </w:p>
        </w:tc>
        <w:tc>
          <w:tcPr>
            <w:tcW w:w="162" w:type="dxa"/>
            <w:tcBorders/>
            <w:shd w:fill="auto" w:val="clear"/>
            <w:vAlign w:val="bottom"/>
          </w:tcPr>
          <w:p>
            <w:pPr>
              <w:pStyle w:val="TableContents"/>
              <w:spacing w:before="0" w:after="283"/>
              <w:rPr/>
            </w:pPr>
            <w:r>
              <w:rPr/>
              <w:t> </w:t>
            </w:r>
          </w:p>
        </w:tc>
      </w:tr>
      <w:tr>
        <w:trPr/>
        <w:tc>
          <w:tcPr>
            <w:tcW w:w="500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2" w:type="dxa"/>
            <w:tcBorders/>
            <w:shd w:fill="auto" w:val="clear"/>
            <w:vAlign w:val="bottom"/>
          </w:tcPr>
          <w:p>
            <w:pPr>
              <w:pStyle w:val="TableContents"/>
              <w:spacing w:before="0" w:after="283"/>
              <w:rPr/>
            </w:pPr>
            <w:r>
              <w:rPr/>
              <w:t> </w:t>
            </w:r>
          </w:p>
        </w:tc>
      </w:tr>
      <w:tr>
        <w:trPr/>
        <w:tc>
          <w:tcPr>
            <w:tcW w:w="5004" w:type="dxa"/>
            <w:tcBorders/>
            <w:shd w:fill="CCEEFF" w:val="clear"/>
          </w:tcPr>
          <w:p>
            <w:pPr>
              <w:pStyle w:val="TableContents"/>
              <w:spacing w:before="0" w:after="0"/>
              <w:rPr>
                <w:rFonts w:ascii="Times New Roman" w:hAnsi="Times New Roman"/>
                <w:sz w:val="20"/>
              </w:rPr>
            </w:pPr>
            <w:r>
              <w:rPr>
                <w:rFonts w:ascii="Times New Roman" w:hAnsi="Times New Roman"/>
                <w:sz w:val="20"/>
              </w:rPr>
              <w:t>Cash (used for)/provided by operating activities</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(283,387</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40,452</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(323,839</w:t>
            </w:r>
          </w:p>
        </w:tc>
        <w:tc>
          <w:tcPr>
            <w:tcW w:w="162" w:type="dxa"/>
            <w:tcBorders/>
            <w:shd w:fill="CCEEFF" w:val="clear"/>
            <w:vAlign w:val="bottom"/>
          </w:tcPr>
          <w:p>
            <w:pPr>
              <w:pStyle w:val="TableContents"/>
              <w:spacing w:before="0" w:after="283"/>
              <w:rPr/>
            </w:pPr>
            <w:r>
              <w:rPr/>
              <w:t>) </w:t>
            </w:r>
          </w:p>
        </w:tc>
      </w:tr>
      <w:tr>
        <w:trPr/>
        <w:tc>
          <w:tcPr>
            <w:tcW w:w="5004" w:type="dxa"/>
            <w:tcBorders/>
            <w:shd w:fill="auto" w:val="clear"/>
          </w:tcPr>
          <w:p>
            <w:pPr>
              <w:pStyle w:val="TableContents"/>
              <w:spacing w:before="0" w:after="0"/>
              <w:rPr>
                <w:rFonts w:ascii="Times New Roman" w:hAnsi="Times New Roman"/>
                <w:sz w:val="20"/>
              </w:rPr>
            </w:pPr>
            <w:r>
              <w:rPr>
                <w:rFonts w:ascii="Times New Roman" w:hAnsi="Times New Roman"/>
                <w:sz w:val="20"/>
              </w:rPr>
              <w:t>Cash used for investing activities</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(131,035</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(296,868</w:t>
            </w:r>
          </w:p>
        </w:tc>
        <w:tc>
          <w:tcPr>
            <w:tcW w:w="15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165,833</w:t>
            </w:r>
          </w:p>
        </w:tc>
        <w:tc>
          <w:tcPr>
            <w:tcW w:w="162" w:type="dxa"/>
            <w:tcBorders/>
            <w:shd w:fill="auto" w:val="clear"/>
            <w:vAlign w:val="bottom"/>
          </w:tcPr>
          <w:p>
            <w:pPr>
              <w:pStyle w:val="TableContents"/>
              <w:spacing w:before="0" w:after="283"/>
              <w:rPr/>
            </w:pPr>
            <w:r>
              <w:rPr/>
              <w:t> </w:t>
            </w:r>
          </w:p>
        </w:tc>
      </w:tr>
      <w:tr>
        <w:trPr/>
        <w:tc>
          <w:tcPr>
            <w:tcW w:w="5004" w:type="dxa"/>
            <w:tcBorders/>
            <w:shd w:fill="CCEEFF" w:val="clear"/>
          </w:tcPr>
          <w:p>
            <w:pPr>
              <w:pStyle w:val="TableContents"/>
              <w:spacing w:before="0" w:after="0"/>
              <w:rPr>
                <w:rFonts w:ascii="Times New Roman" w:hAnsi="Times New Roman"/>
                <w:sz w:val="20"/>
              </w:rPr>
            </w:pPr>
            <w:r>
              <w:rPr>
                <w:rFonts w:ascii="Times New Roman" w:hAnsi="Times New Roman"/>
                <w:sz w:val="20"/>
              </w:rPr>
              <w:t>Cash provided by financing activities</w:t>
            </w:r>
          </w:p>
        </w:tc>
        <w:tc>
          <w:tcPr>
            <w:tcW w:w="19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322,584</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95,886</w:t>
            </w:r>
          </w:p>
        </w:tc>
        <w:tc>
          <w:tcPr>
            <w:tcW w:w="156"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226,698</w:t>
            </w:r>
          </w:p>
        </w:tc>
        <w:tc>
          <w:tcPr>
            <w:tcW w:w="162"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Cash (used for)/provided by operating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operating activities increased by $323,839, from a cash inflow of $40,452 for the three months ended March 31, 2022 to a cash outflow of $283,387 for the three months ended March 31, 2023. The change is primarily attributable to negative changes in working capital during the three months ended March 31, 2023. Cash used for inventories increased by $158,223, from $11,529 for the three months ended March 31, 2022 to $169,752 for the three months ended March 31, 2023. This change is primarily due to the build-up in model year 2023 Polestar 2 inventory following a general ramp up in business and a readiness to deliver on orders throughout 2023. </w:t>
      </w:r>
    </w:p>
    <w:p>
      <w:pPr>
        <w:pStyle w:val="TextBody"/>
        <w:spacing w:before="240" w:after="0"/>
        <w:jc w:val="left"/>
        <w:rPr>
          <w:rFonts w:ascii="Times New Roman" w:hAnsi="Times New Roman"/>
          <w:sz w:val="20"/>
        </w:rPr>
      </w:pPr>
      <w:r>
        <w:rPr>
          <w:rFonts w:ascii="Times New Roman" w:hAnsi="Times New Roman"/>
          <w:sz w:val="20"/>
        </w:rPr>
        <w:t xml:space="preserve">Cash provided by changes in trade receivables, prepaid expenses, and other assets increased by $89,435 from $43,684 for the three months ended March 31, 2022 to $133,119 for the three months ended March 31, 2023. This change is primarily due a $101,029 decrease in accounts receivable reflecting higher collections of receivables in the three months ended March 31, 2023 as compared to the three months ended March 31, 2022. </w:t>
      </w:r>
    </w:p>
    <w:p>
      <w:pPr>
        <w:pStyle w:val="TextBody"/>
        <w:spacing w:before="240" w:after="0"/>
        <w:jc w:val="left"/>
        <w:rPr>
          <w:rFonts w:ascii="Times New Roman" w:hAnsi="Times New Roman"/>
          <w:sz w:val="20"/>
        </w:rPr>
      </w:pPr>
      <w:r>
        <w:rPr>
          <w:rFonts w:ascii="Times New Roman" w:hAnsi="Times New Roman"/>
          <w:sz w:val="20"/>
        </w:rPr>
        <w:t xml:space="preserve">Cash used for trade payables, accrued expenses, and other liabilities increased by $314,010 from an inflow of $206,687 for the three months ended March 31, 2022 to an outflow of $107,323 for the three months ended March 31, 2023. This change is primarily due to payments of $89,905 on trade payables and other current liabilities to Volvo Cars and Geely and $14,727 for warranty costs and other provisions during three months ended March 31, 2023. During the three months ended March 31, 2022, Polestar made less repayments to Volvo Cars and Geely while continuing to invest in intellectual property and purchase vehicles on trade payables. </w:t>
      </w:r>
    </w:p>
    <w:p>
      <w:pPr>
        <w:pStyle w:val="TextBody"/>
        <w:spacing w:before="360" w:after="0"/>
        <w:jc w:val="left"/>
        <w:rPr>
          <w:rFonts w:ascii="Times New Roman" w:hAnsi="Times New Roman"/>
          <w:b/>
          <w:sz w:val="20"/>
        </w:rPr>
      </w:pPr>
      <w:r>
        <w:rPr>
          <w:rFonts w:ascii="Times New Roman" w:hAnsi="Times New Roman"/>
          <w:b/>
          <w:sz w:val="20"/>
        </w:rPr>
        <w:t xml:space="preserve">Cash used for investing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investing activities decreased by $165,833 from $296,868 for the three months ended March 31, 2022 to $131,035 for the three months ended March 31, 2023. The change is primarily related to a decrease in cash used for intangible assets of $179,851 from $292,881 for the three months ended March 31, 2022 to $113,030 for the three months ended March 31, 2023 due to Polestar settling larger amounts of trade payables with Volvo Cars and Geely for intellectual property related to the Polestar 2, Polestar 3 and Polestar 4. Polestar also made $18,327 more in cash payments for property, plant, and equipment during the three months ended March 31, 2023 as compared to the three months ended March 31, 2022. </w:t>
      </w:r>
    </w:p>
    <w:p>
      <w:pPr>
        <w:pStyle w:val="TextBody"/>
        <w:spacing w:before="360" w:after="0"/>
        <w:jc w:val="left"/>
        <w:rPr>
          <w:rFonts w:ascii="Times New Roman" w:hAnsi="Times New Roman"/>
          <w:b/>
          <w:sz w:val="20"/>
        </w:rPr>
      </w:pPr>
      <w:r>
        <w:rPr>
          <w:rFonts w:ascii="Times New Roman" w:hAnsi="Times New Roman"/>
          <w:b/>
          <w:sz w:val="20"/>
        </w:rPr>
        <w:t xml:space="preserve">Cash provided by financing activities </w:t>
      </w:r>
    </w:p>
    <w:p>
      <w:pPr>
        <w:pStyle w:val="TextBody"/>
        <w:spacing w:before="120" w:after="0"/>
        <w:jc w:val="left"/>
        <w:rPr>
          <w:rFonts w:ascii="Times New Roman" w:hAnsi="Times New Roman"/>
          <w:sz w:val="20"/>
        </w:rPr>
      </w:pPr>
      <w:r>
        <w:rPr>
          <w:rFonts w:ascii="Times New Roman" w:hAnsi="Times New Roman"/>
          <w:sz w:val="20"/>
        </w:rPr>
        <w:t xml:space="preserve">Cash provided by financing activities increased by $226,698, from $95,886 for the three months ended March 31, 2022 to $322,584 for the three months ended March 31, 2023. The change was primarily the result of increased liquidity provided by draw-downs on Polestars Term Facility Agreement with Volvo Cars and short-term working capital facilities with Chinese and European banking partners during the three months ended March 31, 2023. Polestars borrowings provided $637,177 in gross cash proceeds during the period, of which $300,000 was sourced from draw downs on Polestars Term Facility Agreement with Volvo Cars, $137,481 was sourced from short-term working capital facilities with Chinese banking partners, $157,196 was sourced from a green trade revolving credit facility with a syndicate of European banks, and $42,500 was sourced from multiple low-value floorplan and sale-leaseback facilities, including a small credit facility with Volvo Cars. These gross cash proceeds were partially offset by principal repayments of $310,667 during the period, of which $283,159 was used to settle amounts due on the green trade revolving credit facility, and $27,508 was used to settle amounts due on the low-value floorplan and sale-leaseback facilities, including the small credit facility with Volvo Cars. </w:t>
      </w:r>
    </w:p>
    <w:p>
      <w:pPr>
        <w:pStyle w:val="TextBody"/>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March 31, 2023: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931"/>
        <w:gridCol w:w="233"/>
        <w:gridCol w:w="60"/>
        <w:gridCol w:w="980"/>
        <w:gridCol w:w="60"/>
        <w:gridCol w:w="233"/>
        <w:gridCol w:w="60"/>
        <w:gridCol w:w="980"/>
        <w:gridCol w:w="60"/>
        <w:gridCol w:w="233"/>
        <w:gridCol w:w="87"/>
        <w:gridCol w:w="1165"/>
        <w:gridCol w:w="60"/>
        <w:gridCol w:w="233"/>
        <w:gridCol w:w="101"/>
        <w:gridCol w:w="1155"/>
        <w:gridCol w:w="64"/>
      </w:tblGrid>
      <w:tr>
        <w:trPr/>
        <w:tc>
          <w:tcPr>
            <w:tcW w:w="393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5467" w:type="dxa"/>
            <w:gridSpan w:val="14"/>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Payments due by period</w:t>
            </w:r>
          </w:p>
          <w:p>
            <w:pPr>
              <w:pStyle w:val="TableContents"/>
              <w:spacing w:before="0" w:after="20"/>
              <w:jc w:val="center"/>
              <w:rPr>
                <w:rFonts w:ascii="Times New Roman" w:hAnsi="Times New Roman"/>
                <w:b/>
                <w:sz w:val="16"/>
              </w:rPr>
            </w:pPr>
            <w:r>
              <w:rPr>
                <w:rFonts w:ascii="Times New Roman" w:hAnsi="Times New Roman"/>
                <w:b/>
                <w:sz w:val="16"/>
              </w:rPr>
              <w:t>Less than</w:t>
            </w:r>
          </w:p>
        </w:tc>
        <w:tc>
          <w:tcPr>
            <w:tcW w:w="64"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b/>
              </w:rPr>
            </w:pPr>
            <w:r>
              <w:rPr>
                <w:b/>
              </w:rPr>
              <w:t>Contractual obligations and commitments</w:t>
            </w:r>
          </w:p>
        </w:tc>
        <w:tc>
          <w:tcPr>
            <w:tcW w:w="233"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jc w:val="center"/>
              <w:rPr>
                <w:b/>
              </w:rPr>
            </w:pPr>
            <w:r>
              <w:rPr>
                <w:b/>
              </w:rPr>
              <w:t>1 year</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spacing w:before="0" w:after="283"/>
              <w:jc w:val="center"/>
              <w:rPr>
                <w:b/>
              </w:rPr>
            </w:pPr>
            <w:r>
              <w:rPr>
                <w:b/>
              </w:rPr>
              <w:t>After 1 year</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6" w:type="dxa"/>
            <w:gridSpan w:val="2"/>
            <w:tcBorders/>
            <w:shd w:fill="auto" w:val="clear"/>
            <w:vAlign w:val="bottom"/>
          </w:tcPr>
          <w:p>
            <w:pPr>
              <w:pStyle w:val="TableContents"/>
              <w:spacing w:before="0" w:after="283"/>
              <w:jc w:val="center"/>
              <w:rPr>
                <w:b/>
              </w:rPr>
            </w:pPr>
            <w:r>
              <w:rPr>
                <w:b/>
              </w:rPr>
              <w:t>After 5 year</w:t>
            </w:r>
          </w:p>
        </w:tc>
        <w:tc>
          <w:tcPr>
            <w:tcW w:w="64" w:type="dxa"/>
            <w:tcBorders/>
            <w:shd w:fill="auto" w:val="clear"/>
            <w:vAlign w:val="bottom"/>
          </w:tcPr>
          <w:p>
            <w:pPr>
              <w:pStyle w:val="TableContents"/>
              <w:spacing w:before="0" w:after="283"/>
              <w:rPr/>
            </w:pPr>
            <w:r>
              <w:rPr/>
              <w:t> </w:t>
            </w:r>
          </w:p>
        </w:tc>
      </w:tr>
      <w:tr>
        <w:trPr/>
        <w:tc>
          <w:tcPr>
            <w:tcW w:w="3931" w:type="dxa"/>
            <w:tcBorders/>
            <w:shd w:fill="CCEEFF" w:val="clear"/>
          </w:tcPr>
          <w:p>
            <w:pPr>
              <w:pStyle w:val="TableContents"/>
              <w:spacing w:before="0" w:after="0"/>
              <w:rPr>
                <w:rFonts w:ascii="Times New Roman" w:hAnsi="Times New Roman"/>
                <w:sz w:val="20"/>
              </w:rPr>
            </w:pPr>
            <w:r>
              <w:rPr>
                <w:rFonts w:ascii="Times New Roman" w:hAnsi="Times New Roman"/>
                <w:sz w:val="20"/>
              </w:rPr>
              <w:t>Capital commitments</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433,219</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356,598</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76,621</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931" w:type="dxa"/>
            <w:tcBorders/>
            <w:shd w:fill="auto" w:val="clear"/>
          </w:tcPr>
          <w:p>
            <w:pPr>
              <w:pStyle w:val="TableContents"/>
              <w:spacing w:before="0" w:after="0"/>
              <w:rPr>
                <w:rFonts w:ascii="Times New Roman" w:hAnsi="Times New Roman"/>
                <w:sz w:val="20"/>
              </w:rPr>
            </w:pPr>
            <w:r>
              <w:rPr>
                <w:rFonts w:ascii="Times New Roman" w:hAnsi="Times New Roman"/>
                <w:sz w:val="20"/>
              </w:rPr>
              <w:t>Credit facilities, including sale-leasebacks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1,669,523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1,369,523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300,000</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3931" w:type="dxa"/>
            <w:tcBorders/>
            <w:shd w:fill="CCEEFF" w:val="clear"/>
          </w:tcPr>
          <w:p>
            <w:pPr>
              <w:pStyle w:val="TableContents"/>
              <w:spacing w:before="0" w:after="0"/>
              <w:rPr>
                <w:rFonts w:ascii="Times New Roman" w:hAnsi="Times New Roman"/>
                <w:sz w:val="20"/>
              </w:rPr>
            </w:pPr>
            <w:r>
              <w:rPr>
                <w:rFonts w:ascii="Times New Roman" w:hAnsi="Times New Roman"/>
                <w:sz w:val="20"/>
              </w:rPr>
              <w:t>Lease obligations</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115,114</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27,252</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73,486</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14,376</w:t>
            </w:r>
          </w:p>
        </w:tc>
        <w:tc>
          <w:tcPr>
            <w:tcW w:w="64" w:type="dxa"/>
            <w:tcBorders/>
            <w:shd w:fill="CCEEFF"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pBdr>
                <w:top w:val="single" w:sz="2" w:space="1" w:color="000000"/>
              </w:pBdr>
              <w:spacing w:before="0" w:after="0"/>
              <w:rPr/>
            </w:pPr>
            <w:r>
              <w:rPr/>
              <w:t> </w:t>
            </w:r>
          </w:p>
        </w:tc>
        <w:tc>
          <w:tcPr>
            <w:tcW w:w="116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single" w:sz="2" w:space="1" w:color="000000"/>
              </w:pBdr>
              <w:spacing w:before="0" w:after="0"/>
              <w:rPr/>
            </w:pPr>
            <w:r>
              <w:rPr/>
              <w:t> </w:t>
            </w:r>
          </w:p>
        </w:tc>
        <w:tc>
          <w:tcPr>
            <w:tcW w:w="1155"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93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2,217,856</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1,753,373</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b/>
              </w:rPr>
            </w:pPr>
            <w:r>
              <w:rPr>
                <w:b/>
              </w:rPr>
              <w:t>450,107</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b/>
              </w:rPr>
            </w:pPr>
            <w:r>
              <w:rPr>
                <w:b/>
              </w:rPr>
              <w:t>14,376</w:t>
            </w:r>
          </w:p>
        </w:tc>
        <w:tc>
          <w:tcPr>
            <w:tcW w:w="64" w:type="dxa"/>
            <w:tcBorders/>
            <w:shd w:fill="auto" w:val="clear"/>
            <w:vAlign w:val="bottom"/>
          </w:tcPr>
          <w:p>
            <w:pPr>
              <w:pStyle w:val="TableContents"/>
              <w:spacing w:before="0" w:after="283"/>
              <w:rPr/>
            </w:pPr>
            <w:r>
              <w:rPr/>
              <w:t> </w:t>
            </w:r>
          </w:p>
        </w:tc>
      </w:tr>
      <w:tr>
        <w:trPr/>
        <w:tc>
          <w:tcPr>
            <w:tcW w:w="3931"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pBdr>
                <w:top w:val="single" w:sz="2" w:space="1" w:color="000000"/>
              </w:pBdr>
              <w:spacing w:before="0" w:after="0"/>
              <w:rPr/>
            </w:pPr>
            <w:r>
              <w:rPr/>
              <w:t> </w:t>
            </w:r>
          </w:p>
        </w:tc>
        <w:tc>
          <w:tcPr>
            <w:tcW w:w="116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single" w:sz="2" w:space="1" w:color="000000"/>
              </w:pBdr>
              <w:spacing w:before="0" w:after="0"/>
              <w:rPr/>
            </w:pPr>
            <w:r>
              <w:rPr/>
              <w:t> </w:t>
            </w:r>
          </w:p>
        </w:tc>
        <w:tc>
          <w:tcPr>
            <w:tcW w:w="1155"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spacing w:before="120" w:after="0"/>
        <w:jc w:val="left"/>
        <w:rPr>
          <w:rFonts w:ascii="Times New Roman" w:hAnsi="Times New Roman"/>
          <w:sz w:val="20"/>
        </w:rPr>
      </w:pPr>
      <w:r>
        <w:rPr>
          <w:rFonts w:ascii="Times New Roman" w:hAnsi="Times New Roman"/>
          <w:sz w:val="20"/>
        </w:rPr>
        <w:t xml:space="preserve">Polestar did not have any new accounting estimates applied during the three months ended March 31, 2023 that are critical to the portrayal of our financial condition and results of operations and that require significant, difficult, subjective, or complex judgements. See Form 20-F filed with the SEC on April 14, 2023, for critical accounting estimates for the year ended,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 Non-GAAP Financial Measures </w:t>
      </w:r>
    </w:p>
    <w:p>
      <w:pPr>
        <w:pStyle w:val="TextBody"/>
        <w:spacing w:before="120" w:after="0"/>
        <w:jc w:val="left"/>
        <w:rPr>
          <w:rFonts w:ascii="Times New Roman" w:hAnsi="Times New Roman"/>
          <w:sz w:val="20"/>
        </w:rPr>
      </w:pPr>
      <w:r>
        <w:rPr>
          <w:rFonts w:ascii="Times New Roman" w:hAnsi="Times New Roman"/>
          <w:sz w:val="20"/>
        </w:rPr>
        <w:t>Polestar uses both generally accepted accounting principles (</w:t>
      </w:r>
      <w:r>
        <w:rPr>
          <w:rFonts w:ascii="Times New Roman" w:hAnsi="Times New Roman"/>
          <w:i/>
          <w:sz w:val="20"/>
        </w:rPr>
        <w:t>GAAP</w:t>
      </w:r>
      <w:r>
        <w:rPr>
          <w:rFonts w:ascii="Times New Roman" w:hAnsi="Times New Roman"/>
          <w:sz w:val="20"/>
        </w:rPr>
        <w:t xml:space="preserve">,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 </w:t>
      </w:r>
    </w:p>
    <w:p>
      <w:pPr>
        <w:pStyle w:val="TextBody"/>
        <w:spacing w:before="240" w:after="0"/>
        <w:jc w:val="left"/>
        <w:rPr>
          <w:rFonts w:ascii="Times New Roman" w:hAnsi="Times New Roman"/>
          <w:sz w:val="20"/>
        </w:rPr>
      </w:pPr>
      <w:r>
        <w:rPr>
          <w:rFonts w:ascii="Times New Roman" w:hAnsi="Times New Roman"/>
          <w:sz w:val="20"/>
        </w:rPr>
        <w:t xml:space="preserve">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w:t>
      </w:r>
    </w:p>
    <w:p>
      <w:pPr>
        <w:pStyle w:val="TextBody"/>
        <w:spacing w:before="240" w:after="0"/>
        <w:jc w:val="left"/>
        <w:rPr>
          <w:rFonts w:ascii="Times New Roman" w:hAnsi="Times New Roman"/>
          <w:sz w:val="20"/>
        </w:rPr>
      </w:pPr>
      <w:r>
        <w:rPr>
          <w:rFonts w:ascii="Times New Roman" w:hAnsi="Times New Roman"/>
          <w:sz w:val="20"/>
        </w:rPr>
        <w:t xml:space="preserve">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 </w:t>
      </w:r>
    </w:p>
    <w:p>
      <w:pPr>
        <w:pStyle w:val="TextBody"/>
        <w:spacing w:before="240" w:after="0"/>
        <w:jc w:val="left"/>
        <w:rPr>
          <w:rFonts w:ascii="Times New Roman" w:hAnsi="Times New Roman"/>
          <w:sz w:val="20"/>
        </w:rPr>
      </w:pPr>
      <w:r>
        <w:rPr>
          <w:rFonts w:ascii="Times New Roman" w:hAnsi="Times New Roman"/>
          <w:sz w:val="20"/>
        </w:rPr>
        <w:t xml:space="preserve">Non-GAAP financial measures include adjusted operating loss, adjusted EBITDA, adjusted net loss, and free cash flow. </w:t>
      </w:r>
    </w:p>
    <w:p>
      <w:pPr>
        <w:pStyle w:val="TextBody"/>
        <w:spacing w:before="36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120" w:after="0"/>
        <w:jc w:val="left"/>
        <w:rPr>
          <w:rFonts w:ascii="Times New Roman" w:hAnsi="Times New Roman"/>
          <w:sz w:val="20"/>
        </w:rPr>
      </w:pPr>
      <w:r>
        <w:rPr>
          <w:rFonts w:ascii="Times New Roman" w:hAnsi="Times New Roman"/>
          <w:sz w:val="20"/>
        </w:rPr>
        <w:t xml:space="preserve">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 The listing expense relating to the merger with GGI was incurred on June 23, 2022 and does not impact the periods presented in this report. </w:t>
      </w:r>
    </w:p>
    <w:p>
      <w:pPr>
        <w:pStyle w:val="TextBody"/>
        <w:spacing w:before="360" w:after="0"/>
        <w:jc w:val="left"/>
        <w:rPr>
          <w:rFonts w:ascii="Times New Roman" w:hAnsi="Times New Roman"/>
          <w:i/>
          <w:sz w:val="20"/>
        </w:rPr>
      </w:pPr>
      <w:r>
        <w:rPr>
          <w:rFonts w:ascii="Times New Roman" w:hAnsi="Times New Roman"/>
          <w:i/>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Adjusted EBITDA is calculated as Net loss, adjusted for listing expense, fair value change of earn-out rights, fair value change of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 </w:t>
      </w:r>
    </w:p>
    <w:p>
      <w:pPr>
        <w:pStyle w:val="TextBody"/>
        <w:spacing w:before="360" w:after="0"/>
        <w:jc w:val="left"/>
        <w:rPr>
          <w:rFonts w:ascii="Times New Roman" w:hAnsi="Times New Roman"/>
          <w:i/>
          <w:sz w:val="20"/>
        </w:rPr>
      </w:pPr>
      <w:r>
        <w:rPr>
          <w:rFonts w:ascii="Times New Roman" w:hAnsi="Times New Roman"/>
          <w:i/>
          <w:sz w:val="20"/>
        </w:rPr>
        <w:t xml:space="preserve">Adjusted Net Loss </w:t>
      </w:r>
    </w:p>
    <w:p>
      <w:pPr>
        <w:pStyle w:val="TextBody"/>
        <w:spacing w:before="120" w:after="0"/>
        <w:jc w:val="left"/>
        <w:rPr>
          <w:rFonts w:ascii="Times New Roman" w:hAnsi="Times New Roman"/>
          <w:sz w:val="20"/>
        </w:rPr>
      </w:pPr>
      <w:r>
        <w:rPr>
          <w:rFonts w:ascii="Times New Roman" w:hAnsi="Times New Roman"/>
          <w:sz w:val="20"/>
        </w:rPr>
        <w:t xml:space="preserve">Adjusted net loss is calculated as Net loss, adjusted to exclude listing expense, fair value change of earn-out rights, and fair value change of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 The listing expense relating to the merger with GGI was incurred on June 23, 2022 and does not impact the periods presented in this report. </w:t>
      </w:r>
    </w:p>
    <w:p>
      <w:pPr>
        <w:pStyle w:val="TextBody"/>
        <w:spacing w:before="360" w:after="0"/>
        <w:jc w:val="left"/>
        <w:rPr>
          <w:rFonts w:ascii="Times New Roman" w:hAnsi="Times New Roman"/>
          <w:i/>
          <w:sz w:val="20"/>
        </w:rPr>
      </w:pPr>
      <w:r>
        <w:rPr>
          <w:rFonts w:ascii="Times New Roman" w:hAnsi="Times New Roman"/>
          <w:i/>
          <w:sz w:val="20"/>
        </w:rPr>
        <w:t xml:space="preserve">Free Cash Flow </w:t>
      </w:r>
    </w:p>
    <w:p>
      <w:pPr>
        <w:pStyle w:val="TextBody"/>
        <w:spacing w:before="120" w:after="0"/>
        <w:jc w:val="left"/>
        <w:rPr>
          <w:rFonts w:ascii="Times New Roman" w:hAnsi="Times New Roman"/>
          <w:sz w:val="20"/>
        </w:rPr>
      </w:pPr>
      <w:r>
        <w:rPr>
          <w:rFonts w:ascii="Times New Roman" w:hAnsi="Times New Roman"/>
          <w:sz w:val="20"/>
        </w:rPr>
        <w:t xml:space="preserve">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 </w:t>
      </w:r>
    </w:p>
    <w:p>
      <w:pPr>
        <w:pStyle w:val="TextBody"/>
        <w:spacing w:before="36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spacing w:before="12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32"/>
        <w:gridCol w:w="194"/>
        <w:gridCol w:w="60"/>
        <w:gridCol w:w="958"/>
        <w:gridCol w:w="155"/>
        <w:gridCol w:w="133"/>
        <w:gridCol w:w="60"/>
        <w:gridCol w:w="958"/>
        <w:gridCol w:w="159"/>
      </w:tblGrid>
      <w:tr>
        <w:trPr/>
        <w:tc>
          <w:tcPr>
            <w:tcW w:w="53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33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2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9" w:type="dxa"/>
            <w:tcBorders/>
            <w:shd w:fill="auto" w:val="clear"/>
            <w:vAlign w:val="bottom"/>
          </w:tcPr>
          <w:p>
            <w:pPr>
              <w:pStyle w:val="TableContents"/>
              <w:spacing w:before="0" w:after="283"/>
              <w:rPr/>
            </w:pPr>
            <w:r>
              <w:rPr/>
              <w:t> </w:t>
            </w:r>
          </w:p>
        </w:tc>
      </w:tr>
      <w:tr>
        <w:trPr/>
        <w:tc>
          <w:tcPr>
            <w:tcW w:w="533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533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loss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(199,400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(257,913</w:t>
            </w:r>
          </w:p>
        </w:tc>
        <w:tc>
          <w:tcPr>
            <w:tcW w:w="159" w:type="dxa"/>
            <w:tcBorders/>
            <w:shd w:fill="CCEEFF" w:val="clear"/>
            <w:vAlign w:val="bottom"/>
          </w:tcPr>
          <w:p>
            <w:pPr>
              <w:pStyle w:val="TableContents"/>
              <w:spacing w:before="0" w:after="283"/>
              <w:rPr/>
            </w:pPr>
            <w:r>
              <w:rPr/>
              <w:t>) </w:t>
            </w:r>
          </w:p>
        </w:tc>
      </w:tr>
      <w:tr>
        <w:trPr/>
        <w:tc>
          <w:tcPr>
            <w:tcW w:w="5332"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533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5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33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operating loss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b/>
              </w:rPr>
            </w:pPr>
            <w:r>
              <w:rPr>
                <w:b/>
              </w:rPr>
              <w:t>(199,400</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b/>
              </w:rPr>
            </w:pPr>
            <w:r>
              <w:rPr>
                <w:b/>
              </w:rPr>
              <w:t>(257,913</w:t>
            </w:r>
          </w:p>
        </w:tc>
        <w:tc>
          <w:tcPr>
            <w:tcW w:w="159" w:type="dxa"/>
            <w:tcBorders/>
            <w:shd w:fill="CCEEFF" w:val="clear"/>
            <w:vAlign w:val="bottom"/>
          </w:tcPr>
          <w:p>
            <w:pPr>
              <w:pStyle w:val="TableContents"/>
              <w:spacing w:before="0" w:after="283"/>
              <w:rPr>
                <w:b/>
              </w:rPr>
            </w:pPr>
            <w:r>
              <w:rPr>
                <w:b/>
              </w:rPr>
              <w:t>) </w:t>
            </w:r>
          </w:p>
        </w:tc>
      </w:tr>
      <w:tr>
        <w:trPr/>
        <w:tc>
          <w:tcPr>
            <w:tcW w:w="533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5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5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Adjusted EBITDA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24"/>
        <w:gridCol w:w="193"/>
        <w:gridCol w:w="60"/>
        <w:gridCol w:w="962"/>
        <w:gridCol w:w="156"/>
        <w:gridCol w:w="134"/>
        <w:gridCol w:w="60"/>
        <w:gridCol w:w="962"/>
        <w:gridCol w:w="158"/>
      </w:tblGrid>
      <w:tr>
        <w:trPr/>
        <w:tc>
          <w:tcPr>
            <w:tcW w:w="532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2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233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8" w:type="dxa"/>
            <w:tcBorders/>
            <w:shd w:fill="auto" w:val="clear"/>
            <w:vAlign w:val="bottom"/>
          </w:tcPr>
          <w:p>
            <w:pPr>
              <w:pStyle w:val="TableContents"/>
              <w:spacing w:before="0" w:after="283"/>
              <w:rPr/>
            </w:pPr>
            <w:r>
              <w:rPr/>
              <w:t> </w:t>
            </w:r>
          </w:p>
        </w:tc>
      </w:tr>
      <w:tr>
        <w:trPr/>
        <w:tc>
          <w:tcPr>
            <w:tcW w:w="532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(8,977</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(274,490</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(206,195</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(7,250</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(5,453</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(340</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expenses</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29,155</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17,932</w:t>
            </w:r>
          </w:p>
        </w:tc>
        <w:tc>
          <w:tcPr>
            <w:tcW w:w="158" w:type="dxa"/>
            <w:tcBorders/>
            <w:shd w:fill="auto" w:val="clear"/>
            <w:vAlign w:val="bottom"/>
          </w:tcPr>
          <w:p>
            <w:pPr>
              <w:pStyle w:val="TableContents"/>
              <w:spacing w:before="0" w:after="283"/>
              <w:rPr/>
            </w:pPr>
            <w:r>
              <w:rPr/>
              <w:t> </w:t>
            </w:r>
          </w:p>
        </w:tc>
      </w:tr>
      <w:tr>
        <w:trPr/>
        <w:tc>
          <w:tcPr>
            <w:tcW w:w="5324"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2,394</w:t>
            </w:r>
          </w:p>
        </w:tc>
        <w:tc>
          <w:tcPr>
            <w:tcW w:w="156"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4,398</w:t>
            </w:r>
          </w:p>
        </w:tc>
        <w:tc>
          <w:tcPr>
            <w:tcW w:w="158" w:type="dxa"/>
            <w:tcBorders/>
            <w:shd w:fill="CCEEFF" w:val="clear"/>
            <w:vAlign w:val="bottom"/>
          </w:tcPr>
          <w:p>
            <w:pPr>
              <w:pStyle w:val="TableContents"/>
              <w:spacing w:before="0" w:after="283"/>
              <w:rPr/>
            </w:pPr>
            <w:r>
              <w:rPr/>
              <w:t> </w:t>
            </w:r>
          </w:p>
        </w:tc>
      </w:tr>
      <w:tr>
        <w:trPr/>
        <w:tc>
          <w:tcPr>
            <w:tcW w:w="5324"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31,995</w:t>
            </w:r>
          </w:p>
        </w:tc>
        <w:tc>
          <w:tcPr>
            <w:tcW w:w="156"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36,953</w:t>
            </w:r>
          </w:p>
        </w:tc>
        <w:tc>
          <w:tcPr>
            <w:tcW w:w="158" w:type="dxa"/>
            <w:tcBorders/>
            <w:shd w:fill="auto" w:val="clear"/>
            <w:vAlign w:val="bottom"/>
          </w:tcPr>
          <w:p>
            <w:pPr>
              <w:pStyle w:val="TableContents"/>
              <w:spacing w:before="0" w:after="283"/>
              <w:rPr/>
            </w:pPr>
            <w:r>
              <w:rPr/>
              <w:t> </w:t>
            </w:r>
          </w:p>
        </w:tc>
      </w:tr>
      <w:tr>
        <w:trPr/>
        <w:tc>
          <w:tcPr>
            <w:tcW w:w="5324"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2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EBITDA</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b/>
              </w:rPr>
            </w:pPr>
            <w:r>
              <w:rPr>
                <w:b/>
              </w:rPr>
              <w:t>(164,331</w:t>
            </w:r>
          </w:p>
        </w:tc>
        <w:tc>
          <w:tcPr>
            <w:tcW w:w="156" w:type="dxa"/>
            <w:tcBorders/>
            <w:shd w:fill="CCEEFF" w:val="clear"/>
            <w:vAlign w:val="bottom"/>
          </w:tcPr>
          <w:p>
            <w:pPr>
              <w:pStyle w:val="TableContents"/>
              <w:spacing w:before="0" w:after="283"/>
              <w:rPr>
                <w:b/>
              </w:rPr>
            </w:pPr>
            <w:r>
              <w:rPr>
                <w:b/>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b/>
              </w:rPr>
            </w:pPr>
            <w:r>
              <w:rPr>
                <w:b/>
              </w:rPr>
              <w:t>(215,547</w:t>
            </w:r>
          </w:p>
        </w:tc>
        <w:tc>
          <w:tcPr>
            <w:tcW w:w="158" w:type="dxa"/>
            <w:tcBorders/>
            <w:shd w:fill="CCEEFF" w:val="clear"/>
            <w:vAlign w:val="bottom"/>
          </w:tcPr>
          <w:p>
            <w:pPr>
              <w:pStyle w:val="TableContents"/>
              <w:spacing w:before="0" w:after="283"/>
              <w:rPr>
                <w:b/>
              </w:rPr>
            </w:pPr>
            <w:r>
              <w:rPr>
                <w:b/>
              </w:rPr>
              <w:t>) </w:t>
            </w:r>
          </w:p>
        </w:tc>
      </w:tr>
      <w:tr>
        <w:trPr/>
        <w:tc>
          <w:tcPr>
            <w:tcW w:w="5324"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Adjusted Net Loss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95"/>
        <w:gridCol w:w="196"/>
        <w:gridCol w:w="60"/>
        <w:gridCol w:w="972"/>
        <w:gridCol w:w="157"/>
        <w:gridCol w:w="135"/>
        <w:gridCol w:w="60"/>
        <w:gridCol w:w="972"/>
        <w:gridCol w:w="162"/>
      </w:tblGrid>
      <w:tr>
        <w:trPr/>
        <w:tc>
          <w:tcPr>
            <w:tcW w:w="52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29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35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62" w:type="dxa"/>
            <w:tcBorders/>
            <w:shd w:fill="auto" w:val="clear"/>
            <w:vAlign w:val="bottom"/>
          </w:tcPr>
          <w:p>
            <w:pPr>
              <w:pStyle w:val="TableContents"/>
              <w:spacing w:before="0" w:after="283"/>
              <w:rPr/>
            </w:pPr>
            <w:r>
              <w:rPr/>
              <w:t> </w:t>
            </w:r>
          </w:p>
        </w:tc>
      </w:tr>
      <w:tr>
        <w:trPr/>
        <w:tc>
          <w:tcPr>
            <w:tcW w:w="529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2" w:type="dxa"/>
            <w:tcBorders/>
            <w:shd w:fill="auto" w:val="clear"/>
            <w:vAlign w:val="bottom"/>
          </w:tcPr>
          <w:p>
            <w:pPr>
              <w:pStyle w:val="TableContents"/>
              <w:spacing w:before="0" w:after="283"/>
              <w:rPr/>
            </w:pPr>
            <w:r>
              <w:rPr/>
              <w:t> </w:t>
            </w:r>
          </w:p>
        </w:tc>
      </w:tr>
      <w:tr>
        <w:trPr/>
        <w:tc>
          <w:tcPr>
            <w:tcW w:w="5295"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(8,977</w:t>
            </w:r>
          </w:p>
        </w:tc>
        <w:tc>
          <w:tcPr>
            <w:tcW w:w="1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(274,490</w:t>
            </w:r>
          </w:p>
        </w:tc>
        <w:tc>
          <w:tcPr>
            <w:tcW w:w="162" w:type="dxa"/>
            <w:tcBorders/>
            <w:shd w:fill="CCEEFF" w:val="clear"/>
            <w:vAlign w:val="bottom"/>
          </w:tcPr>
          <w:p>
            <w:pPr>
              <w:pStyle w:val="TableContents"/>
              <w:spacing w:before="0" w:after="283"/>
              <w:rPr/>
            </w:pPr>
            <w:r>
              <w:rPr/>
              <w:t>) </w:t>
            </w:r>
          </w:p>
        </w:tc>
      </w:tr>
      <w:tr>
        <w:trPr/>
        <w:tc>
          <w:tcPr>
            <w:tcW w:w="5295"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5295"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(206,195</w:t>
            </w:r>
          </w:p>
        </w:tc>
        <w:tc>
          <w:tcPr>
            <w:tcW w:w="15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5295"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(7,250</w:t>
            </w:r>
          </w:p>
        </w:tc>
        <w:tc>
          <w:tcPr>
            <w:tcW w:w="15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5295"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29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net loss</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b/>
              </w:rPr>
            </w:pPr>
            <w:r>
              <w:rPr>
                <w:b/>
              </w:rPr>
              <w:t>(222,422</w:t>
            </w:r>
          </w:p>
        </w:tc>
        <w:tc>
          <w:tcPr>
            <w:tcW w:w="157" w:type="dxa"/>
            <w:tcBorders/>
            <w:shd w:fill="CCEEFF" w:val="clear"/>
            <w:vAlign w:val="bottom"/>
          </w:tcPr>
          <w:p>
            <w:pPr>
              <w:pStyle w:val="TableContents"/>
              <w:spacing w:before="0" w:after="283"/>
              <w:rPr>
                <w:b/>
              </w:rPr>
            </w:pPr>
            <w:r>
              <w:rPr>
                <w:b/>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b/>
              </w:rPr>
            </w:pPr>
            <w:r>
              <w:rPr>
                <w:b/>
              </w:rPr>
              <w:t>(274,490</w:t>
            </w:r>
          </w:p>
        </w:tc>
        <w:tc>
          <w:tcPr>
            <w:tcW w:w="162" w:type="dxa"/>
            <w:tcBorders/>
            <w:shd w:fill="CCEEFF" w:val="clear"/>
            <w:vAlign w:val="bottom"/>
          </w:tcPr>
          <w:p>
            <w:pPr>
              <w:pStyle w:val="TableContents"/>
              <w:spacing w:before="0" w:after="283"/>
              <w:rPr>
                <w:b/>
              </w:rPr>
            </w:pPr>
            <w:r>
              <w:rPr>
                <w:b/>
              </w:rPr>
              <w:t>) </w:t>
            </w:r>
          </w:p>
        </w:tc>
      </w:tr>
      <w:tr>
        <w:trPr/>
        <w:tc>
          <w:tcPr>
            <w:tcW w:w="5295"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Free Cash Flow</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22"/>
        <w:gridCol w:w="194"/>
        <w:gridCol w:w="60"/>
        <w:gridCol w:w="962"/>
        <w:gridCol w:w="155"/>
        <w:gridCol w:w="134"/>
        <w:gridCol w:w="60"/>
        <w:gridCol w:w="962"/>
        <w:gridCol w:w="160"/>
      </w:tblGrid>
      <w:tr>
        <w:trPr/>
        <w:tc>
          <w:tcPr>
            <w:tcW w:w="532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32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3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60" w:type="dxa"/>
            <w:tcBorders/>
            <w:shd w:fill="auto" w:val="clear"/>
            <w:vAlign w:val="bottom"/>
          </w:tcPr>
          <w:p>
            <w:pPr>
              <w:pStyle w:val="TableContents"/>
              <w:spacing w:before="0" w:after="283"/>
              <w:rPr/>
            </w:pPr>
            <w:r>
              <w:rPr/>
              <w:t> </w:t>
            </w:r>
          </w:p>
        </w:tc>
      </w:tr>
      <w:tr>
        <w:trPr/>
        <w:tc>
          <w:tcPr>
            <w:tcW w:w="532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5322"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for)/provided by operating activities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(283,387</w:t>
            </w:r>
          </w:p>
        </w:tc>
        <w:tc>
          <w:tcPr>
            <w:tcW w:w="15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40,452</w:t>
            </w:r>
          </w:p>
        </w:tc>
        <w:tc>
          <w:tcPr>
            <w:tcW w:w="160" w:type="dxa"/>
            <w:tcBorders/>
            <w:shd w:fill="CCEEFF" w:val="clear"/>
            <w:vAlign w:val="bottom"/>
          </w:tcPr>
          <w:p>
            <w:pPr>
              <w:pStyle w:val="TableContents"/>
              <w:spacing w:before="0" w:after="283"/>
              <w:rPr/>
            </w:pPr>
            <w:r>
              <w:rPr/>
              <w:t> </w:t>
            </w:r>
          </w:p>
        </w:tc>
      </w:tr>
      <w:tr>
        <w:trPr/>
        <w:tc>
          <w:tcPr>
            <w:tcW w:w="5322" w:type="dxa"/>
            <w:tcBorders/>
            <w:shd w:fill="auto" w:val="clea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(19,715</w:t>
            </w:r>
          </w:p>
        </w:tc>
        <w:tc>
          <w:tcPr>
            <w:tcW w:w="15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(1,388</w:t>
            </w:r>
          </w:p>
        </w:tc>
        <w:tc>
          <w:tcPr>
            <w:tcW w:w="160" w:type="dxa"/>
            <w:tcBorders/>
            <w:shd w:fill="auto" w:val="clear"/>
            <w:vAlign w:val="bottom"/>
          </w:tcPr>
          <w:p>
            <w:pPr>
              <w:pStyle w:val="TableContents"/>
              <w:spacing w:before="0" w:after="283"/>
              <w:rPr/>
            </w:pPr>
            <w:r>
              <w:rPr/>
              <w:t>) </w:t>
            </w:r>
          </w:p>
        </w:tc>
      </w:tr>
      <w:tr>
        <w:trPr/>
        <w:tc>
          <w:tcPr>
            <w:tcW w:w="532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(113,030</w:t>
            </w:r>
          </w:p>
        </w:tc>
        <w:tc>
          <w:tcPr>
            <w:tcW w:w="15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(292,881</w:t>
            </w:r>
          </w:p>
        </w:tc>
        <w:tc>
          <w:tcPr>
            <w:tcW w:w="160" w:type="dxa"/>
            <w:tcBorders/>
            <w:shd w:fill="CCEEFF" w:val="clear"/>
            <w:vAlign w:val="bottom"/>
          </w:tcPr>
          <w:p>
            <w:pPr>
              <w:pStyle w:val="TableContents"/>
              <w:spacing w:before="0" w:after="283"/>
              <w:rPr/>
            </w:pPr>
            <w:r>
              <w:rPr/>
              <w:t>) </w:t>
            </w:r>
          </w:p>
        </w:tc>
      </w:tr>
      <w:tr>
        <w:trPr/>
        <w:tc>
          <w:tcPr>
            <w:tcW w:w="532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32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Free cash flow</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b/>
              </w:rPr>
            </w:pPr>
            <w:r>
              <w:rPr>
                <w:b/>
              </w:rPr>
              <w:t>(416,132</w:t>
            </w:r>
          </w:p>
        </w:tc>
        <w:tc>
          <w:tcPr>
            <w:tcW w:w="155" w:type="dxa"/>
            <w:tcBorders/>
            <w:shd w:fill="auto" w:val="clear"/>
            <w:vAlign w:val="bottom"/>
          </w:tcPr>
          <w:p>
            <w:pPr>
              <w:pStyle w:val="TableContents"/>
              <w:spacing w:before="0" w:after="283"/>
              <w:rPr>
                <w:b/>
              </w:rPr>
            </w:pPr>
            <w:r>
              <w:rPr>
                <w:b/>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b/>
              </w:rPr>
            </w:pPr>
            <w:r>
              <w:rPr>
                <w:b/>
              </w:rPr>
              <w:t>(253,817</w:t>
            </w:r>
          </w:p>
        </w:tc>
        <w:tc>
          <w:tcPr>
            <w:tcW w:w="160" w:type="dxa"/>
            <w:tcBorders/>
            <w:shd w:fill="auto" w:val="clear"/>
            <w:vAlign w:val="bottom"/>
          </w:tcPr>
          <w:p>
            <w:pPr>
              <w:pStyle w:val="TableContents"/>
              <w:spacing w:before="0" w:after="283"/>
              <w:rPr>
                <w:b/>
              </w:rPr>
            </w:pPr>
            <w:r>
              <w:rPr>
                <w:b/>
              </w:rPr>
              <w:t>) </w:t>
            </w:r>
          </w:p>
        </w:tc>
      </w:tr>
      <w:tr>
        <w:trPr/>
        <w:tc>
          <w:tcPr>
            <w:tcW w:w="532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TextBody"/>
        <w:spacing w:before="0" w:after="0"/>
        <w:jc w:val="right"/>
        <w:rPr>
          <w:rFonts w:ascii="Times New Roman" w:hAnsi="Times New Roman"/>
          <w:sz w:val="20"/>
        </w:rPr>
      </w:pPr>
      <w:bookmarkStart w:id="8" w:name="d502584dex994.htm"/>
      <w:bookmarkStart w:id="9" w:name="ksd502584dex994"/>
      <w:bookmarkEnd w:id="8"/>
      <w:bookmarkEnd w:id="9"/>
      <w:r>
        <w:rPr>
          <w:rFonts w:ascii="Times New Roman" w:hAnsi="Times New Roman"/>
          <w:sz w:val="20"/>
        </w:rPr>
        <w:t xml:space="preserve">Exhibit 99.4 </w:t>
      </w:r>
    </w:p>
    <w:p>
      <w:pPr>
        <w:pStyle w:val="TextBody"/>
        <w:spacing w:before="240" w:after="0"/>
        <w:jc w:val="center"/>
        <w:rPr>
          <w:rFonts w:ascii="Times New Roman" w:hAnsi="Times New Roman"/>
          <w:b/>
          <w:sz w:val="20"/>
        </w:rPr>
      </w:pPr>
      <w:r>
        <w:rPr>
          <w:rFonts w:ascii="Times New Roman" w:hAnsi="Times New Roman"/>
          <w:b/>
          <w:sz w:val="20"/>
        </w:rPr>
        <w:t xml:space="preserve">The Polestar Group </w:t>
      </w:r>
    </w:p>
    <w:p>
      <w:pPr>
        <w:pStyle w:val="TextBody"/>
        <w:spacing w:before="0" w:after="0"/>
        <w:jc w:val="center"/>
        <w:rPr>
          <w:rFonts w:ascii="Times New Roman" w:hAnsi="Times New Roman"/>
          <w:b/>
          <w:sz w:val="20"/>
        </w:rPr>
      </w:pPr>
      <w:r>
        <w:rPr>
          <w:rFonts w:ascii="Times New Roman" w:hAnsi="Times New Roman"/>
          <w:b/>
          <w:sz w:val="20"/>
        </w:rPr>
        <w:t xml:space="preserve">Unaudited Condensed Consolidated Financial Statements as of March 31, 2023 and for </w:t>
      </w:r>
    </w:p>
    <w:p>
      <w:pPr>
        <w:pStyle w:val="TextBody"/>
        <w:spacing w:before="0" w:after="0"/>
        <w:jc w:val="center"/>
        <w:rPr>
          <w:rFonts w:ascii="Times New Roman" w:hAnsi="Times New Roman"/>
          <w:b/>
          <w:sz w:val="20"/>
        </w:rPr>
      </w:pPr>
      <w:r>
        <w:rPr>
          <w:rFonts w:ascii="Times New Roman" w:hAnsi="Times New Roman"/>
          <w:b/>
          <w:sz w:val="20"/>
        </w:rPr>
        <w:t xml:space="preserve">the three months ended March 31, 2023 and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INDEX TO UNAUDITED CONDENSED CONSOLIDATED FINANCIAL STATEMENTS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87"/>
        <w:gridCol w:w="155"/>
        <w:gridCol w:w="60"/>
        <w:gridCol w:w="575"/>
        <w:gridCol w:w="62"/>
      </w:tblGrid>
      <w:tr>
        <w:trPr/>
        <w:tc>
          <w:tcPr>
            <w:tcW w:w="96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6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35" w:type="dxa"/>
            <w:gridSpan w:val="2"/>
            <w:tcBorders/>
            <w:shd w:fill="auto" w:val="clear"/>
            <w:vAlign w:val="bottom"/>
          </w:tcPr>
          <w:p>
            <w:pPr>
              <w:pStyle w:val="TableContents"/>
              <w:spacing w:before="0" w:after="283"/>
              <w:jc w:val="center"/>
              <w:rPr>
                <w:b/>
              </w:rPr>
            </w:pPr>
            <w:r>
              <w:rPr>
                <w:b/>
              </w:rPr>
              <w:t>Page(s)</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Loss and Comprehensive Loss for the Three months ended March 31, 2023 and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Financial Position as of March 31, 2023 and December 31,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Cash Flows for the Three months ended March 31, 2023 and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Unaudited Condensed Consolidated Statement of Changes in Equity for the Three months ended March 31, 2023 and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687" w:type="dxa"/>
            <w:tcBorders/>
            <w:shd w:fill="auto" w:val="clear"/>
          </w:tcPr>
          <w:p>
            <w:pPr>
              <w:pStyle w:val="TableContents"/>
              <w:spacing w:before="0" w:after="0"/>
              <w:rPr>
                <w:rFonts w:ascii="Times New Roman" w:hAnsi="Times New Roman"/>
                <w:sz w:val="20"/>
              </w:rPr>
            </w:pPr>
            <w:r>
              <w:rPr>
                <w:rFonts w:ascii="Times New Roman" w:hAnsi="Times New Roman"/>
                <w:sz w:val="20"/>
              </w:rPr>
              <w:t>Notes to Unaudited Condensed Consolidated Financial Statements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7 - 20</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Loss and Comprehensive Loss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except per share data and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098"/>
        <w:gridCol w:w="169"/>
        <w:gridCol w:w="150"/>
        <w:gridCol w:w="353"/>
        <w:gridCol w:w="60"/>
        <w:gridCol w:w="169"/>
        <w:gridCol w:w="60"/>
        <w:gridCol w:w="993"/>
        <w:gridCol w:w="155"/>
        <w:gridCol w:w="121"/>
        <w:gridCol w:w="60"/>
        <w:gridCol w:w="992"/>
        <w:gridCol w:w="159"/>
      </w:tblGrid>
      <w:tr>
        <w:trPr/>
        <w:tc>
          <w:tcPr>
            <w:tcW w:w="709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098" w:type="dxa"/>
            <w:tcBorders/>
            <w:shd w:fill="auto" w:val="clear"/>
            <w:vAlign w:val="bottom"/>
          </w:tcPr>
          <w:p>
            <w:pPr>
              <w:pStyle w:val="TableContents"/>
              <w:spacing w:before="0" w:after="283"/>
              <w:rPr>
                <w:b/>
              </w:rPr>
            </w:pPr>
            <w:r>
              <w:rPr>
                <w:b/>
              </w:rPr>
              <w:t>Consolidated Statement of Loss</w:t>
            </w:r>
          </w:p>
        </w:tc>
        <w:tc>
          <w:tcPr>
            <w:tcW w:w="169" w:type="dxa"/>
            <w:tcBorders/>
            <w:shd w:fill="auto" w:val="clear"/>
            <w:vAlign w:val="bottom"/>
          </w:tcPr>
          <w:p>
            <w:pPr>
              <w:pStyle w:val="TableContents"/>
              <w:spacing w:before="0" w:after="283"/>
              <w:rPr/>
            </w:pPr>
            <w:r>
              <w:rPr/>
              <w:t>  </w:t>
            </w:r>
          </w:p>
        </w:tc>
        <w:tc>
          <w:tcPr>
            <w:tcW w:w="50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38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59" w:type="dxa"/>
            <w:tcBorders/>
            <w:shd w:fill="auto"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Revenue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2</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546,018</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452,227</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(527,596</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(459,492</w:t>
            </w:r>
          </w:p>
        </w:tc>
        <w:tc>
          <w:tcPr>
            <w:tcW w:w="159" w:type="dxa"/>
            <w:tcBorders/>
            <w:shd w:fill="auto"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Gross profit/(loss)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b/>
              </w:rPr>
            </w:pPr>
            <w:r>
              <w:rPr>
                <w:b/>
              </w:rPr>
              <w:t>18,422</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b/>
              </w:rPr>
            </w:pPr>
            <w:r>
              <w:rPr>
                <w:b/>
              </w:rPr>
              <w:t>(7,265</w:t>
            </w:r>
          </w:p>
        </w:tc>
        <w:tc>
          <w:tcPr>
            <w:tcW w:w="159" w:type="dxa"/>
            <w:tcBorders/>
            <w:shd w:fill="CCEEFF"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3</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(189,005</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(212,554</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3</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(35,701</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(32,085</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 and expense</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6,884</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(6,009</w:t>
            </w:r>
          </w:p>
        </w:tc>
        <w:tc>
          <w:tcPr>
            <w:tcW w:w="159" w:type="dxa"/>
            <w:tcBorders/>
            <w:shd w:fill="auto"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b/>
              </w:rPr>
            </w:pPr>
            <w:r>
              <w:rPr>
                <w:b/>
              </w:rPr>
              <w:t>(199,400</w:t>
            </w:r>
          </w:p>
        </w:tc>
        <w:tc>
          <w:tcPr>
            <w:tcW w:w="155" w:type="dxa"/>
            <w:tcBorders/>
            <w:shd w:fill="CCEEFF" w:val="clear"/>
            <w:vAlign w:val="bottom"/>
          </w:tcPr>
          <w:p>
            <w:pPr>
              <w:pStyle w:val="TableContents"/>
              <w:spacing w:before="0" w:after="283"/>
              <w:rPr>
                <w:b/>
              </w:rPr>
            </w:pPr>
            <w:r>
              <w:rPr>
                <w:b/>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b/>
              </w:rPr>
            </w:pPr>
            <w:r>
              <w:rPr>
                <w:b/>
              </w:rPr>
              <w:t>(257,913</w:t>
            </w:r>
          </w:p>
        </w:tc>
        <w:tc>
          <w:tcPr>
            <w:tcW w:w="159" w:type="dxa"/>
            <w:tcBorders/>
            <w:shd w:fill="CCEEFF"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Finance income</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8,530</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5,753</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tcPr>
          <w:p>
            <w:pPr>
              <w:pStyle w:val="TableContents"/>
              <w:spacing w:before="0" w:after="0"/>
              <w:rPr>
                <w:rFonts w:ascii="Times New Roman" w:hAnsi="Times New Roman"/>
                <w:sz w:val="20"/>
              </w:rPr>
            </w:pPr>
            <w:r>
              <w:rPr>
                <w:rFonts w:ascii="Times New Roman" w:hAnsi="Times New Roman"/>
                <w:sz w:val="20"/>
              </w:rPr>
              <w:t>Finance expense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(29,158</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(17,932</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8</w:t>
            </w:r>
          </w:p>
        </w:tc>
        <w:tc>
          <w:tcPr>
            <w:tcW w:w="6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206,195</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8</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7,250</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(6,583</w:t>
            </w:r>
          </w:p>
        </w:tc>
        <w:tc>
          <w:tcPr>
            <w:tcW w:w="155" w:type="dxa"/>
            <w:tcBorders/>
            <w:shd w:fill="auto" w:val="clear"/>
            <w:vAlign w:val="bottom"/>
          </w:tcPr>
          <w:p>
            <w:pPr>
              <w:pStyle w:val="TableContents"/>
              <w:spacing w:before="0" w:after="283"/>
              <w:rPr>
                <w:b/>
              </w:rPr>
            </w:pPr>
            <w:r>
              <w:rPr>
                <w:b/>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(270,092</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(2,394</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(4,398</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(8,977</w:t>
            </w:r>
          </w:p>
        </w:tc>
        <w:tc>
          <w:tcPr>
            <w:tcW w:w="155" w:type="dxa"/>
            <w:tcBorders/>
            <w:shd w:fill="auto" w:val="clear"/>
            <w:vAlign w:val="bottom"/>
          </w:tcPr>
          <w:p>
            <w:pPr>
              <w:pStyle w:val="TableContents"/>
              <w:spacing w:before="0" w:after="283"/>
              <w:rPr>
                <w:b/>
              </w:rPr>
            </w:pPr>
            <w:r>
              <w:rPr>
                <w:b/>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(274,490</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 per share (in U.S. dollars)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5</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&lt; (0.01</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(0.14</w:t>
            </w:r>
          </w:p>
        </w:tc>
        <w:tc>
          <w:tcPr>
            <w:tcW w:w="159" w:type="dxa"/>
            <w:tcBorders/>
            <w:shd w:fill="auto" w:val="clear"/>
            <w:vAlign w:val="bottom"/>
          </w:tcPr>
          <w:p>
            <w:pPr>
              <w:pStyle w:val="TableContents"/>
              <w:spacing w:before="0" w:after="283"/>
              <w:rPr/>
            </w:pPr>
            <w:r>
              <w:rPr/>
              <w:t>) </w:t>
            </w:r>
          </w:p>
        </w:tc>
      </w:tr>
      <w:tr>
        <w:trPr>
          <w:trHeight w:val="120" w:hRule="atLeast"/>
        </w:trPr>
        <w:tc>
          <w:tcPr>
            <w:tcW w:w="7098" w:type="dxa"/>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c>
          <w:tcPr>
            <w:tcW w:w="1377" w:type="dxa"/>
            <w:gridSpan w:val="4"/>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r>
      <w:tr>
        <w:trPr/>
        <w:tc>
          <w:tcPr>
            <w:tcW w:w="7098" w:type="dxa"/>
            <w:tcBorders/>
            <w:shd w:fill="CCEEFF" w:val="clear"/>
          </w:tcPr>
          <w:p>
            <w:pPr>
              <w:pStyle w:val="TableContents"/>
              <w:spacing w:before="0" w:after="0"/>
              <w:rPr>
                <w:rFonts w:ascii="Times New Roman" w:hAnsi="Times New Roman"/>
                <w:b/>
                <w:sz w:val="20"/>
              </w:rPr>
            </w:pPr>
            <w:r>
              <w:rPr>
                <w:rFonts w:ascii="Times New Roman" w:hAnsi="Times New Roman"/>
                <w:b/>
                <w:sz w:val="20"/>
              </w:rPr>
              <w:t>Consolidated Statement of Comprehensive 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7098" w:type="dxa"/>
            <w:tcBorders/>
            <w:shd w:fill="auto" w:val="clear"/>
            <w:vAlign w:val="center"/>
          </w:tcPr>
          <w:p>
            <w:pPr>
              <w:pStyle w:val="TableContents"/>
              <w:spacing w:before="0" w:after="283"/>
              <w:rPr>
                <w:sz w:val="4"/>
                <w:szCs w:val="4"/>
              </w:rPr>
            </w:pPr>
            <w:r>
              <w:rPr>
                <w:sz w:val="4"/>
                <w:szCs w:val="4"/>
              </w:rPr>
            </w:r>
          </w:p>
        </w:tc>
        <w:tc>
          <w:tcPr>
            <w:tcW w:w="732" w:type="dxa"/>
            <w:gridSpan w:val="4"/>
            <w:tcBorders/>
            <w:shd w:fill="auto" w:val="clear"/>
            <w:vAlign w:val="center"/>
          </w:tcPr>
          <w:p>
            <w:pPr>
              <w:pStyle w:val="TableContents"/>
              <w:spacing w:before="0" w:after="283"/>
              <w:rPr>
                <w:sz w:val="4"/>
                <w:szCs w:val="4"/>
              </w:rPr>
            </w:pPr>
            <w:r>
              <w:rPr>
                <w:sz w:val="4"/>
                <w:szCs w:val="4"/>
              </w:rPr>
            </w:r>
          </w:p>
        </w:tc>
        <w:tc>
          <w:tcPr>
            <w:tcW w:w="1377" w:type="dxa"/>
            <w:gridSpan w:val="4"/>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(8,977</w:t>
            </w:r>
          </w:p>
        </w:tc>
        <w:tc>
          <w:tcPr>
            <w:tcW w:w="155" w:type="dxa"/>
            <w:tcBorders/>
            <w:shd w:fill="auto" w:val="clear"/>
            <w:vAlign w:val="bottom"/>
          </w:tcPr>
          <w:p>
            <w:pPr>
              <w:pStyle w:val="TableContents"/>
              <w:spacing w:before="0" w:after="283"/>
              <w:rPr>
                <w:b/>
              </w:rPr>
            </w:pPr>
            <w:r>
              <w:rPr>
                <w:b/>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(274,490</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comprehensive Income/(loss):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098" w:type="dxa"/>
            <w:tcBorders/>
            <w:shd w:fill="auto" w:val="clear"/>
          </w:tcPr>
          <w:p>
            <w:pPr>
              <w:pStyle w:val="TableContents"/>
              <w:spacing w:before="0" w:after="0"/>
              <w:rPr>
                <w:rFonts w:ascii="Times New Roman" w:hAnsi="Times New Roman"/>
                <w:sz w:val="20"/>
              </w:rPr>
            </w:pPr>
            <w:r>
              <w:rPr>
                <w:rFonts w:ascii="Times New Roman" w:hAnsi="Times New Roman"/>
                <w:sz w:val="20"/>
              </w:rPr>
              <w:t>Items that may be subsequently reclassified to the Consolidated Statement of 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9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7098" w:type="dxa"/>
            <w:tcBorders/>
            <w:shd w:fill="CCEEFF" w:val="clear"/>
          </w:tcPr>
          <w:p>
            <w:pPr>
              <w:pStyle w:val="TableContents"/>
              <w:spacing w:before="0" w:after="0"/>
              <w:rPr>
                <w:rFonts w:ascii="Times New Roman" w:hAnsi="Times New Roman"/>
                <w:sz w:val="20"/>
              </w:rPr>
            </w:pPr>
            <w:r>
              <w:rPr>
                <w:rFonts w:ascii="Times New Roman" w:hAnsi="Times New Roman"/>
                <w:sz w:val="20"/>
              </w:rPr>
              <w:t>Exchange rate differences from translation of foreign operations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471</w:t>
            </w:r>
          </w:p>
        </w:tc>
        <w:tc>
          <w:tcPr>
            <w:tcW w:w="155"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(2,645</w:t>
            </w:r>
          </w:p>
        </w:tc>
        <w:tc>
          <w:tcPr>
            <w:tcW w:w="159" w:type="dxa"/>
            <w:tcBorders/>
            <w:shd w:fill="CCEEFF" w:val="clear"/>
            <w:vAlign w:val="bottom"/>
          </w:tcPr>
          <w:p>
            <w:pPr>
              <w:pStyle w:val="TableContents"/>
              <w:spacing w:before="0" w:after="283"/>
              <w:rPr/>
            </w:pPr>
            <w:r>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other comprehensive income/(loss)</w:t>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471</w:t>
            </w:r>
          </w:p>
        </w:tc>
        <w:tc>
          <w:tcPr>
            <w:tcW w:w="155"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(2,645</w:t>
            </w:r>
          </w:p>
        </w:tc>
        <w:tc>
          <w:tcPr>
            <w:tcW w:w="159" w:type="dxa"/>
            <w:tcBorders/>
            <w:shd w:fill="auto"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0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6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b/>
              </w:rPr>
            </w:pPr>
            <w:r>
              <w:rPr>
                <w:b/>
              </w:rPr>
              <w:t>(8,506</w:t>
            </w:r>
          </w:p>
        </w:tc>
        <w:tc>
          <w:tcPr>
            <w:tcW w:w="155" w:type="dxa"/>
            <w:tcBorders/>
            <w:shd w:fill="CCEEFF" w:val="clear"/>
            <w:vAlign w:val="bottom"/>
          </w:tcPr>
          <w:p>
            <w:pPr>
              <w:pStyle w:val="TableContents"/>
              <w:spacing w:before="0" w:after="283"/>
              <w:rPr>
                <w:b/>
              </w:rPr>
            </w:pPr>
            <w:r>
              <w:rPr>
                <w:b/>
              </w:rPr>
              <w:t>) </w:t>
            </w:r>
          </w:p>
        </w:tc>
        <w:tc>
          <w:tcPr>
            <w:tcW w:w="1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b/>
              </w:rPr>
            </w:pPr>
            <w:r>
              <w:rPr>
                <w:b/>
              </w:rPr>
              <w:t>(277,135</w:t>
            </w:r>
          </w:p>
        </w:tc>
        <w:tc>
          <w:tcPr>
            <w:tcW w:w="159" w:type="dxa"/>
            <w:tcBorders/>
            <w:shd w:fill="CCEEFF" w:val="clear"/>
            <w:vAlign w:val="bottom"/>
          </w:tcPr>
          <w:p>
            <w:pPr>
              <w:pStyle w:val="TableContents"/>
              <w:spacing w:before="0" w:after="283"/>
              <w:rPr>
                <w:b/>
              </w:rPr>
            </w:pPr>
            <w:r>
              <w:rPr>
                <w:b/>
              </w:rPr>
              <w:t>) </w:t>
            </w:r>
          </w:p>
        </w:tc>
      </w:tr>
      <w:tr>
        <w:trPr/>
        <w:tc>
          <w:tcPr>
            <w:tcW w:w="7098"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Financial Position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645"/>
        <w:gridCol w:w="153"/>
        <w:gridCol w:w="68"/>
        <w:gridCol w:w="432"/>
        <w:gridCol w:w="60"/>
        <w:gridCol w:w="153"/>
        <w:gridCol w:w="60"/>
        <w:gridCol w:w="1065"/>
        <w:gridCol w:w="155"/>
        <w:gridCol w:w="113"/>
        <w:gridCol w:w="76"/>
        <w:gridCol w:w="1400"/>
        <w:gridCol w:w="159"/>
      </w:tblGrid>
      <w:tr>
        <w:trPr/>
        <w:tc>
          <w:tcPr>
            <w:tcW w:w="664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4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2023</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Non-current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 and goodwill</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6</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1,478,953</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1,396,477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242,525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258,048</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Vehicles under operating leases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96,284</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92,198</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4,880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5,306</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10,383</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7,755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investments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7</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2,345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2,333</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non-current assets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b/>
              </w:rPr>
            </w:pPr>
            <w:r>
              <w:rPr>
                <w:b/>
              </w:rPr>
              <w:t>1,835,370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b/>
              </w:rPr>
            </w:pPr>
            <w:r>
              <w:rPr>
                <w:b/>
              </w:rPr>
              <w:t>1,762,117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884,271</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973,877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163,324</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246,107</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58,892</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74,996</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8,476</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49,060</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Inventories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847,028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658,559</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tax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5,968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7,184</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Assets held for sale</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61,276</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63,224</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118,865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107,327</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current assets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b/>
              </w:rPr>
            </w:pPr>
            <w:r>
              <w:rPr>
                <w:b/>
              </w:rPr>
              <w:t>2,148,100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b/>
              </w:rPr>
            </w:pPr>
            <w:r>
              <w:rPr>
                <w:b/>
              </w:rPr>
              <w:t>2,180,334</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b/>
              </w:rPr>
            </w:pPr>
            <w:r>
              <w:rPr>
                <w:b/>
              </w:rPr>
              <w:t>3,983,470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b/>
              </w:rPr>
            </w:pPr>
            <w:r>
              <w:rPr>
                <w:b/>
              </w:rPr>
              <w:t>3,942,451</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Equity</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Share capital</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(21,165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(21,165</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contributed capital</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(3,585,391</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(3,584,232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Foreign currency translation reserve</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11,794</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12,265</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3,735,752</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3,726,775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equity</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9</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140,990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133,643</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Non-current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Non-current contract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(52,728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(50,252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(478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(476</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provisions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(90,404</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(73,985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(15,052</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(14,753</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Earn-out liability</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7, 8</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(392,375</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(598,570</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interest-bearing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(72,888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(85,556</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interest-bearing liabilities - related parties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(300,000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non-current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(923,925</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(823,592</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(97,049</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(98,458</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 related parties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(911,856</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(957,497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(205,564</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(164,902</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(33,041</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(40,869</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provisions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(78,649</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(74,907</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10</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(1,348,635</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(1,328,752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Current tax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(15,846</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(10,617</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(22,988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(21,545</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current liabilities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(20,888</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(16,690</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Current contract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(57,942</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(46,217</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Class C Shares liability</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7, 8</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(20,750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(28,000</w:t>
            </w:r>
          </w:p>
        </w:tc>
        <w:tc>
          <w:tcPr>
            <w:tcW w:w="159" w:type="dxa"/>
            <w:tcBorders/>
            <w:shd w:fill="auto" w:val="clear"/>
            <w:vAlign w:val="bottom"/>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(369,578</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(393,790</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 - related parties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(17,749</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(70,258</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(3,200,535</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(3,252,502</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(4,124,460</w:t>
            </w:r>
          </w:p>
        </w:tc>
        <w:tc>
          <w:tcPr>
            <w:tcW w:w="15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(4,076,094</w:t>
            </w:r>
          </w:p>
        </w:tc>
        <w:tc>
          <w:tcPr>
            <w:tcW w:w="159" w:type="dxa"/>
            <w:tcBorders/>
            <w:shd w:fill="auto"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4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equity and liabilities</w:t>
            </w:r>
          </w:p>
        </w:tc>
        <w:tc>
          <w:tcPr>
            <w:tcW w:w="153"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(3,983,470</w:t>
            </w:r>
          </w:p>
        </w:tc>
        <w:tc>
          <w:tcPr>
            <w:tcW w:w="15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(3,942,451</w:t>
            </w:r>
          </w:p>
        </w:tc>
        <w:tc>
          <w:tcPr>
            <w:tcW w:w="159" w:type="dxa"/>
            <w:tcBorders/>
            <w:shd w:fill="CCEEFF" w:val="clear"/>
            <w:vAlign w:val="bottom"/>
          </w:tcPr>
          <w:p>
            <w:pPr>
              <w:pStyle w:val="TableContents"/>
              <w:spacing w:before="0" w:after="283"/>
              <w:rPr/>
            </w:pPr>
            <w:r>
              <w:rPr/>
              <w:t>) </w:t>
            </w:r>
          </w:p>
        </w:tc>
      </w:tr>
      <w:tr>
        <w:trPr/>
        <w:tc>
          <w:tcPr>
            <w:tcW w:w="664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Cash Flows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075"/>
        <w:gridCol w:w="171"/>
        <w:gridCol w:w="150"/>
        <w:gridCol w:w="354"/>
        <w:gridCol w:w="60"/>
        <w:gridCol w:w="171"/>
        <w:gridCol w:w="60"/>
        <w:gridCol w:w="1000"/>
        <w:gridCol w:w="155"/>
        <w:gridCol w:w="123"/>
        <w:gridCol w:w="60"/>
        <w:gridCol w:w="1000"/>
        <w:gridCol w:w="160"/>
      </w:tblGrid>
      <w:tr>
        <w:trPr/>
        <w:tc>
          <w:tcPr>
            <w:tcW w:w="70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07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5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39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(8,977</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(274,490</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flows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31,995</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36,953</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Warranties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24,340</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8,862</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Inventory impairment</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(9,440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10,618</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(8,530</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(5,753</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Finance expense</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29,158</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17,932</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(206,195</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(7,250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2,394</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4,398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Other non-cash expense and income</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21,544</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18,166</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operating assets and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Inventories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(169,752</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(11,529</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Contract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13,630</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(10,919</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prepaid expenses and other assets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133,119</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43,684</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accrued expenses and other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(107,323</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206,687</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Interest received</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5,453</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5,144</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Interest paid</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(28,991</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(8,848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Taxes paid</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1,438</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(453</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Cash (used for)/provided by operating activities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(283,387</w:t>
            </w:r>
          </w:p>
        </w:tc>
        <w:tc>
          <w:tcPr>
            <w:tcW w:w="155" w:type="dxa"/>
            <w:tcBorders/>
            <w:shd w:fill="CCEEFF" w:val="clear"/>
            <w:vAlign w:val="bottom"/>
          </w:tcPr>
          <w:p>
            <w:pPr>
              <w:pStyle w:val="TableContents"/>
              <w:spacing w:before="0" w:after="283"/>
              <w:rPr>
                <w:b/>
              </w:rPr>
            </w:pPr>
            <w:r>
              <w:rPr>
                <w:b/>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40,452</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(19,715</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(1,388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center"/>
              <w:rPr/>
            </w:pPr>
            <w:r>
              <w:rPr/>
              <w:t>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(113,030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(292,881</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other investments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(2,599</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Divestment of non-current assets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1,710</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Cash used for investing activities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(131,035</w:t>
            </w:r>
          </w:p>
        </w:tc>
        <w:tc>
          <w:tcPr>
            <w:tcW w:w="155" w:type="dxa"/>
            <w:tcBorders/>
            <w:shd w:fill="CCEEFF" w:val="clear"/>
            <w:vAlign w:val="bottom"/>
          </w:tcPr>
          <w:p>
            <w:pPr>
              <w:pStyle w:val="TableContents"/>
              <w:spacing w:before="0" w:after="283"/>
              <w:rPr>
                <w:b/>
              </w:rPr>
            </w:pPr>
            <w:r>
              <w:rPr>
                <w:b/>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(296,868</w:t>
            </w:r>
          </w:p>
        </w:tc>
        <w:tc>
          <w:tcPr>
            <w:tcW w:w="160" w:type="dxa"/>
            <w:tcBorders/>
            <w:shd w:fill="CCEEFF" w:val="clear"/>
            <w:vAlign w:val="bottom"/>
          </w:tcPr>
          <w:p>
            <w:pPr>
              <w:pStyle w:val="TableContents"/>
              <w:spacing w:before="0" w:after="283"/>
              <w:rPr>
                <w:b/>
              </w:rPr>
            </w:pPr>
            <w:r>
              <w:rPr>
                <w:b/>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borrowings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637,177</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98,118</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tcPr>
          <w:p>
            <w:pPr>
              <w:pStyle w:val="TableContents"/>
              <w:spacing w:before="0" w:after="0"/>
              <w:rPr>
                <w:rFonts w:ascii="Times New Roman" w:hAnsi="Times New Roman"/>
                <w:sz w:val="20"/>
              </w:rPr>
            </w:pPr>
            <w:r>
              <w:rPr>
                <w:rFonts w:ascii="Times New Roman" w:hAnsi="Times New Roman"/>
                <w:sz w:val="20"/>
              </w:rPr>
              <w:t>Principal repayments of borrowings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(310,667</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Principal repayments of lease liabilities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(3,926</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(2,232</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Cash provided by financing activities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322,584</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95,886</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exchange rate changes on cash and cash equivalents</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2,232</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pPr>
            <w:r>
              <w:rPr/>
              <w:t>(10,993</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decrease in cash and cash equivalents</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(89,606</w:t>
            </w:r>
          </w:p>
        </w:tc>
        <w:tc>
          <w:tcPr>
            <w:tcW w:w="155" w:type="dxa"/>
            <w:tcBorders/>
            <w:shd w:fill="auto" w:val="clear"/>
            <w:vAlign w:val="bottom"/>
          </w:tcPr>
          <w:p>
            <w:pPr>
              <w:pStyle w:val="TableContents"/>
              <w:spacing w:before="0" w:after="283"/>
              <w:rPr>
                <w:b/>
              </w:rPr>
            </w:pPr>
            <w:r>
              <w:rPr>
                <w:b/>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(171,523</w:t>
            </w:r>
          </w:p>
        </w:tc>
        <w:tc>
          <w:tcPr>
            <w:tcW w:w="160" w:type="dxa"/>
            <w:tcBorders/>
            <w:shd w:fill="auto" w:val="clear"/>
            <w:vAlign w:val="bottom"/>
          </w:tcPr>
          <w:p>
            <w:pPr>
              <w:pStyle w:val="TableContents"/>
              <w:spacing w:before="0" w:after="283"/>
              <w:rPr>
                <w:b/>
              </w:rPr>
            </w:pPr>
            <w:r>
              <w:rPr>
                <w:b/>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Cash and cash equivalents at beginning of period</w:t>
            </w:r>
          </w:p>
        </w:tc>
        <w:tc>
          <w:tcPr>
            <w:tcW w:w="17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973,877</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jc w:val="right"/>
              <w:rPr>
                <w:b/>
              </w:rPr>
            </w:pPr>
            <w:r>
              <w:rPr>
                <w:b/>
              </w:rPr>
              <w:t>756,677</w:t>
            </w:r>
          </w:p>
        </w:tc>
        <w:tc>
          <w:tcPr>
            <w:tcW w:w="160" w:type="dxa"/>
            <w:tcBorders/>
            <w:shd w:fill="CCEEFF"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707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Cash and cash equivalents at end of period</w:t>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884,271</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jc w:val="right"/>
              <w:rPr>
                <w:b/>
              </w:rPr>
            </w:pPr>
            <w:r>
              <w:rPr>
                <w:b/>
              </w:rPr>
              <w:t>585,154</w:t>
            </w:r>
          </w:p>
        </w:tc>
        <w:tc>
          <w:tcPr>
            <w:tcW w:w="160" w:type="dxa"/>
            <w:tcBorders/>
            <w:shd w:fill="auto" w:val="clear"/>
            <w:vAlign w:val="bottom"/>
          </w:tcPr>
          <w:p>
            <w:pPr>
              <w:pStyle w:val="TableContents"/>
              <w:spacing w:before="0" w:after="283"/>
              <w:rPr/>
            </w:pPr>
            <w:r>
              <w:rPr/>
              <w:t> </w:t>
            </w:r>
          </w:p>
        </w:tc>
      </w:tr>
      <w:tr>
        <w:trPr/>
        <w:tc>
          <w:tcPr>
            <w:tcW w:w="7075"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r>
        <w:rPr>
          <w:rFonts w:ascii="Times New Roman" w:hAnsi="Times New Roman"/>
          <w:sz w:val="20"/>
        </w:rPr>
        <w:t xml:space="preserve">Unaudited Condensed Consolidated Statement of Changes in Equity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35"/>
        <w:gridCol w:w="136"/>
        <w:gridCol w:w="150"/>
        <w:gridCol w:w="350"/>
        <w:gridCol w:w="60"/>
        <w:gridCol w:w="136"/>
        <w:gridCol w:w="60"/>
        <w:gridCol w:w="1105"/>
        <w:gridCol w:w="155"/>
        <w:gridCol w:w="80"/>
        <w:gridCol w:w="64"/>
        <w:gridCol w:w="1184"/>
        <w:gridCol w:w="155"/>
        <w:gridCol w:w="80"/>
        <w:gridCol w:w="90"/>
        <w:gridCol w:w="1077"/>
        <w:gridCol w:w="155"/>
        <w:gridCol w:w="60"/>
        <w:gridCol w:w="79"/>
        <w:gridCol w:w="1349"/>
        <w:gridCol w:w="80"/>
        <w:gridCol w:w="161"/>
        <w:gridCol w:w="60"/>
        <w:gridCol w:w="913"/>
        <w:gridCol w:w="165"/>
      </w:tblGrid>
      <w:tr>
        <w:trPr/>
        <w:tc>
          <w:tcPr>
            <w:tcW w:w="26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6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w:t>
              <w:br/>
              <w:t>capital</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contributed</w:t>
              <w:br/>
              <w:t>capital</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Currency</w:t>
              <w:br/>
              <w:t>translation</w:t>
              <w:br/>
              <w:t>reserve</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5" w:type="dxa"/>
            <w:tcBorders/>
            <w:shd w:fill="auto" w:val="clear"/>
            <w:vAlign w:val="bottom"/>
          </w:tcPr>
          <w:p>
            <w:pPr>
              <w:pStyle w:val="TableContents"/>
              <w:spacing w:before="0" w:after="283"/>
              <w:rPr/>
            </w:pPr>
            <w:r>
              <w:rPr/>
              <w:t> </w:t>
            </w:r>
          </w:p>
        </w:tc>
      </w:tr>
      <w:tr>
        <w:trPr/>
        <w:tc>
          <w:tcPr>
            <w:tcW w:w="2635"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2022</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(1,865,909</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(35,231</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16,784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1,761,860</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(122,496</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274,490</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274,490</w:t>
            </w:r>
          </w:p>
        </w:tc>
        <w:tc>
          <w:tcPr>
            <w:tcW w:w="165" w:type="dxa"/>
            <w:tcBorders/>
            <w:shd w:fill="auto" w:val="clear"/>
            <w:vAlign w:val="bottom"/>
          </w:tcPr>
          <w:p>
            <w:pPr>
              <w:pStyle w:val="TableContents"/>
              <w:spacing w:before="0" w:after="283"/>
              <w:rPr/>
            </w:pPr>
            <w:r>
              <w:rPr/>
              <w:t> </w:t>
            </w:r>
          </w:p>
        </w:tc>
      </w:tr>
      <w:tr>
        <w:trPr/>
        <w:tc>
          <w:tcPr>
            <w:tcW w:w="2635"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loss</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2,645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  </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2,645</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b/>
              </w:rPr>
            </w:pPr>
            <w:r>
              <w:rPr>
                <w:b/>
              </w:rPr>
              <w:t>2,645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b/>
              </w:rPr>
            </w:pPr>
            <w:r>
              <w:rPr>
                <w:b/>
              </w:rPr>
              <w:t>274,490</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b/>
              </w:rPr>
            </w:pPr>
            <w:r>
              <w:rPr>
                <w:b/>
              </w:rPr>
              <w:t>277,135</w:t>
            </w:r>
          </w:p>
        </w:tc>
        <w:tc>
          <w:tcPr>
            <w:tcW w:w="165" w:type="dxa"/>
            <w:tcBorders/>
            <w:shd w:fill="auto"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2022</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(1,865,909</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(35,231</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b/>
              </w:rPr>
            </w:pPr>
            <w:r>
              <w:rPr>
                <w:b/>
              </w:rPr>
              <w:t>19,429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b/>
              </w:rPr>
            </w:pPr>
            <w:r>
              <w:rPr>
                <w:b/>
              </w:rPr>
              <w:t>2,036,350</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b/>
              </w:rPr>
            </w:pPr>
            <w:r>
              <w:rPr>
                <w:b/>
              </w:rPr>
              <w:t>154,639</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(21,165</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(3,584,232</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12,265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3,726,775</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133,643</w:t>
            </w:r>
          </w:p>
        </w:tc>
        <w:tc>
          <w:tcPr>
            <w:tcW w:w="165" w:type="dxa"/>
            <w:tcBorders/>
            <w:shd w:fill="auto" w:val="clear"/>
            <w:vAlign w:val="bottom"/>
          </w:tcPr>
          <w:p>
            <w:pPr>
              <w:pStyle w:val="TableContents"/>
              <w:spacing w:before="0" w:after="283"/>
              <w:rPr/>
            </w:pPr>
            <w:r>
              <w:rPr/>
              <w:t> </w:t>
            </w:r>
          </w:p>
        </w:tc>
      </w:tr>
      <w:tr>
        <w:trPr/>
        <w:tc>
          <w:tcPr>
            <w:tcW w:w="2635"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pPr>
            <w:r>
              <w:rPr/>
              <w:t>8,977</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8,977</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(471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(471</w:t>
            </w:r>
          </w:p>
        </w:tc>
        <w:tc>
          <w:tcPr>
            <w:tcW w:w="165" w:type="dxa"/>
            <w:tcBorders/>
            <w:shd w:fill="auto"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comprehensive income</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b/>
              </w:rPr>
            </w:pPr>
            <w:r>
              <w:rPr>
                <w:b/>
              </w:rPr>
              <w:t>(471</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b/>
              </w:rPr>
            </w:pPr>
            <w:r>
              <w:rPr>
                <w:b/>
              </w:rPr>
              <w:t>8,977</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b/>
              </w:rPr>
            </w:pPr>
            <w:r>
              <w:rPr>
                <w:b/>
              </w:rPr>
              <w:t>8,506</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3</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(1,159</w:t>
            </w:r>
          </w:p>
        </w:tc>
        <w:tc>
          <w:tcPr>
            <w:tcW w:w="15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right"/>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(1,159</w:t>
            </w:r>
          </w:p>
        </w:tc>
        <w:tc>
          <w:tcPr>
            <w:tcW w:w="165" w:type="dxa"/>
            <w:tcBorders/>
            <w:shd w:fill="auto"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2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13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(21,165</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(3,585,391</w:t>
            </w:r>
          </w:p>
        </w:tc>
        <w:tc>
          <w:tcPr>
            <w:tcW w:w="155" w:type="dxa"/>
            <w:tcBorders/>
            <w:shd w:fill="CCEEFF" w:val="clear"/>
            <w:vAlign w:val="bottom"/>
          </w:tcPr>
          <w:p>
            <w:pPr>
              <w:pStyle w:val="TableContents"/>
              <w:spacing w:before="0" w:after="283"/>
              <w:rPr>
                <w:b/>
              </w:rPr>
            </w:pPr>
            <w:r>
              <w:rPr>
                <w:b/>
              </w:rPr>
              <w:t>) </w:t>
            </w:r>
          </w:p>
        </w:tc>
        <w:tc>
          <w:tcPr>
            <w:tcW w:w="8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b/>
              </w:rPr>
            </w:pPr>
            <w:r>
              <w:rPr>
                <w:b/>
              </w:rPr>
              <w:t>11,794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b/>
              </w:rPr>
            </w:pPr>
            <w:r>
              <w:rPr>
                <w:b/>
              </w:rPr>
              <w:t>3,735,752</w:t>
            </w:r>
          </w:p>
        </w:tc>
        <w:tc>
          <w:tcPr>
            <w:tcW w:w="80" w:type="dxa"/>
            <w:tcBorders>
              <w:right w:val="single" w:sz="2" w:space="0" w:color="000000"/>
            </w:tcBorders>
            <w:shd w:fill="CCEEFF" w:val="clear"/>
            <w:tcMar>
              <w:right w:w="28" w:type="dxa"/>
            </w:tcM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b/>
              </w:rPr>
            </w:pPr>
            <w:r>
              <w:rPr>
                <w:b/>
              </w:rPr>
              <w:t>140,990</w:t>
            </w:r>
          </w:p>
        </w:tc>
        <w:tc>
          <w:tcPr>
            <w:tcW w:w="165" w:type="dxa"/>
            <w:tcBorders/>
            <w:shd w:fill="CCEEFF" w:val="clear"/>
            <w:vAlign w:val="bottom"/>
          </w:tcPr>
          <w:p>
            <w:pPr>
              <w:pStyle w:val="TableContents"/>
              <w:spacing w:before="0" w:after="283"/>
              <w:rPr/>
            </w:pPr>
            <w:r>
              <w:rPr/>
              <w:t> </w:t>
            </w:r>
          </w:p>
        </w:tc>
      </w:tr>
      <w:tr>
        <w:trPr/>
        <w:tc>
          <w:tcPr>
            <w:tcW w:w="26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10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349" w:type="dxa"/>
            <w:tcBorders/>
            <w:shd w:fill="auto" w:val="clear"/>
            <w:vAlign w:val="bottom"/>
          </w:tcPr>
          <w:p>
            <w:pPr>
              <w:pStyle w:val="TableContents"/>
              <w:pBdr>
                <w:top w:val="single" w:sz="2" w:space="1" w:color="000000"/>
              </w:pBdr>
              <w:spacing w:before="0" w:after="0"/>
              <w:rPr/>
            </w:pPr>
            <w:r>
              <w:rPr/>
              <w:t> </w:t>
            </w:r>
          </w:p>
        </w:tc>
        <w:tc>
          <w:tcPr>
            <w:tcW w:w="80" w:type="dxa"/>
            <w:tcBorders>
              <w:right w:val="single" w:sz="2" w:space="0" w:color="000000"/>
            </w:tcBorders>
            <w:shd w:fill="auto" w:val="clear"/>
            <w:tcMar>
              <w:right w:w="28" w:type="dxa"/>
            </w:tcM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1 - Significant accounting policies and judgements </w:t>
      </w:r>
    </w:p>
    <w:p>
      <w:pPr>
        <w:pStyle w:val="TextBody"/>
        <w:spacing w:before="120" w:after="0"/>
        <w:jc w:val="left"/>
        <w:rPr>
          <w:rFonts w:ascii="Times New Roman" w:hAnsi="Times New Roman"/>
          <w:b/>
          <w:sz w:val="20"/>
        </w:rPr>
      </w:pPr>
      <w:r>
        <w:rPr>
          <w:rFonts w:ascii="Times New Roman" w:hAnsi="Times New Roman"/>
          <w:b/>
          <w:sz w:val="20"/>
        </w:rPr>
        <w:t xml:space="preserve">General information </w:t>
      </w:r>
    </w:p>
    <w:p>
      <w:pPr>
        <w:pStyle w:val="TextBody"/>
        <w:spacing w:before="120" w:after="0"/>
        <w:jc w:val="left"/>
        <w:rPr>
          <w:rFonts w:ascii="Times New Roman" w:hAnsi="Times New Roman"/>
          <w:sz w:val="20"/>
        </w:rPr>
      </w:pPr>
      <w:r>
        <w:rPr>
          <w:rFonts w:ascii="Times New Roman" w:hAnsi="Times New Roman"/>
          <w:sz w:val="20"/>
        </w:rPr>
        <w:t xml:space="preserve">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 Assar Gabrielssons väg 9, 41878 Göteborg, Sweden. </w:t>
      </w:r>
    </w:p>
    <w:p>
      <w:pPr>
        <w:pStyle w:val="TextBody"/>
        <w:spacing w:before="360" w:after="0"/>
        <w:jc w:val="left"/>
        <w:rPr>
          <w:rFonts w:ascii="Times New Roman" w:hAnsi="Times New Roman"/>
          <w:b/>
          <w:sz w:val="20"/>
        </w:rPr>
      </w:pPr>
      <w:r>
        <w:rPr>
          <w:rFonts w:ascii="Times New Roman" w:hAnsi="Times New Roman"/>
          <w:b/>
          <w:sz w:val="20"/>
        </w:rPr>
        <w:t xml:space="preserve">Merger with Gores Guggenheim, Inc. </w:t>
      </w:r>
    </w:p>
    <w:p>
      <w:pPr>
        <w:pStyle w:val="TextBody"/>
        <w:spacing w:before="120" w:after="0"/>
        <w:jc w:val="left"/>
        <w:rPr>
          <w:rFonts w:ascii="Times New Roman" w:hAnsi="Times New Roman"/>
          <w:sz w:val="20"/>
        </w:rPr>
      </w:pPr>
      <w:r>
        <w:rPr>
          <w:rFonts w:ascii="Times New Roman" w:hAnsi="Times New Roman"/>
          <w:sz w:val="20"/>
        </w:rPr>
        <w:t xml:space="preserve">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 </w:t>
      </w:r>
    </w:p>
    <w:p>
      <w:pPr>
        <w:pStyle w:val="TextBody"/>
        <w:spacing w:before="240" w:after="0"/>
        <w:jc w:val="left"/>
        <w:rPr>
          <w:rFonts w:ascii="Times New Roman" w:hAnsi="Times New Roman"/>
          <w:sz w:val="20"/>
        </w:rPr>
      </w:pPr>
      <w:r>
        <w:rPr>
          <w:rFonts w:ascii="Times New Roman" w:hAnsi="Times New Roman"/>
          <w:sz w:val="20"/>
        </w:rPr>
        <w:t xml:space="preserve">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 </w:t>
      </w:r>
    </w:p>
    <w:p>
      <w:pPr>
        <w:pStyle w:val="TextBody"/>
        <w:spacing w:before="240" w:after="0"/>
        <w:jc w:val="left"/>
        <w:rPr>
          <w:rFonts w:ascii="Times New Roman" w:hAnsi="Times New Roman"/>
          <w:sz w:val="20"/>
        </w:rPr>
      </w:pPr>
      <w:r>
        <w:rPr>
          <w:rFonts w:ascii="Times New Roman" w:hAnsi="Times New Roman"/>
          <w:sz w:val="20"/>
        </w:rPr>
        <w:t xml:space="preserve">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Convertible Notes of the Former Parent outstanding immediately prior to the Closing were automatically converted into 4,306,466 Class A Shares in the Parent in the form of American depository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Former Parent was separated from Polestar Group and issued 294,877,349 Class A Shares in Parent in the form of American depository shares, 1,642,233,575 Class B Shares in the Parent in the form of American depository shares, and the right to receive an earn out of a variable number of additional Class A Shares and Class B Shares, depending on the daily volume weighted average price of Class A Shares in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units outstanding immediately prior to the Closing held by GGI Stockholders were automatically separated and the holder was deemed to hold one share of GGI Class A Common Stock and one-fifth of a GGI Public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Class A Common Stock issued and outstanding, other than those held in treasury, were exchanged for 63,734,797 Class A Shares in the Parent in the form of American depository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Class F Common Stock issued and outstanding, other than those held in treasury, were exchanged for 18,459,165 Class A Shares in the Parent in the form of American depository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1"/>
        <w:gridCol w:w="104"/>
        <w:gridCol w:w="9594"/>
      </w:tblGrid>
      <w:tr>
        <w:trPr/>
        <w:tc>
          <w:tcPr>
            <w:tcW w:w="420"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Common Stock held in treasury were canceled and extinguished without consideration;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Public Warrants issued and outstanding immediately prior to the Closing were exchanged for 15,999,965 Class C-1 Shares in the Parent in the form of American Depository shares with effectively the same terms as the GGI Public Warrants and are exercisable for Class A Shares in the Parent;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Private Warrants issued and outstanding immediately prior to the Closing were exchanged for 9,000,000 Class C-2 Shares in the Parent in the form of American depository shares with effectively the same terms as the GGI Private Warrants and are exercisable for Class A Shares in the Parent;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PIPE Subscription Agreements, third-party investors purchased 25,423,445 Class A Shares in Parent in the form of American depository shares and Volvo Cars purchased 1,117,390 Class A Shares in Parent in the form of American Depository shares, for a total of 26,540,835 Class A Shares in Parent in the form of American depository shares for an aggregate total of $250,000;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Volvo Cars Preference Subscription Agreement, Volvo Cars purchased 58,882,610 Preference Shares in the Parent for an aggregate total of $588,826 which automatically converted to Class A Shares in the Parent in the form of American depository shares thereafter. </w:t>
            </w:r>
          </w:p>
        </w:tc>
      </w:tr>
    </w:tbl>
    <w:p>
      <w:pPr>
        <w:pStyle w:val="TextBody"/>
        <w:spacing w:before="240" w:after="0"/>
        <w:jc w:val="left"/>
        <w:rPr>
          <w:rFonts w:ascii="Times New Roman" w:hAnsi="Times New Roman"/>
          <w:sz w:val="20"/>
        </w:rPr>
      </w:pPr>
      <w:r>
        <w:rPr>
          <w:rFonts w:ascii="Times New Roman" w:hAnsi="Times New Roman"/>
          <w:sz w:val="20"/>
        </w:rPr>
        <w:t xml:space="preserve">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had been recognized by GGI and deducted from the gross proceeds raised. The merger was accounted for as a reverse recapitalization,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in accordance with the relevant International Financial Reporting Standards (IFRS). For more information on the accounting impacts at Closing, refer to Note 16 - Reverse Recapitalization in the Consolidated Financial Statements for Polestar Automotive Holding UK PLC, as of December 31, 2022 and 2021, and for the three years ended December 31, 2022 that were included in the Form 20-F filed with the SEC on April 14, 2023. Refer to </w:t>
      </w:r>
      <w:r>
        <w:rPr>
          <w:rFonts w:ascii="Times New Roman" w:hAnsi="Times New Roman"/>
          <w:i/>
          <w:sz w:val="20"/>
        </w:rPr>
        <w:t>Note 8 - Reverse recapitalization</w:t>
      </w:r>
      <w:r>
        <w:rPr>
          <w:rFonts w:ascii="Times New Roman" w:hAnsi="Times New Roman"/>
          <w:sz w:val="20"/>
        </w:rPr>
        <w:t xml:space="preserve"> herein for information on the current period impacts of certain financial instruments recorded at Closing. </w:t>
      </w:r>
    </w:p>
    <w:p>
      <w:pPr>
        <w:pStyle w:val="TextBody"/>
        <w:spacing w:before="240" w:after="0"/>
        <w:jc w:val="left"/>
        <w:rPr>
          <w:rFonts w:ascii="Times New Roman" w:hAnsi="Times New Roman"/>
          <w:sz w:val="20"/>
        </w:rPr>
      </w:pPr>
      <w:r>
        <w:rPr>
          <w:rFonts w:ascii="Times New Roman" w:hAnsi="Times New Roman"/>
          <w:sz w:val="20"/>
        </w:rPr>
        <w:t xml:space="preserve">Immediately following the closing of the transaction, the Parent changed its name to Polestar Automotive Holding UK PLC and began trading on the National Association of Securities Dealers Automated Quotations (Nasdaq) under the ticker symbol PSNY. </w:t>
      </w:r>
    </w:p>
    <w:p>
      <w:pPr>
        <w:pStyle w:val="TextBody"/>
        <w:spacing w:before="240" w:after="0"/>
        <w:jc w:val="left"/>
        <w:rPr>
          <w:rFonts w:ascii="Times New Roman" w:hAnsi="Times New Roman"/>
          <w:sz w:val="20"/>
        </w:rPr>
      </w:pPr>
      <w:r>
        <w:rPr>
          <w:rFonts w:ascii="Times New Roman" w:hAnsi="Times New Roman"/>
          <w:sz w:val="20"/>
        </w:rPr>
        <w:t xml:space="preserve">As of March 31, 2023, the Former Parent owns 88.2% of the Group. The remaining 11.8% is owned by external investors. </w:t>
      </w:r>
    </w:p>
    <w:p>
      <w:pPr>
        <w:pStyle w:val="TextBody"/>
        <w:spacing w:before="360" w:after="0"/>
        <w:jc w:val="left"/>
        <w:rPr>
          <w:rFonts w:ascii="Times New Roman" w:hAnsi="Times New Roman"/>
          <w:b/>
          <w:sz w:val="20"/>
        </w:rPr>
      </w:pPr>
      <w:r>
        <w:rPr>
          <w:rFonts w:ascii="Times New Roman" w:hAnsi="Times New Roman"/>
          <w:b/>
          <w:sz w:val="20"/>
        </w:rPr>
        <w:t xml:space="preserve">Basis of preparation </w:t>
      </w:r>
    </w:p>
    <w:p>
      <w:pPr>
        <w:pStyle w:val="TextBody"/>
        <w:spacing w:before="120" w:after="0"/>
        <w:jc w:val="left"/>
        <w:rPr>
          <w:rFonts w:ascii="Times New Roman" w:hAnsi="Times New Roman"/>
          <w:sz w:val="20"/>
        </w:rPr>
      </w:pPr>
      <w:r>
        <w:rPr>
          <w:rFonts w:ascii="Times New Roman" w:hAnsi="Times New Roman"/>
          <w:sz w:val="20"/>
        </w:rPr>
        <w:t xml:space="preserve">The Unaudited Condensed Consolidated Financial Statements in this interim report of Polestar Group are prepared in accordance with International Accounting Standards (IAS) 34, </w:t>
      </w:r>
      <w:r>
        <w:rPr>
          <w:rFonts w:ascii="Times New Roman" w:hAnsi="Times New Roman"/>
          <w:i/>
          <w:sz w:val="20"/>
        </w:rPr>
        <w:t>Interim Financial Reporting</w:t>
      </w:r>
      <w:r>
        <w:rPr>
          <w:rFonts w:ascii="Times New Roman" w:hAnsi="Times New Roman"/>
          <w:sz w:val="20"/>
        </w:rPr>
        <w:t xml:space="preserve"> (IAS 34), as adopted by the International Accounting Standards Board (IASB). The Unaudited Condensed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 </w:t>
      </w:r>
    </w:p>
    <w:p>
      <w:pPr>
        <w:pStyle w:val="TextBody"/>
        <w:spacing w:before="240" w:after="0"/>
        <w:jc w:val="left"/>
        <w:rPr>
          <w:rFonts w:ascii="Times New Roman" w:hAnsi="Times New Roman"/>
          <w:sz w:val="20"/>
        </w:rPr>
      </w:pPr>
      <w:r>
        <w:rPr>
          <w:rFonts w:ascii="Times New Roman" w:hAnsi="Times New Roman"/>
          <w:sz w:val="20"/>
        </w:rPr>
        <w:t xml:space="preserve">This interim report is prepared in the presentation currency, U.S. Dollar (USD). All amounts are stated in thousands of USD (TUSD), unless otherwise stated. </w:t>
      </w:r>
    </w:p>
    <w:p>
      <w:pPr>
        <w:pStyle w:val="TextBody"/>
        <w:spacing w:before="240" w:after="0"/>
        <w:jc w:val="left"/>
        <w:rPr>
          <w:rFonts w:ascii="Times New Roman" w:hAnsi="Times New Roman"/>
          <w:sz w:val="20"/>
        </w:rPr>
      </w:pPr>
      <w:r>
        <w:rPr>
          <w:rFonts w:ascii="Times New Roman" w:hAnsi="Times New Roman"/>
          <w:sz w:val="20"/>
        </w:rPr>
        <w:t xml:space="preserve">Periods discussed prior to June 23, 2022 represent the operations of Polestar Automotive Holding Limited and its consolidated subsidiaries. </w:t>
      </w:r>
    </w:p>
    <w:p>
      <w:pPr>
        <w:pStyle w:val="TextBody"/>
        <w:spacing w:before="360" w:after="0"/>
        <w:jc w:val="left"/>
        <w:rPr>
          <w:rFonts w:ascii="Times New Roman" w:hAnsi="Times New Roman"/>
          <w:b/>
          <w:sz w:val="20"/>
        </w:rPr>
      </w:pPr>
      <w:r>
        <w:rPr>
          <w:rFonts w:ascii="Times New Roman" w:hAnsi="Times New Roman"/>
          <w:b/>
          <w:sz w:val="20"/>
        </w:rPr>
        <w:t xml:space="preserve">Going concern </w:t>
      </w:r>
    </w:p>
    <w:p>
      <w:pPr>
        <w:pStyle w:val="TextBody"/>
        <w:spacing w:before="120" w:after="0"/>
        <w:jc w:val="left"/>
        <w:rPr>
          <w:rFonts w:ascii="Times New Roman" w:hAnsi="Times New Roman"/>
          <w:sz w:val="20"/>
        </w:rPr>
      </w:pPr>
      <w:r>
        <w:rPr>
          <w:rFonts w:ascii="Times New Roman" w:hAnsi="Times New Roman"/>
          <w:sz w:val="20"/>
        </w:rPr>
        <w:t xml:space="preserve">Polestar Groups Unaudited Condensed Consolidated Financial Statements have been prepared on a basis that assumes Polestar Group will continue as a going concern and the ordinary course of business will continue in alignment with Managements 2023-2027 business plan. </w:t>
      </w:r>
    </w:p>
    <w:p>
      <w:pPr>
        <w:pStyle w:val="TextBody"/>
        <w:spacing w:before="240" w:after="0"/>
        <w:jc w:val="left"/>
        <w:rPr>
          <w:rFonts w:ascii="Times New Roman" w:hAnsi="Times New Roman"/>
          <w:sz w:val="20"/>
        </w:rPr>
      </w:pPr>
      <w:r>
        <w:rPr>
          <w:rFonts w:ascii="Times New Roman" w:hAnsi="Times New Roman"/>
          <w:sz w:val="20"/>
        </w:rPr>
        <w:t xml:space="preserve">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 </w:t>
      </w:r>
    </w:p>
    <w:p>
      <w:pPr>
        <w:pStyle w:val="TextBody"/>
        <w:spacing w:before="240" w:after="0"/>
        <w:jc w:val="left"/>
        <w:rPr>
          <w:rFonts w:ascii="Times New Roman" w:hAnsi="Times New Roman"/>
          <w:sz w:val="20"/>
        </w:rPr>
      </w:pPr>
      <w:r>
        <w:rPr>
          <w:rFonts w:ascii="Times New Roman" w:hAnsi="Times New Roman"/>
          <w:sz w:val="20"/>
        </w:rPr>
        <w:t xml:space="preserve">Historically, Polestar Group has financed its operations primarily through short-term working capital loan arrangements with credit institutions (i.e., 12 months or less), contributions from shareholders, credit facilities from related parties, and extended trade credit from related parties. Since inception, Polestar Group has generated recurring net losses and negative operating and investing cash flows. Net losses for the three months ended March 31, 2023 and 2022 amounted to $8,977 and $274,490, respectively. Negative operating and investing cash flows for the three months ended March 31, 2023 and 2022 amounted to $414,422 and $256,416,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 </w:t>
      </w:r>
    </w:p>
    <w:p>
      <w:pPr>
        <w:pStyle w:val="TextBody"/>
        <w:spacing w:before="240" w:after="0"/>
        <w:jc w:val="left"/>
        <w:rPr>
          <w:rFonts w:ascii="Times New Roman" w:hAnsi="Times New Roman"/>
          <w:sz w:val="20"/>
        </w:rPr>
      </w:pPr>
      <w:r>
        <w:rPr>
          <w:rFonts w:ascii="Times New Roman" w:hAnsi="Times New Roman"/>
          <w:sz w:val="20"/>
        </w:rPr>
        <w:t xml:space="preserve">Managements 2023-2027 business plan indicates that Polestar Group depends on additional financing that is expected to be funded via a combination of new short-term working capital loan arrangements, long-term loan arrangements, credit facilities from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 </w:t>
      </w:r>
    </w:p>
    <w:p>
      <w:pPr>
        <w:pStyle w:val="TextBody"/>
        <w:spacing w:before="240" w:after="0"/>
        <w:jc w:val="left"/>
        <w:rPr>
          <w:rFonts w:ascii="Times New Roman" w:hAnsi="Times New Roman"/>
          <w:sz w:val="20"/>
        </w:rPr>
      </w:pPr>
      <w:r>
        <w:rPr>
          <w:rFonts w:ascii="Times New Roman" w:hAnsi="Times New Roman"/>
          <w:sz w:val="20"/>
        </w:rPr>
        <w:t xml:space="preserve">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 </w:t>
      </w:r>
    </w:p>
    <w:p>
      <w:pPr>
        <w:pStyle w:val="TextBody"/>
        <w:spacing w:before="360" w:after="0"/>
        <w:jc w:val="left"/>
        <w:rPr>
          <w:rFonts w:ascii="Times New Roman" w:hAnsi="Times New Roman"/>
          <w:b/>
          <w:sz w:val="20"/>
        </w:rPr>
      </w:pPr>
      <w:r>
        <w:rPr>
          <w:rFonts w:ascii="Times New Roman" w:hAnsi="Times New Roman"/>
          <w:b/>
          <w:sz w:val="20"/>
        </w:rPr>
        <w:t xml:space="preserve">Adoption of new and revised standards </w:t>
      </w:r>
    </w:p>
    <w:p>
      <w:pPr>
        <w:pStyle w:val="TextBody"/>
        <w:spacing w:before="120" w:after="0"/>
        <w:jc w:val="left"/>
        <w:rPr>
          <w:rFonts w:ascii="Times New Roman" w:hAnsi="Times New Roman"/>
          <w:sz w:val="20"/>
        </w:rPr>
      </w:pPr>
      <w:r>
        <w:rPr>
          <w:rFonts w:ascii="Times New Roman" w:hAnsi="Times New Roman"/>
          <w:sz w:val="20"/>
        </w:rPr>
        <w:t xml:space="preserve">Management has concluded the adoption of new and revised accounting pronouncements has not or will not have a material impact on the Groups Unaudited Condensed Consolidated Financial Statements. The adoptions of accounting pronouncements issued, but not effective, for the three months ended March 31, 2023 will not have a material impact to the Groups Unaudited Condensed Consolidated Financial Statements. For a detailed assessment of the Groups adoption of new and revised standards, refer to </w:t>
      </w:r>
      <w:r>
        <w:rPr>
          <w:rFonts w:ascii="Times New Roman" w:hAnsi="Times New Roman"/>
          <w:i/>
          <w:sz w:val="20"/>
        </w:rPr>
        <w:t>Note 1 - Significant accounting policies and judgements</w:t>
      </w:r>
      <w:r>
        <w:rPr>
          <w:rFonts w:ascii="Times New Roman" w:hAnsi="Times New Roman"/>
          <w:sz w:val="20"/>
        </w:rPr>
        <w:t xml:space="preserve"> of the Consolidated Financial Statements for Polestar Automotive Holding Limited, as of December 31, 2022 and 2021, and for the three years ended December 31, 2022 that were included in the Form 20-F filed with the United States Securities and Exchange Commission (SEC) on April 14,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Presentation, basis of consolidation, segment reporting, and foreign currency </w:t>
      </w:r>
    </w:p>
    <w:p>
      <w:pPr>
        <w:pStyle w:val="TextBody"/>
        <w:spacing w:before="120" w:after="0"/>
        <w:jc w:val="left"/>
        <w:rPr>
          <w:rFonts w:ascii="Times New Roman" w:hAnsi="Times New Roman"/>
          <w:sz w:val="20"/>
        </w:rPr>
      </w:pPr>
      <w:r>
        <w:rPr>
          <w:rFonts w:ascii="Times New Roman" w:hAnsi="Times New Roman"/>
          <w:sz w:val="20"/>
        </w:rPr>
        <w:t xml:space="preserve">For a detailed description of the Groups presentation, basis of consolidation, segment reporting, and foreign currency, including currency risk, refer to </w:t>
      </w:r>
      <w:r>
        <w:rPr>
          <w:rFonts w:ascii="Times New Roman" w:hAnsi="Times New Roman"/>
          <w:i/>
          <w:sz w:val="20"/>
        </w:rPr>
        <w:t>Note 1 - Significant accounting policies and judgements</w:t>
      </w:r>
      <w:r>
        <w:rPr>
          <w:rFonts w:ascii="Times New Roman" w:hAnsi="Times New Roman"/>
          <w:sz w:val="20"/>
        </w:rPr>
        <w:t xml:space="preserve"> and </w:t>
      </w:r>
      <w:r>
        <w:rPr>
          <w:rFonts w:ascii="Times New Roman" w:hAnsi="Times New Roman"/>
          <w:i/>
          <w:sz w:val="20"/>
        </w:rPr>
        <w:t>Note 2 - Financial risk management</w:t>
      </w:r>
      <w:r>
        <w:rPr>
          <w:rFonts w:ascii="Times New Roman" w:hAnsi="Times New Roman"/>
          <w:sz w:val="20"/>
        </w:rPr>
        <w:t xml:space="preserve"> of the Consolidated Financial Statements for Polestar Automotive Holding UK PLC, as of December 31, 2022 and 2021, and for the three years ended December 31, 2022, that were included in the Form 20-F filed with the SEC on April 14, 2023. There are no changes for the periods presented in these Unaudited Condensed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The following tables show the breakdown of the Groups revenue from external customers and non-current assets by geographical location where the Polestar company recognizing the revenue is located: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80"/>
        <w:gridCol w:w="192"/>
        <w:gridCol w:w="60"/>
        <w:gridCol w:w="800"/>
        <w:gridCol w:w="60"/>
        <w:gridCol w:w="192"/>
        <w:gridCol w:w="60"/>
        <w:gridCol w:w="800"/>
        <w:gridCol w:w="65"/>
      </w:tblGrid>
      <w:tr>
        <w:trPr/>
        <w:tc>
          <w:tcPr>
            <w:tcW w:w="578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8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7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rPr>
                <w:b/>
              </w:rPr>
            </w:pPr>
            <w:r>
              <w:rPr>
                <w:b/>
              </w:rPr>
              <w:t>Revenue</w:t>
            </w:r>
          </w:p>
        </w:tc>
        <w:tc>
          <w:tcPr>
            <w:tcW w:w="192"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UK</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157,172</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69,300</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USA</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109,212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79,838</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51,997</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42,568</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Sweden</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49,846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95,823</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Australia</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24,015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3,902</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Canada</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23,066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6,334</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Norway</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17,930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61,669</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Netherlands</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16,916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25,555</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Belgium</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15,949</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19,775</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Finland</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12,837</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7,342</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Denmark</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12,200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14,777</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Italy</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12,144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5780" w:type="dxa"/>
            <w:tcBorders/>
            <w:shd w:fill="CCEEFF" w:val="clear"/>
          </w:tcPr>
          <w:p>
            <w:pPr>
              <w:pStyle w:val="TableContents"/>
              <w:spacing w:before="0" w:after="0"/>
              <w:rPr>
                <w:rFonts w:ascii="Times New Roman" w:hAnsi="Times New Roman"/>
                <w:sz w:val="20"/>
              </w:rPr>
            </w:pPr>
            <w:r>
              <w:rPr>
                <w:rFonts w:ascii="Times New Roman" w:hAnsi="Times New Roman"/>
                <w:sz w:val="20"/>
              </w:rPr>
              <w:t>China</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7,652</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4,152</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tcPr>
          <w:p>
            <w:pPr>
              <w:pStyle w:val="TableContents"/>
              <w:spacing w:before="0" w:after="0"/>
              <w:rPr>
                <w:rFonts w:ascii="Times New Roman" w:hAnsi="Times New Roman"/>
                <w:sz w:val="20"/>
              </w:rPr>
            </w:pPr>
            <w:r>
              <w:rPr>
                <w:rFonts w:ascii="Times New Roman" w:hAnsi="Times New Roman"/>
                <w:sz w:val="20"/>
              </w:rPr>
              <w:t>Other regions1</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35,082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21,192</w:t>
            </w:r>
          </w:p>
        </w:tc>
        <w:tc>
          <w:tcPr>
            <w:tcW w:w="6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8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b/>
              </w:rPr>
            </w:pPr>
            <w:r>
              <w:rPr>
                <w:b/>
              </w:rPr>
              <w:t>546,018</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b/>
              </w:rPr>
            </w:pPr>
            <w:r>
              <w:rPr>
                <w:b/>
              </w:rPr>
              <w:t>452,227</w:t>
            </w:r>
          </w:p>
        </w:tc>
        <w:tc>
          <w:tcPr>
            <w:tcW w:w="65" w:type="dxa"/>
            <w:tcBorders/>
            <w:shd w:fill="CCEE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Other regions primarily consist of Austria, Switzerland and Ireland in 2023. Other regions primarily consist of Korea and Switzerland in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21"/>
        <w:gridCol w:w="243"/>
        <w:gridCol w:w="61"/>
        <w:gridCol w:w="1015"/>
        <w:gridCol w:w="60"/>
        <w:gridCol w:w="243"/>
        <w:gridCol w:w="85"/>
        <w:gridCol w:w="1419"/>
        <w:gridCol w:w="62"/>
      </w:tblGrid>
      <w:tr>
        <w:trPr/>
        <w:tc>
          <w:tcPr>
            <w:tcW w:w="482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821"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assets2</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10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1419"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4821" w:type="dxa"/>
            <w:tcBorders/>
            <w:shd w:fill="auto" w:val="clear"/>
          </w:tcPr>
          <w:p>
            <w:pPr>
              <w:pStyle w:val="TableContents"/>
              <w:spacing w:before="0" w:after="0"/>
              <w:rPr>
                <w:rFonts w:ascii="Times New Roman" w:hAnsi="Times New Roman"/>
                <w:sz w:val="20"/>
              </w:rPr>
            </w:pPr>
            <w:r>
              <w:rPr>
                <w:rFonts w:ascii="Times New Roman" w:hAnsi="Times New Roman"/>
                <w:sz w:val="20"/>
              </w:rPr>
              <w:t>Sweden</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1,220,866</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1,151,920</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sz w:val="20"/>
              </w:rPr>
            </w:pPr>
            <w:r>
              <w:rPr>
                <w:rFonts w:ascii="Times New Roman" w:hAnsi="Times New Roman"/>
                <w:sz w:val="20"/>
              </w:rPr>
              <w:t>China</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480,559</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474,301</w:t>
            </w:r>
          </w:p>
        </w:tc>
        <w:tc>
          <w:tcPr>
            <w:tcW w:w="62" w:type="dxa"/>
            <w:tcBorders/>
            <w:shd w:fill="CCEEFF" w:val="clear"/>
            <w:vAlign w:val="bottom"/>
          </w:tcPr>
          <w:p>
            <w:pPr>
              <w:pStyle w:val="TableContents"/>
              <w:spacing w:before="0" w:after="283"/>
              <w:rPr/>
            </w:pPr>
            <w:r>
              <w:rPr/>
              <w:t> </w:t>
            </w:r>
          </w:p>
        </w:tc>
      </w:tr>
      <w:tr>
        <w:trPr/>
        <w:tc>
          <w:tcPr>
            <w:tcW w:w="4821" w:type="dxa"/>
            <w:tcBorders/>
            <w:shd w:fill="auto" w:val="clear"/>
          </w:tcPr>
          <w:p>
            <w:pPr>
              <w:pStyle w:val="TableContents"/>
              <w:spacing w:before="0" w:after="0"/>
              <w:rPr>
                <w:rFonts w:ascii="Times New Roman" w:hAnsi="Times New Roman"/>
                <w:sz w:val="20"/>
              </w:rPr>
            </w:pPr>
            <w:r>
              <w:rPr>
                <w:rFonts w:ascii="Times New Roman" w:hAnsi="Times New Roman"/>
                <w:sz w:val="20"/>
              </w:rPr>
              <w:t>Germany</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43,013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37,752</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sz w:val="20"/>
              </w:rPr>
            </w:pPr>
            <w:r>
              <w:rPr>
                <w:rFonts w:ascii="Times New Roman" w:hAnsi="Times New Roman"/>
                <w:sz w:val="20"/>
              </w:rPr>
              <w:t>USA</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32,309</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36,747</w:t>
            </w:r>
          </w:p>
        </w:tc>
        <w:tc>
          <w:tcPr>
            <w:tcW w:w="62" w:type="dxa"/>
            <w:tcBorders/>
            <w:shd w:fill="CCEEFF" w:val="clear"/>
            <w:vAlign w:val="bottom"/>
          </w:tcPr>
          <w:p>
            <w:pPr>
              <w:pStyle w:val="TableContents"/>
              <w:spacing w:before="0" w:after="283"/>
              <w:rPr/>
            </w:pPr>
            <w:r>
              <w:rPr/>
              <w:t> </w:t>
            </w:r>
          </w:p>
        </w:tc>
      </w:tr>
      <w:tr>
        <w:trPr/>
        <w:tc>
          <w:tcPr>
            <w:tcW w:w="4821" w:type="dxa"/>
            <w:tcBorders/>
            <w:shd w:fill="auto" w:val="clear"/>
          </w:tcPr>
          <w:p>
            <w:pPr>
              <w:pStyle w:val="TableContents"/>
              <w:spacing w:before="0" w:after="0"/>
              <w:rPr>
                <w:rFonts w:ascii="Times New Roman" w:hAnsi="Times New Roman"/>
                <w:sz w:val="20"/>
              </w:rPr>
            </w:pPr>
            <w:r>
              <w:rPr>
                <w:rFonts w:ascii="Times New Roman" w:hAnsi="Times New Roman"/>
                <w:sz w:val="20"/>
              </w:rPr>
              <w:t>United Kingdom</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16,835</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22,777</w:t>
            </w:r>
          </w:p>
        </w:tc>
        <w:tc>
          <w:tcPr>
            <w:tcW w:w="62" w:type="dxa"/>
            <w:tcBorders/>
            <w:shd w:fill="auto" w:val="clear"/>
            <w:vAlign w:val="bottom"/>
          </w:tcPr>
          <w:p>
            <w:pPr>
              <w:pStyle w:val="TableContents"/>
              <w:spacing w:before="0" w:after="283"/>
              <w:rPr/>
            </w:pPr>
            <w:r>
              <w:rPr/>
              <w:t> </w:t>
            </w:r>
          </w:p>
        </w:tc>
      </w:tr>
      <w:tr>
        <w:trPr/>
        <w:tc>
          <w:tcPr>
            <w:tcW w:w="4821" w:type="dxa"/>
            <w:tcBorders/>
            <w:shd w:fill="CCEEFF" w:val="clear"/>
          </w:tcPr>
          <w:p>
            <w:pPr>
              <w:pStyle w:val="TableContents"/>
              <w:spacing w:before="0" w:after="0"/>
              <w:rPr>
                <w:rFonts w:ascii="Times New Roman" w:hAnsi="Times New Roman"/>
                <w:sz w:val="20"/>
              </w:rPr>
            </w:pPr>
            <w:r>
              <w:rPr>
                <w:rFonts w:ascii="Times New Roman" w:hAnsi="Times New Roman"/>
                <w:sz w:val="20"/>
              </w:rPr>
              <w:t>Other regions3</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29,060</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28,532</w:t>
            </w:r>
          </w:p>
        </w:tc>
        <w:tc>
          <w:tcPr>
            <w:tcW w:w="62" w:type="dxa"/>
            <w:tcBorders/>
            <w:shd w:fill="CCEEFF"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482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1,822,642</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b/>
              </w:rPr>
            </w:pPr>
            <w:r>
              <w:rPr>
                <w:b/>
              </w:rPr>
              <w:t>1,752,029</w:t>
            </w:r>
          </w:p>
        </w:tc>
        <w:tc>
          <w:tcPr>
            <w:tcW w:w="62" w:type="dxa"/>
            <w:tcBorders/>
            <w:shd w:fill="auto" w:val="clear"/>
            <w:vAlign w:val="bottom"/>
          </w:tcPr>
          <w:p>
            <w:pPr>
              <w:pStyle w:val="TableContents"/>
              <w:spacing w:before="0" w:after="283"/>
              <w:rPr/>
            </w:pPr>
            <w:r>
              <w:rPr/>
              <w:t> </w:t>
            </w:r>
          </w:p>
        </w:tc>
      </w:tr>
      <w:tr>
        <w:trPr/>
        <w:tc>
          <w:tcPr>
            <w:tcW w:w="4821"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2 - Non-current assets: excludes Deferred tax asset, and Other investments. </w:t>
      </w:r>
    </w:p>
    <w:p>
      <w:pPr>
        <w:pStyle w:val="TextBody"/>
        <w:spacing w:before="0" w:after="0"/>
        <w:jc w:val="left"/>
        <w:rPr>
          <w:rFonts w:ascii="Times New Roman" w:hAnsi="Times New Roman"/>
          <w:sz w:val="20"/>
        </w:rPr>
      </w:pPr>
      <w:r>
        <w:rPr>
          <w:rFonts w:ascii="Times New Roman" w:hAnsi="Times New Roman"/>
          <w:sz w:val="20"/>
        </w:rPr>
        <w:t xml:space="preserve">3 - Other regions primarily consist of Belgium, Switzerland, Netherlands and Australia in 2023 and 2022. </w:t>
      </w:r>
    </w:p>
    <w:p>
      <w:pPr>
        <w:pStyle w:val="TextBody"/>
        <w:spacing w:before="360" w:after="0"/>
        <w:jc w:val="left"/>
        <w:rPr>
          <w:rFonts w:ascii="Times New Roman" w:hAnsi="Times New Roman"/>
          <w:b/>
          <w:sz w:val="20"/>
        </w:rPr>
      </w:pPr>
      <w:r>
        <w:rPr>
          <w:rFonts w:ascii="Times New Roman" w:hAnsi="Times New Roman"/>
          <w:b/>
          <w:sz w:val="20"/>
        </w:rPr>
        <w:t xml:space="preserve">Accounting policies </w:t>
      </w:r>
    </w:p>
    <w:p>
      <w:pPr>
        <w:pStyle w:val="TextBody"/>
        <w:spacing w:before="120" w:after="0"/>
        <w:jc w:val="left"/>
        <w:rPr>
          <w:rFonts w:ascii="Times New Roman" w:hAnsi="Times New Roman"/>
          <w:sz w:val="20"/>
        </w:rPr>
      </w:pPr>
      <w:r>
        <w:rPr>
          <w:rFonts w:ascii="Times New Roman" w:hAnsi="Times New Roman"/>
          <w:sz w:val="20"/>
        </w:rPr>
        <w:t xml:space="preserve">Polestar Group continues to apply the same accounting policies, methods, estimates and judgements as described in </w:t>
      </w:r>
      <w:r>
        <w:rPr>
          <w:rFonts w:ascii="Times New Roman" w:hAnsi="Times New Roman"/>
          <w:i/>
          <w:sz w:val="20"/>
        </w:rPr>
        <w:t>Note 1 - Significant accounting policies and judgements</w:t>
      </w:r>
      <w:r>
        <w:rPr>
          <w:rFonts w:ascii="Times New Roman" w:hAnsi="Times New Roman"/>
          <w:sz w:val="20"/>
        </w:rPr>
        <w:t xml:space="preserve"> of the Consolidated Financial Statements for Polestar Automotive Holding UK PLC, as of December 31, 2022 and 2021, and for the three years ended December 31, 2022, that were included in the Form 20-F filed with the SEC on April 14, 2023. </w:t>
      </w:r>
    </w:p>
    <w:p>
      <w:pPr>
        <w:pStyle w:val="TextBody"/>
        <w:spacing w:before="360" w:after="0"/>
        <w:jc w:val="left"/>
        <w:rPr>
          <w:rFonts w:ascii="Times New Roman" w:hAnsi="Times New Roman"/>
          <w:b/>
          <w:sz w:val="20"/>
        </w:rPr>
      </w:pPr>
      <w:r>
        <w:rPr>
          <w:rFonts w:ascii="Times New Roman" w:hAnsi="Times New Roman"/>
          <w:b/>
          <w:sz w:val="20"/>
        </w:rPr>
        <w:t xml:space="preserve">Use of estimates and judgements </w:t>
      </w:r>
    </w:p>
    <w:p>
      <w:pPr>
        <w:pStyle w:val="TextBody"/>
        <w:spacing w:before="120" w:after="0"/>
        <w:jc w:val="left"/>
        <w:rPr>
          <w:rFonts w:ascii="Times New Roman" w:hAnsi="Times New Roman"/>
          <w:sz w:val="20"/>
        </w:rPr>
      </w:pPr>
      <w:r>
        <w:rPr>
          <w:rFonts w:ascii="Times New Roman" w:hAnsi="Times New Roman"/>
          <w:sz w:val="20"/>
        </w:rPr>
        <w:t xml:space="preserve">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continuous basis; changes in accounting estimates are recognized in the period in which the estimates are revised, and prospectively thereafter. Actual results could differ materially from those estimates using different assumptions or under different conditions. The Group did not have any events requiring the application of new critical estimates and judgements during the three months ended March 31, 2023. </w:t>
      </w:r>
    </w:p>
    <w:p>
      <w:pPr>
        <w:pStyle w:val="TextBody"/>
        <w:spacing w:before="360" w:after="0"/>
        <w:jc w:val="left"/>
        <w:rPr>
          <w:rFonts w:ascii="Times New Roman" w:hAnsi="Times New Roman"/>
          <w:b/>
          <w:sz w:val="20"/>
        </w:rPr>
      </w:pPr>
      <w:r>
        <w:rPr>
          <w:rFonts w:ascii="Times New Roman" w:hAnsi="Times New Roman"/>
          <w:b/>
          <w:sz w:val="20"/>
        </w:rPr>
        <w:t xml:space="preserve">Earnings per share </w:t>
      </w:r>
    </w:p>
    <w:p>
      <w:pPr>
        <w:pStyle w:val="TextBody"/>
        <w:spacing w:before="120" w:after="0"/>
        <w:jc w:val="left"/>
        <w:rPr>
          <w:rFonts w:ascii="Times New Roman" w:hAnsi="Times New Roman"/>
          <w:sz w:val="20"/>
        </w:rPr>
      </w:pPr>
      <w:r>
        <w:rPr>
          <w:rFonts w:ascii="Times New Roman" w:hAnsi="Times New Roman"/>
          <w:sz w:val="20"/>
        </w:rPr>
        <w:t xml:space="preserve">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 </w:t>
      </w:r>
    </w:p>
    <w:p>
      <w:pPr>
        <w:pStyle w:val="TextBody"/>
        <w:spacing w:before="240" w:after="0"/>
        <w:jc w:val="left"/>
        <w:rPr>
          <w:rFonts w:ascii="Times New Roman" w:hAnsi="Times New Roman"/>
          <w:sz w:val="20"/>
        </w:rPr>
      </w:pPr>
      <w:r>
        <w:rPr>
          <w:rFonts w:ascii="Times New Roman" w:hAnsi="Times New Roman"/>
          <w:sz w:val="20"/>
        </w:rPr>
        <w:t xml:space="preserve">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52"/>
        <w:gridCol w:w="120"/>
        <w:gridCol w:w="5067"/>
      </w:tblGrid>
      <w:tr>
        <w:trPr/>
        <w:tc>
          <w:tcPr>
            <w:tcW w:w="53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67" w:type="dxa"/>
            <w:tcBorders/>
            <w:shd w:fill="auto" w:val="clear"/>
            <w:vAlign w:val="center"/>
          </w:tcPr>
          <w:p>
            <w:pPr>
              <w:pStyle w:val="TableContents"/>
              <w:spacing w:before="0" w:after="283"/>
              <w:rPr>
                <w:sz w:val="4"/>
                <w:szCs w:val="4"/>
              </w:rPr>
            </w:pPr>
            <w:r>
              <w:rPr>
                <w:sz w:val="4"/>
                <w:szCs w:val="4"/>
              </w:rPr>
            </w:r>
          </w:p>
        </w:tc>
      </w:tr>
      <w:tr>
        <w:trPr/>
        <w:tc>
          <w:tcPr>
            <w:tcW w:w="5352" w:type="dxa"/>
            <w:tcBorders/>
            <w:shd w:fill="auto" w:val="clear"/>
            <w:vAlign w:val="bottom"/>
          </w:tcPr>
          <w:p>
            <w:pPr>
              <w:pStyle w:val="TableContents"/>
              <w:spacing w:before="0" w:after="283"/>
              <w:jc w:val="center"/>
              <w:rPr>
                <w:b/>
              </w:rPr>
            </w:pPr>
            <w:r>
              <w:rPr>
                <w:b/>
              </w:rPr>
              <w:t>POS Class</w:t>
            </w:r>
          </w:p>
        </w:tc>
        <w:tc>
          <w:tcPr>
            <w:tcW w:w="120" w:type="dxa"/>
            <w:tcBorders/>
            <w:shd w:fill="auto" w:val="clear"/>
            <w:vAlign w:val="bottom"/>
          </w:tcPr>
          <w:p>
            <w:pPr>
              <w:pStyle w:val="TableContents"/>
              <w:spacing w:before="0" w:after="283"/>
              <w:rPr/>
            </w:pPr>
            <w:r>
              <w:rPr/>
              <w:t>  </w:t>
            </w:r>
          </w:p>
        </w:tc>
        <w:tc>
          <w:tcPr>
            <w:tcW w:w="5067" w:type="dxa"/>
            <w:tcBorders/>
            <w:shd w:fill="auto" w:val="clear"/>
            <w:vAlign w:val="bottom"/>
          </w:tcPr>
          <w:p>
            <w:pPr>
              <w:pStyle w:val="TableContents"/>
              <w:spacing w:before="0" w:after="283"/>
              <w:jc w:val="center"/>
              <w:rPr>
                <w:b/>
              </w:rPr>
            </w:pPr>
            <w:r>
              <w:rPr>
                <w:b/>
              </w:rPr>
              <w:t>EPIS Denominator Adjustment Method</w:t>
            </w:r>
          </w:p>
        </w:tc>
      </w:tr>
      <w:tr>
        <w:trPr/>
        <w:tc>
          <w:tcPr>
            <w:tcW w:w="5352" w:type="dxa"/>
            <w:tcBorders/>
            <w:shd w:fill="auto" w:val="clear"/>
          </w:tcPr>
          <w:p>
            <w:pPr>
              <w:pStyle w:val="TableContents"/>
              <w:spacing w:before="0" w:after="283"/>
              <w:jc w:val="center"/>
              <w:rPr/>
            </w:pPr>
            <w:r>
              <w:rPr/>
              <w:t>Unvested equity-settled RSUs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Treasury share1</w:t>
            </w:r>
          </w:p>
        </w:tc>
      </w:tr>
      <w:tr>
        <w:trPr/>
        <w:tc>
          <w:tcPr>
            <w:tcW w:w="5352" w:type="dxa"/>
            <w:tcBorders/>
            <w:shd w:fill="auto" w:val="clear"/>
          </w:tcPr>
          <w:p>
            <w:pPr>
              <w:pStyle w:val="TableContents"/>
              <w:spacing w:before="0" w:after="283"/>
              <w:jc w:val="center"/>
              <w:rPr/>
            </w:pPr>
            <w:r>
              <w:rPr/>
              <w:t>Class C Shares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Treasury share</w:t>
            </w:r>
          </w:p>
        </w:tc>
      </w:tr>
      <w:tr>
        <w:trPr/>
        <w:tc>
          <w:tcPr>
            <w:tcW w:w="5352" w:type="dxa"/>
            <w:tcBorders/>
            <w:shd w:fill="auto" w:val="clear"/>
          </w:tcPr>
          <w:p>
            <w:pPr>
              <w:pStyle w:val="TableContents"/>
              <w:spacing w:before="0" w:after="283"/>
              <w:jc w:val="center"/>
              <w:rPr/>
            </w:pPr>
            <w:r>
              <w:rPr/>
              <w:t>Earn-out Rights and PSUs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The number of shares issuable if the reporting date were the end of the contingency period</w:t>
            </w:r>
          </w:p>
        </w:tc>
      </w:tr>
      <w:tr>
        <w:trPr/>
        <w:tc>
          <w:tcPr>
            <w:tcW w:w="5352" w:type="dxa"/>
            <w:tcBorders/>
            <w:shd w:fill="auto" w:val="clear"/>
          </w:tcPr>
          <w:p>
            <w:pPr>
              <w:pStyle w:val="TableContents"/>
              <w:spacing w:before="0" w:after="283"/>
              <w:jc w:val="center"/>
              <w:rPr/>
            </w:pPr>
            <w:r>
              <w:rPr/>
              <w:t>Convertible Notes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The number of shares issued assuming conversion occurred at the beginning of the reporting period</w:t>
            </w:r>
          </w:p>
        </w:tc>
      </w:tr>
      <w:tr>
        <w:trPr/>
        <w:tc>
          <w:tcPr>
            <w:tcW w:w="5352" w:type="dxa"/>
            <w:tcBorders/>
            <w:shd w:fill="auto" w:val="clear"/>
          </w:tcPr>
          <w:p>
            <w:pPr>
              <w:pStyle w:val="TableContents"/>
              <w:spacing w:before="0" w:after="283"/>
              <w:jc w:val="center"/>
              <w:rPr/>
            </w:pPr>
            <w:r>
              <w:rPr/>
              <w:t>Convertible Credit Facility with Volvo Cars</w:t>
            </w:r>
          </w:p>
        </w:tc>
        <w:tc>
          <w:tcPr>
            <w:tcW w:w="120" w:type="dxa"/>
            <w:tcBorders/>
            <w:shd w:fill="auto" w:val="clear"/>
            <w:vAlign w:val="bottom"/>
          </w:tcPr>
          <w:p>
            <w:pPr>
              <w:pStyle w:val="TableContents"/>
              <w:spacing w:before="0" w:after="283"/>
              <w:rPr/>
            </w:pPr>
            <w:r>
              <w:rPr/>
              <w:t>  </w:t>
            </w:r>
          </w:p>
        </w:tc>
        <w:tc>
          <w:tcPr>
            <w:tcW w:w="5067" w:type="dxa"/>
            <w:tcBorders/>
            <w:shd w:fill="auto" w:val="clear"/>
          </w:tcPr>
          <w:p>
            <w:pPr>
              <w:pStyle w:val="TableContents"/>
              <w:spacing w:before="0" w:after="283"/>
              <w:jc w:val="center"/>
              <w:rPr/>
            </w:pPr>
            <w:r>
              <w:rPr/>
              <w:t>If the instrument is converted, the number of shares issued on the date of the conversion</w:t>
            </w:r>
          </w:p>
        </w:tc>
      </w:tr>
    </w:tbl>
    <w:p>
      <w:pPr>
        <w:pStyle w:val="TextBody"/>
        <w:spacing w:before="240" w:after="0"/>
        <w:jc w:val="left"/>
        <w:rPr>
          <w:rFonts w:ascii="Times New Roman" w:hAnsi="Times New Roman"/>
          <w:sz w:val="20"/>
        </w:rPr>
      </w:pPr>
      <w:r>
        <w:rPr>
          <w:rFonts w:ascii="Times New Roman" w:hAnsi="Times New Roman"/>
          <w:sz w:val="20"/>
        </w:rPr>
        <w:t xml:space="preserve">1 - The treasury share method prescribed by IAS 33, Earnings Per Share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 </w:t>
      </w:r>
    </w:p>
    <w:p>
      <w:pPr>
        <w:pStyle w:val="TextBody"/>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spacing w:before="120" w:after="0"/>
        <w:jc w:val="left"/>
        <w:rPr>
          <w:rFonts w:ascii="Times New Roman" w:hAnsi="Times New Roman"/>
          <w:i/>
          <w:sz w:val="20"/>
        </w:rPr>
      </w:pPr>
      <w:r>
        <w:rPr>
          <w:rFonts w:ascii="Times New Roman" w:hAnsi="Times New Roman"/>
          <w:i/>
          <w:sz w:val="20"/>
        </w:rPr>
        <w:t xml:space="preserve">Valuation methodology for the fair value of the financial liability related to the Class C-2 Shares </w:t>
      </w:r>
    </w:p>
    <w:p>
      <w:pPr>
        <w:pStyle w:val="TextBody"/>
        <w:spacing w:before="120" w:after="0"/>
        <w:jc w:val="left"/>
        <w:rPr>
          <w:rFonts w:ascii="Times New Roman" w:hAnsi="Times New Roman"/>
          <w:sz w:val="20"/>
        </w:rPr>
      </w:pPr>
      <w:r>
        <w:rPr>
          <w:rFonts w:ascii="Times New Roman" w:hAnsi="Times New Roman"/>
          <w:sz w:val="20"/>
        </w:rPr>
        <w:t xml:space="preserve">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March 31, 2023, the fair value of the Class C-2 Shares was determined to equal $3,735 by leveraging the closing price of the Class C-1 Shares on the Nasdaq of $0.83 per share, an implied volatility of 123%, a risk-free rate of 3.65%, a dividend yield of 0%, and a 1,000 time-steps for the binomial lattice option pricing model. Refer to </w:t>
      </w:r>
      <w:r>
        <w:rPr>
          <w:rFonts w:ascii="Times New Roman" w:hAnsi="Times New Roman"/>
          <w:i/>
          <w:sz w:val="20"/>
        </w:rPr>
        <w:t>Note 8 - Reverse recapitalization</w:t>
      </w:r>
      <w:r>
        <w:rPr>
          <w:rFonts w:ascii="Times New Roman" w:hAnsi="Times New Roman"/>
          <w:sz w:val="20"/>
        </w:rPr>
        <w:t xml:space="preserve"> for more detail on the Class C-2 Shares. </w:t>
      </w:r>
    </w:p>
    <w:p>
      <w:pPr>
        <w:pStyle w:val="TextBody"/>
        <w:spacing w:before="360" w:after="0"/>
        <w:jc w:val="left"/>
        <w:rPr>
          <w:rFonts w:ascii="Times New Roman" w:hAnsi="Times New Roman"/>
          <w:i/>
          <w:sz w:val="20"/>
        </w:rPr>
      </w:pPr>
      <w:r>
        <w:rPr>
          <w:rFonts w:ascii="Times New Roman" w:hAnsi="Times New Roman"/>
          <w:i/>
          <w:sz w:val="20"/>
        </w:rPr>
        <w:t xml:space="preserve">Valuation methodology for the fair value of the financial liability related to the Former Parents contingent earn-out rights </w:t>
      </w:r>
    </w:p>
    <w:p>
      <w:pPr>
        <w:pStyle w:val="TextBody"/>
        <w:spacing w:before="120" w:after="0"/>
        <w:jc w:val="left"/>
        <w:rPr>
          <w:rFonts w:ascii="Times New Roman" w:hAnsi="Times New Roman"/>
          <w:sz w:val="20"/>
        </w:rPr>
      </w:pPr>
      <w:r>
        <w:rPr>
          <w:rFonts w:ascii="Times New Roman" w:hAnsi="Times New Roman"/>
          <w:sz w:val="20"/>
        </w:rPr>
        <w:t xml:space="preserve">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 out is determined using a Monte Carlo simulation that incorporates a term of 4.73 years, the five earn-out tranches, and the probability of the Class A Shares in ListCo reaching certain daily volume weighted average prices during the earn-out period resulting in the issuance of each tranche of Class A Shares and Class B Shares in ListCo to the Former Parent. As of March 31, 2023, the fair value of the earn-out was determined to equal $392,375 by leveraging an implied volatility of 80% and a risk-free rate of 3.6%. The implied volatility represents the most significant unobservable input utilized in this Level 3 valuation technique. The calculated fair value would increase (decrease) if the implied volatility were higher (lower). Refer to </w:t>
      </w:r>
      <w:r>
        <w:rPr>
          <w:rFonts w:ascii="Times New Roman" w:hAnsi="Times New Roman"/>
          <w:i/>
          <w:sz w:val="20"/>
        </w:rPr>
        <w:t>Note 8 - Reverse recapitalization</w:t>
      </w:r>
      <w:r>
        <w:rPr>
          <w:rFonts w:ascii="Times New Roman" w:hAnsi="Times New Roman"/>
          <w:sz w:val="20"/>
        </w:rPr>
        <w:t xml:space="preserve"> for more detail on the Former Parents earn-out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2 - Revenue </w:t>
      </w:r>
    </w:p>
    <w:p>
      <w:pPr>
        <w:pStyle w:val="TextBody"/>
        <w:spacing w:before="120" w:after="0"/>
        <w:jc w:val="left"/>
        <w:rPr>
          <w:rFonts w:ascii="Times New Roman" w:hAnsi="Times New Roman"/>
          <w:sz w:val="20"/>
        </w:rPr>
      </w:pPr>
      <w:r>
        <w:rPr>
          <w:rFonts w:ascii="Times New Roman" w:hAnsi="Times New Roman"/>
          <w:sz w:val="20"/>
        </w:rPr>
        <w:t xml:space="preserve">Polestar Group disaggregates revenue by major category based on the primary economic factors that may impact the nature, amount, timing, and uncertainty of revenue and cash flows from these customer contracts as seen in the table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72"/>
        <w:gridCol w:w="192"/>
        <w:gridCol w:w="60"/>
        <w:gridCol w:w="804"/>
        <w:gridCol w:w="60"/>
        <w:gridCol w:w="192"/>
        <w:gridCol w:w="60"/>
        <w:gridCol w:w="804"/>
        <w:gridCol w:w="65"/>
      </w:tblGrid>
      <w:tr>
        <w:trPr/>
        <w:tc>
          <w:tcPr>
            <w:tcW w:w="577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8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vehicles1</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529,732</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438,419</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6,754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4,529</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1,168</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4,206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4,874</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Other revenue</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5,326</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3,237</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7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546,018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452,227</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Revenue related to sale of vehicles are inclusive of extended and connected services recognized over time.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and 2022, other revenue primarily consisted of license revenue generated from sales-based royalties received from Volvo Cars on sales of parts and accessories for Polestar vehicles. </w:t>
      </w:r>
    </w:p>
    <w:p>
      <w:pPr>
        <w:pStyle w:val="TextBody"/>
        <w:spacing w:before="240" w:after="0"/>
        <w:jc w:val="left"/>
        <w:rPr>
          <w:rFonts w:ascii="Times New Roman" w:hAnsi="Times New Roman"/>
          <w:sz w:val="20"/>
        </w:rPr>
      </w:pPr>
      <w:r>
        <w:rPr>
          <w:rFonts w:ascii="Times New Roman" w:hAnsi="Times New Roman"/>
          <w:sz w:val="20"/>
        </w:rPr>
        <w:t xml:space="preserve">The Groups largest customer that is not a related party accounted for $115,426 (21.1%) of revenue for the three months ended March 31, 2023. For the three months ended March 31, 2022, Volvo Cars accounted for $56,721 (12.5%) of the Groups revenue. Refer to </w:t>
      </w:r>
      <w:r>
        <w:rPr>
          <w:rFonts w:ascii="Times New Roman" w:hAnsi="Times New Roman"/>
          <w:i/>
          <w:sz w:val="20"/>
        </w:rPr>
        <w:t>Note 11 - Related party transactions</w:t>
      </w:r>
      <w:r>
        <w:rPr>
          <w:rFonts w:ascii="Times New Roman" w:hAnsi="Times New Roman"/>
          <w:sz w:val="20"/>
        </w:rPr>
        <w:t xml:space="preserve"> for further details on revenues from related parties. </w:t>
      </w:r>
    </w:p>
    <w:p>
      <w:pPr>
        <w:pStyle w:val="TextBody"/>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86"/>
        <w:gridCol w:w="147"/>
        <w:gridCol w:w="75"/>
        <w:gridCol w:w="974"/>
        <w:gridCol w:w="155"/>
        <w:gridCol w:w="98"/>
        <w:gridCol w:w="78"/>
        <w:gridCol w:w="923"/>
        <w:gridCol w:w="155"/>
        <w:gridCol w:w="98"/>
        <w:gridCol w:w="84"/>
        <w:gridCol w:w="979"/>
        <w:gridCol w:w="154"/>
        <w:gridCol w:w="60"/>
        <w:gridCol w:w="80"/>
        <w:gridCol w:w="946"/>
        <w:gridCol w:w="176"/>
        <w:gridCol w:w="147"/>
        <w:gridCol w:w="60"/>
        <w:gridCol w:w="802"/>
        <w:gridCol w:w="162"/>
      </w:tblGrid>
      <w:tr>
        <w:trPr/>
        <w:tc>
          <w:tcPr>
            <w:tcW w:w="418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Sales</w:t>
              <w:br/>
              <w:t>generated</w:t>
              <w:br/>
              <w:t>obligation</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Deferred</w:t>
              <w:br/>
              <w:t>revenue -</w:t>
              <w:br/>
              <w:t>extended</w:t>
              <w:br/>
              <w:t>service</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Deferred</w:t>
              <w:br/>
              <w:t>revenue -</w:t>
              <w:br/>
              <w:t>connected</w:t>
              <w:br/>
              <w:t>service</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Deferred</w:t>
              <w:br/>
              <w:t>revenue -</w:t>
              <w:br/>
              <w:t>operating</w:t>
              <w:br/>
              <w:t>leases &amp;</w:t>
              <w:br/>
              <w:t>other</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2" w:type="dxa"/>
            <w:tcBorders/>
            <w:shd w:fill="auto" w:val="clear"/>
            <w:vAlign w:val="bottom"/>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13,069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40,792</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30,093</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12,515</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96,469</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tcPr>
          <w:p>
            <w:pPr>
              <w:pStyle w:val="TableContents"/>
              <w:spacing w:before="0" w:after="0"/>
              <w:rPr>
                <w:rFonts w:ascii="Times New Roman" w:hAnsi="Times New Roman"/>
                <w:sz w:val="20"/>
              </w:rPr>
            </w:pPr>
            <w:r>
              <w:rPr>
                <w:rFonts w:ascii="Times New Roman" w:hAnsi="Times New Roman"/>
                <w:sz w:val="20"/>
              </w:rPr>
              <w:t>Provided for during the period</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19,054</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7,141</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4,061</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pPr>
            <w:r>
              <w:rPr/>
              <w:t>6,920</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37,176</w:t>
            </w:r>
          </w:p>
        </w:tc>
        <w:tc>
          <w:tcPr>
            <w:tcW w:w="162" w:type="dxa"/>
            <w:tcBorders/>
            <w:shd w:fill="auto" w:val="clear"/>
            <w:vAlign w:val="bottom"/>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Settled during the period</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(12,959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  </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(12,959</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tcPr>
          <w:p>
            <w:pPr>
              <w:pStyle w:val="TableContents"/>
              <w:spacing w:before="0" w:after="0"/>
              <w:rPr>
                <w:rFonts w:ascii="Times New Roman" w:hAnsi="Times New Roman"/>
                <w:sz w:val="20"/>
              </w:rPr>
            </w:pPr>
            <w:r>
              <w:rPr>
                <w:rFonts w:ascii="Times New Roman" w:hAnsi="Times New Roman"/>
                <w:sz w:val="20"/>
              </w:rPr>
              <w:t>Released during the period</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(4,812</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(1,174</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pPr>
            <w:r>
              <w:rPr/>
              <w:t>(4,578</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(10,564</w:t>
            </w:r>
          </w:p>
        </w:tc>
        <w:tc>
          <w:tcPr>
            <w:tcW w:w="162" w:type="dxa"/>
            <w:tcBorders/>
            <w:shd w:fill="auto" w:val="clear"/>
            <w:vAlign w:val="bottom"/>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169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181</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202</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548</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79"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18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b/>
              </w:rPr>
            </w:pPr>
            <w:r>
              <w:rPr>
                <w:b/>
              </w:rPr>
              <w:t>19,333</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b/>
              </w:rPr>
            </w:pPr>
            <w:r>
              <w:rPr>
                <w:b/>
              </w:rPr>
              <w:t>43,117</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b/>
              </w:rPr>
            </w:pPr>
            <w:r>
              <w:rPr>
                <w:b/>
              </w:rPr>
              <w:t>33,161</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b/>
              </w:rPr>
            </w:pPr>
            <w:r>
              <w:rPr>
                <w:b/>
              </w:rPr>
              <w:t>15,059</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b/>
              </w:rPr>
            </w:pPr>
            <w:r>
              <w:rPr>
                <w:b/>
              </w:rPr>
              <w:t>110,670</w:t>
            </w:r>
          </w:p>
        </w:tc>
        <w:tc>
          <w:tcPr>
            <w:tcW w:w="162" w:type="dxa"/>
            <w:tcBorders/>
            <w:shd w:fill="auto" w:val="clear"/>
            <w:vAlign w:val="bottom"/>
          </w:tcPr>
          <w:p>
            <w:pPr>
              <w:pStyle w:val="TableContents"/>
              <w:spacing w:before="0" w:after="283"/>
              <w:rPr/>
            </w:pPr>
            <w:r>
              <w:rPr/>
              <w:t> </w:t>
            </w:r>
          </w:p>
        </w:tc>
      </w:tr>
      <w:tr>
        <w:trPr/>
        <w:tc>
          <w:tcPr>
            <w:tcW w:w="418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79"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4186" w:type="dxa"/>
            <w:tcBorders/>
            <w:shd w:fill="CCEEFF" w:val="clear"/>
          </w:tcPr>
          <w:p>
            <w:pPr>
              <w:pStyle w:val="TableContents"/>
              <w:spacing w:before="0" w:after="0"/>
              <w:rPr>
                <w:rFonts w:ascii="Times New Roman" w:hAnsi="Times New Roman"/>
                <w:sz w:val="20"/>
              </w:rPr>
            </w:pPr>
            <w:r>
              <w:rPr>
                <w:rFonts w:ascii="Times New Roman" w:hAnsi="Times New Roman"/>
                <w:sz w:val="20"/>
              </w:rPr>
              <w:t>of which current</w:t>
            </w:r>
          </w:p>
        </w:tc>
        <w:tc>
          <w:tcPr>
            <w:tcW w:w="14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19,333</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20,611</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9" w:type="dxa"/>
            <w:tcBorders/>
            <w:shd w:fill="CCEEFF" w:val="clear"/>
            <w:vAlign w:val="bottom"/>
          </w:tcPr>
          <w:p>
            <w:pPr>
              <w:pStyle w:val="TableContents"/>
              <w:spacing w:before="0" w:after="283"/>
              <w:jc w:val="right"/>
              <w:rPr/>
            </w:pPr>
            <w:r>
              <w:rPr/>
              <w:t>4,883</w:t>
            </w:r>
          </w:p>
        </w:tc>
        <w:tc>
          <w:tcPr>
            <w:tcW w:w="1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pPr>
            <w:r>
              <w:rPr/>
              <w:t>13,115</w:t>
            </w:r>
          </w:p>
        </w:tc>
        <w:tc>
          <w:tcPr>
            <w:tcW w:w="176" w:type="dxa"/>
            <w:tcBorders>
              <w:right w:val="single" w:sz="2" w:space="0" w:color="000000"/>
            </w:tcBorders>
            <w:shd w:fill="CCEEFF" w:val="clear"/>
            <w:tcMar>
              <w:right w:w="28" w:type="dxa"/>
            </w:tcM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57,942</w:t>
            </w:r>
          </w:p>
        </w:tc>
        <w:tc>
          <w:tcPr>
            <w:tcW w:w="162" w:type="dxa"/>
            <w:tcBorders/>
            <w:shd w:fill="CCEEFF" w:val="clear"/>
            <w:vAlign w:val="bottom"/>
          </w:tcPr>
          <w:p>
            <w:pPr>
              <w:pStyle w:val="TableContents"/>
              <w:spacing w:before="0" w:after="283"/>
              <w:rPr/>
            </w:pPr>
            <w:r>
              <w:rPr/>
              <w:t> </w:t>
            </w:r>
          </w:p>
        </w:tc>
      </w:tr>
      <w:tr>
        <w:trPr/>
        <w:tc>
          <w:tcPr>
            <w:tcW w:w="4186" w:type="dxa"/>
            <w:tcBorders/>
            <w:shd w:fill="auto" w:val="clear"/>
          </w:tcPr>
          <w:p>
            <w:pPr>
              <w:pStyle w:val="TableContents"/>
              <w:spacing w:before="0" w:after="0"/>
              <w:rPr>
                <w:rFonts w:ascii="Times New Roman" w:hAnsi="Times New Roman"/>
                <w:sz w:val="20"/>
              </w:rPr>
            </w:pPr>
            <w:r>
              <w:rPr>
                <w:rFonts w:ascii="Times New Roman" w:hAnsi="Times New Roman"/>
                <w:sz w:val="20"/>
              </w:rPr>
              <w:t>of which non-current</w:t>
            </w:r>
          </w:p>
        </w:tc>
        <w:tc>
          <w:tcPr>
            <w:tcW w:w="14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22,506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pPr>
            <w:r>
              <w:rPr/>
              <w:t>28,278</w:t>
            </w:r>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jc w:val="right"/>
              <w:rPr/>
            </w:pPr>
            <w:r>
              <w:rPr/>
              <w:t>1,944</w:t>
            </w:r>
          </w:p>
        </w:tc>
        <w:tc>
          <w:tcPr>
            <w:tcW w:w="176" w:type="dxa"/>
            <w:tcBorders>
              <w:right w:val="single" w:sz="2" w:space="0" w:color="000000"/>
            </w:tcBorders>
            <w:shd w:fill="auto" w:val="clear"/>
            <w:tcMar>
              <w:right w:w="28" w:type="dxa"/>
            </w:tcM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52,728</w:t>
            </w:r>
          </w:p>
        </w:tc>
        <w:tc>
          <w:tcPr>
            <w:tcW w:w="162"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March 31, 2023, contract liabilities amounted to $110,670, of which $19,333 was related to variable consideration payable to fleet customers in the form of volume related bonuses and $91,337 was related to remaining performance obligations associated with sales of vehicles and vehicle leasing revenue. </w:t>
      </w:r>
    </w:p>
    <w:p>
      <w:pPr>
        <w:pStyle w:val="TextBody"/>
        <w:spacing w:before="360" w:after="0"/>
        <w:jc w:val="left"/>
        <w:rPr>
          <w:rFonts w:ascii="Times New Roman" w:hAnsi="Times New Roman"/>
          <w:b/>
          <w:sz w:val="20"/>
        </w:rPr>
      </w:pPr>
      <w:r>
        <w:rPr>
          <w:rFonts w:ascii="Times New Roman" w:hAnsi="Times New Roman"/>
          <w:b/>
          <w:sz w:val="20"/>
        </w:rPr>
        <w:t xml:space="preserve">Note 3 - Share-based payment </w:t>
      </w:r>
    </w:p>
    <w:p>
      <w:pPr>
        <w:pStyle w:val="TextBody"/>
        <w:spacing w:before="120" w:after="0"/>
        <w:jc w:val="left"/>
        <w:rPr>
          <w:rFonts w:ascii="Times New Roman" w:hAnsi="Times New Roman"/>
          <w:sz w:val="20"/>
        </w:rPr>
      </w:pPr>
      <w:r>
        <w:rPr>
          <w:rFonts w:ascii="Times New Roman" w:hAnsi="Times New Roman"/>
          <w:sz w:val="20"/>
        </w:rPr>
        <w:t xml:space="preserve">Polestar granted shares to employees under the 2022 Omnibus Incentive Plan as part of the Groups employee compensation. Under the 2022 Omnibus Incentive Plan, there are three kinds of programs: At-listing Plan, Post-listing Plan, and the Free Share Plan, all of which are equity-settled. For more details on the terms of each program, refer to </w:t>
      </w:r>
      <w:r>
        <w:rPr>
          <w:rFonts w:ascii="Times New Roman" w:hAnsi="Times New Roman"/>
          <w:i/>
          <w:sz w:val="20"/>
        </w:rPr>
        <w:t>Note 7 - Share-based payments</w:t>
      </w:r>
      <w:r>
        <w:rPr>
          <w:rFonts w:ascii="Times New Roman" w:hAnsi="Times New Roman"/>
          <w:sz w:val="20"/>
        </w:rPr>
        <w:t xml:space="preserve"> in the Consolidated Financial Statements for Polestar Automotive Holding UK PLC, as of December 31, 2022 and 2021, and for the three years ended December 31, 2022 that were included in the Form 20-F filed with the SEC on April 14,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There were no changes in equity-settled awards under the 2022 Omnibus Incentive Plans during the three months ended March 31, 2023. As of March 31, 2023, 858,821 PSUs, 458,620 RSUs, and 4,222 Free Shares were outstanding. No awards were outstanding as of March 31, 2022 as awards under the 2022 Omnibus Incentive Plans were not granted until the second half of 2022. The following table illustrates total share-based compensation expense for the three months ended March 31, 2023 and 2022 by function: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35"/>
        <w:gridCol w:w="305"/>
        <w:gridCol w:w="104"/>
        <w:gridCol w:w="1039"/>
        <w:gridCol w:w="104"/>
        <w:gridCol w:w="382"/>
        <w:gridCol w:w="104"/>
        <w:gridCol w:w="672"/>
        <w:gridCol w:w="64"/>
      </w:tblGrid>
      <w:tr>
        <w:trPr/>
        <w:tc>
          <w:tcPr>
            <w:tcW w:w="523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23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405" w:type="dxa"/>
            <w:gridSpan w:val="6"/>
            <w:tcBorders/>
            <w:shd w:fill="auto" w:val="cle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23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jc w:val="center"/>
              <w:rPr>
                <w:b/>
              </w:rPr>
            </w:pPr>
            <w:r>
              <w:rPr>
                <w:b/>
              </w:rPr>
              <w:t>2023</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76" w:type="dxa"/>
            <w:gridSpan w:val="2"/>
            <w:tcBorders/>
            <w:shd w:fill="auto" w:val="cle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235"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305"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1,103</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5235"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3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56</w:t>
            </w:r>
          </w:p>
        </w:tc>
        <w:tc>
          <w:tcPr>
            <w:tcW w:w="104"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5235"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1039" w:type="dxa"/>
            <w:tcBorders/>
            <w:shd w:fill="auto" w:val="clear"/>
            <w:vAlign w:val="bottom"/>
          </w:tcPr>
          <w:p>
            <w:pPr>
              <w:pStyle w:val="TableContents"/>
              <w:pBdr>
                <w:top w:val="single" w:sz="2"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67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2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05"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b/>
              </w:rPr>
            </w:pPr>
            <w:r>
              <w:rPr>
                <w:b/>
              </w:rPr>
              <w:t>1,159</w:t>
            </w:r>
          </w:p>
        </w:tc>
        <w:tc>
          <w:tcPr>
            <w:tcW w:w="104"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b/>
              </w:rPr>
            </w:pPr>
            <w:r>
              <w:rPr>
                <w:b/>
              </w:rPr>
              <w:t>  </w:t>
            </w:r>
          </w:p>
        </w:tc>
        <w:tc>
          <w:tcPr>
            <w:tcW w:w="64" w:type="dxa"/>
            <w:tcBorders/>
            <w:shd w:fill="CCEEFF" w:val="clear"/>
            <w:vAlign w:val="bottom"/>
          </w:tcPr>
          <w:p>
            <w:pPr>
              <w:pStyle w:val="TableContents"/>
              <w:spacing w:before="0" w:after="283"/>
              <w:rPr/>
            </w:pPr>
            <w:r>
              <w:rPr/>
              <w:t> </w:t>
            </w:r>
          </w:p>
        </w:tc>
      </w:tr>
      <w:tr>
        <w:trPr/>
        <w:tc>
          <w:tcPr>
            <w:tcW w:w="5235"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1039" w:type="dxa"/>
            <w:tcBorders/>
            <w:shd w:fill="auto" w:val="clear"/>
            <w:vAlign w:val="bottom"/>
          </w:tcPr>
          <w:p>
            <w:pPr>
              <w:pStyle w:val="TableContents"/>
              <w:pBdr>
                <w:top w:val="single" w:sz="2"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67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Marketing consulting services agreement </w:t>
      </w:r>
    </w:p>
    <w:p>
      <w:pPr>
        <w:pStyle w:val="TextBody"/>
        <w:spacing w:before="120" w:after="0"/>
        <w:jc w:val="left"/>
        <w:rPr>
          <w:rFonts w:ascii="Times New Roman" w:hAnsi="Times New Roman"/>
          <w:sz w:val="20"/>
        </w:rPr>
      </w:pPr>
      <w:r>
        <w:rPr>
          <w:rFonts w:ascii="Times New Roman" w:hAnsi="Times New Roman"/>
          <w:sz w:val="20"/>
        </w:rPr>
        <w:t xml:space="preserve">On March 24, 2022, Polestar granted an equity-settled share-based payment in exchange for marketing services through November 1, 2023. Per the terms of the agreement, 250,000 Class A Shares vested on August 31, 2022.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During the three months ended March 31, 2023, 31,250 Class A Shares vested and the Group incurred a share based compensation expense of $176. </w:t>
      </w:r>
    </w:p>
    <w:p>
      <w:pPr>
        <w:pStyle w:val="TextBody"/>
        <w:spacing w:before="360" w:after="0"/>
        <w:jc w:val="left"/>
        <w:rPr>
          <w:rFonts w:ascii="Times New Roman" w:hAnsi="Times New Roman"/>
          <w:b/>
          <w:sz w:val="20"/>
        </w:rPr>
      </w:pPr>
      <w:r>
        <w:rPr>
          <w:rFonts w:ascii="Times New Roman" w:hAnsi="Times New Roman"/>
          <w:b/>
          <w:sz w:val="20"/>
        </w:rPr>
        <w:t xml:space="preserve">Note 4 - Leases </w:t>
      </w:r>
    </w:p>
    <w:p>
      <w:pPr>
        <w:pStyle w:val="TextBody"/>
        <w:spacing w:before="120" w:after="0"/>
        <w:jc w:val="left"/>
        <w:rPr>
          <w:rFonts w:ascii="Times New Roman" w:hAnsi="Times New Roman"/>
          <w:b/>
          <w:i/>
          <w:sz w:val="20"/>
        </w:rPr>
      </w:pPr>
      <w:r>
        <w:rPr>
          <w:rFonts w:ascii="Times New Roman" w:hAnsi="Times New Roman"/>
          <w:b/>
          <w:i/>
          <w:sz w:val="20"/>
        </w:rPr>
        <w:t xml:space="preserve">Polestar Group as Lessee </w:t>
      </w:r>
    </w:p>
    <w:p>
      <w:pPr>
        <w:pStyle w:val="TextBody"/>
        <w:spacing w:before="120" w:after="0"/>
        <w:jc w:val="left"/>
        <w:rPr>
          <w:rFonts w:ascii="Times New Roman" w:hAnsi="Times New Roman"/>
          <w:sz w:val="20"/>
        </w:rPr>
      </w:pPr>
      <w:r>
        <w:rPr>
          <w:rFonts w:ascii="Times New Roman" w:hAnsi="Times New Roman"/>
          <w:sz w:val="20"/>
        </w:rPr>
        <w:t xml:space="preserve">The following table depicts the changes in the Groups right-of-use assets, which are included within Property, plant, and equipment: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774"/>
        <w:gridCol w:w="249"/>
        <w:gridCol w:w="72"/>
        <w:gridCol w:w="909"/>
        <w:gridCol w:w="155"/>
        <w:gridCol w:w="138"/>
        <w:gridCol w:w="83"/>
        <w:gridCol w:w="1062"/>
        <w:gridCol w:w="163"/>
        <w:gridCol w:w="193"/>
        <w:gridCol w:w="60"/>
        <w:gridCol w:w="834"/>
        <w:gridCol w:w="160"/>
      </w:tblGrid>
      <w:tr>
        <w:trPr/>
        <w:tc>
          <w:tcPr>
            <w:tcW w:w="477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774"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Buildings</w:t>
              <w:br/>
              <w:t>and land</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w:t>
              <w:br/>
              <w:t>and</w:t>
              <w:br/>
              <w:t>equipment</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9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89,609</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45,416</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135,025</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sz w:val="20"/>
              </w:rPr>
            </w:pPr>
            <w:r>
              <w:rPr>
                <w:rFonts w:ascii="Times New Roman" w:hAnsi="Times New Roman"/>
                <w:sz w:val="20"/>
              </w:rPr>
              <w:t>Additions</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3,162</w:t>
            </w:r>
          </w:p>
        </w:tc>
        <w:tc>
          <w:tcPr>
            <w:tcW w:w="15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3,162</w:t>
            </w:r>
          </w:p>
        </w:tc>
        <w:tc>
          <w:tcPr>
            <w:tcW w:w="160" w:type="dxa"/>
            <w:tcBorders/>
            <w:shd w:fill="CCEEFF" w:val="clear"/>
            <w:vAlign w:val="bottom"/>
          </w:tcPr>
          <w:p>
            <w:pPr>
              <w:pStyle w:val="TableContents"/>
              <w:spacing w:before="0" w:after="283"/>
              <w:rPr/>
            </w:pPr>
            <w:r>
              <w:rPr/>
              <w:t> </w:t>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Cancellations</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(11,020</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(11,020</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636</w:t>
            </w:r>
          </w:p>
        </w:tc>
        <w:tc>
          <w:tcPr>
            <w:tcW w:w="15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155</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791</w:t>
            </w:r>
          </w:p>
        </w:tc>
        <w:tc>
          <w:tcPr>
            <w:tcW w:w="160" w:type="dxa"/>
            <w:tcBorders/>
            <w:shd w:fill="CCEEFF"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b/>
              </w:rPr>
            </w:pPr>
            <w:r>
              <w:rPr>
                <w:b/>
              </w:rPr>
              <w:t>82,387</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b/>
              </w:rPr>
            </w:pPr>
            <w:r>
              <w:rPr>
                <w:b/>
              </w:rPr>
              <w:t>45,571</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b/>
              </w:rPr>
            </w:pPr>
            <w:r>
              <w:rPr>
                <w:b/>
              </w:rPr>
              <w:t>127,958</w:t>
            </w:r>
          </w:p>
        </w:tc>
        <w:tc>
          <w:tcPr>
            <w:tcW w:w="160" w:type="dxa"/>
            <w:tcBorders/>
            <w:shd w:fill="auto"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b/>
                <w:sz w:val="20"/>
              </w:rPr>
            </w:pPr>
            <w:r>
              <w:rPr>
                <w:rFonts w:ascii="Times New Roman" w:hAnsi="Times New Roman"/>
                <w:b/>
                <w:sz w:val="20"/>
              </w:rPr>
              <w:t>Accumulated depreciation</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9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(18,934</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(20,768</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(39,702</w:t>
            </w:r>
          </w:p>
        </w:tc>
        <w:tc>
          <w:tcPr>
            <w:tcW w:w="160" w:type="dxa"/>
            <w:tcBorders/>
            <w:shd w:fill="auto" w:val="clear"/>
            <w:vAlign w:val="bottom"/>
          </w:tcPr>
          <w:p>
            <w:pPr>
              <w:pStyle w:val="TableContents"/>
              <w:spacing w:before="0" w:after="283"/>
              <w:rPr/>
            </w:pPr>
            <w:r>
              <w:rPr/>
              <w:t>) </w:t>
            </w:r>
          </w:p>
        </w:tc>
      </w:tr>
      <w:tr>
        <w:trPr/>
        <w:tc>
          <w:tcPr>
            <w:tcW w:w="4774"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(4,132</w:t>
            </w:r>
          </w:p>
        </w:tc>
        <w:tc>
          <w:tcPr>
            <w:tcW w:w="15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(1,842</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(5,974</w:t>
            </w:r>
          </w:p>
        </w:tc>
        <w:tc>
          <w:tcPr>
            <w:tcW w:w="160" w:type="dxa"/>
            <w:tcBorders/>
            <w:shd w:fill="CCEEFF" w:val="clear"/>
            <w:vAlign w:val="bottom"/>
          </w:tcPr>
          <w:p>
            <w:pPr>
              <w:pStyle w:val="TableContents"/>
              <w:spacing w:before="0" w:after="283"/>
              <w:rPr/>
            </w:pPr>
            <w:r>
              <w:rPr/>
              <w:t>) </w:t>
            </w:r>
          </w:p>
        </w:tc>
      </w:tr>
      <w:tr>
        <w:trPr/>
        <w:tc>
          <w:tcPr>
            <w:tcW w:w="4774"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pPr>
            <w:r>
              <w:rPr/>
              <w:t>(111</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(95</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(206</w:t>
            </w:r>
          </w:p>
        </w:tc>
        <w:tc>
          <w:tcPr>
            <w:tcW w:w="160" w:type="dxa"/>
            <w:tcBorders/>
            <w:shd w:fill="auto"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b/>
              </w:rPr>
            </w:pPr>
            <w:r>
              <w:rPr>
                <w:b/>
              </w:rPr>
              <w:t>(23,177</w:t>
            </w:r>
          </w:p>
        </w:tc>
        <w:tc>
          <w:tcPr>
            <w:tcW w:w="155" w:type="dxa"/>
            <w:tcBorders/>
            <w:shd w:fill="CCEEFF" w:val="clear"/>
            <w:vAlign w:val="bottom"/>
          </w:tcPr>
          <w:p>
            <w:pPr>
              <w:pStyle w:val="TableContents"/>
              <w:spacing w:before="0" w:after="283"/>
              <w:rPr>
                <w:b/>
              </w:rPr>
            </w:pPr>
            <w:r>
              <w:rPr>
                <w:b/>
              </w:rPr>
              <w:t>) </w:t>
            </w:r>
          </w:p>
        </w:tc>
        <w:tc>
          <w:tcPr>
            <w:tcW w:w="138"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b/>
              </w:rPr>
            </w:pPr>
            <w:r>
              <w:rPr>
                <w:b/>
              </w:rPr>
              <w:t>(22,705</w:t>
            </w:r>
          </w:p>
        </w:tc>
        <w:tc>
          <w:tcPr>
            <w:tcW w:w="163" w:type="dxa"/>
            <w:tcBorders>
              <w:right w:val="single" w:sz="2" w:space="0" w:color="000000"/>
            </w:tcBorders>
            <w:shd w:fill="CCEEFF" w:val="clear"/>
            <w:tcMar>
              <w:right w:w="28" w:type="dxa"/>
            </w:tcMar>
            <w:vAlign w:val="bottom"/>
          </w:tcPr>
          <w:p>
            <w:pPr>
              <w:pStyle w:val="TableContents"/>
              <w:spacing w:before="0" w:after="283"/>
              <w:rPr>
                <w:b/>
              </w:rPr>
            </w:pPr>
            <w:r>
              <w:rPr>
                <w:b/>
              </w:rPr>
              <w:t>) </w:t>
            </w:r>
          </w:p>
        </w:tc>
        <w:tc>
          <w:tcPr>
            <w:tcW w:w="19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b/>
              </w:rPr>
            </w:pPr>
            <w:r>
              <w:rPr>
                <w:b/>
              </w:rPr>
              <w:t>(45,882</w:t>
            </w:r>
          </w:p>
        </w:tc>
        <w:tc>
          <w:tcPr>
            <w:tcW w:w="160" w:type="dxa"/>
            <w:tcBorders/>
            <w:shd w:fill="CCEEFF" w:val="clear"/>
            <w:vAlign w:val="bottom"/>
          </w:tcPr>
          <w:p>
            <w:pPr>
              <w:pStyle w:val="TableContents"/>
              <w:spacing w:before="0" w:after="283"/>
              <w:rPr>
                <w:b/>
              </w:rPr>
            </w:pPr>
            <w:r>
              <w:rPr>
                <w:b/>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77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Carrying amount as of March 31, 2023</w:t>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283"/>
              <w:jc w:val="right"/>
              <w:rPr>
                <w:b/>
              </w:rPr>
            </w:pPr>
            <w:r>
              <w:rPr>
                <w:b/>
              </w:rPr>
              <w:t>59,210</w:t>
            </w:r>
          </w:p>
        </w:tc>
        <w:tc>
          <w:tcPr>
            <w:tcW w:w="15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b/>
              </w:rPr>
            </w:pPr>
            <w:r>
              <w:rPr>
                <w:b/>
              </w:rPr>
              <w:t>22,866</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b/>
              </w:rPr>
            </w:pPr>
            <w:r>
              <w:rPr>
                <w:b/>
              </w:rPr>
              <w:t>82,076</w:t>
            </w:r>
          </w:p>
        </w:tc>
        <w:tc>
          <w:tcPr>
            <w:tcW w:w="160" w:type="dxa"/>
            <w:tcBorders/>
            <w:shd w:fill="auto" w:val="clear"/>
            <w:vAlign w:val="bottom"/>
          </w:tcPr>
          <w:p>
            <w:pPr>
              <w:pStyle w:val="TableContents"/>
              <w:spacing w:before="0" w:after="283"/>
              <w:rPr/>
            </w:pPr>
            <w:r>
              <w:rPr/>
              <w:t> </w:t>
            </w:r>
          </w:p>
        </w:tc>
      </w:tr>
      <w:tr>
        <w:trPr/>
        <w:tc>
          <w:tcPr>
            <w:tcW w:w="477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0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Amounts related to leases recognized in the Unaudited Condensed Consolidated Statement of Loss and Comprehensive Loss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07"/>
        <w:gridCol w:w="313"/>
        <w:gridCol w:w="104"/>
        <w:gridCol w:w="1047"/>
        <w:gridCol w:w="104"/>
        <w:gridCol w:w="390"/>
        <w:gridCol w:w="104"/>
        <w:gridCol w:w="676"/>
        <w:gridCol w:w="64"/>
      </w:tblGrid>
      <w:tr>
        <w:trPr/>
        <w:tc>
          <w:tcPr>
            <w:tcW w:w="520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207"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24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207"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207" w:type="dxa"/>
            <w:tcBorders/>
            <w:shd w:fill="CCEEFF" w:val="clear"/>
          </w:tcPr>
          <w:p>
            <w:pPr>
              <w:pStyle w:val="TableContents"/>
              <w:spacing w:before="0" w:after="0"/>
              <w:rPr>
                <w:rFonts w:ascii="Times New Roman" w:hAnsi="Times New Roman"/>
                <w:sz w:val="20"/>
              </w:rPr>
            </w:pPr>
            <w:r>
              <w:rPr>
                <w:rFonts w:ascii="Times New Roman" w:hAnsi="Times New Roman"/>
                <w:sz w:val="20"/>
              </w:rPr>
              <w:t>Income from sub-leasing right-of-use assets</w:t>
            </w:r>
          </w:p>
        </w:tc>
        <w:tc>
          <w:tcPr>
            <w:tcW w:w="31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275</w:t>
            </w:r>
          </w:p>
        </w:tc>
        <w:tc>
          <w:tcPr>
            <w:tcW w:w="10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380</w:t>
            </w:r>
          </w:p>
        </w:tc>
        <w:tc>
          <w:tcPr>
            <w:tcW w:w="64" w:type="dxa"/>
            <w:tcBorders/>
            <w:shd w:fill="CCEEFF" w:val="clear"/>
            <w:vAlign w:val="bottom"/>
          </w:tcPr>
          <w:p>
            <w:pPr>
              <w:pStyle w:val="TableContents"/>
              <w:spacing w:before="0" w:after="283"/>
              <w:rPr/>
            </w:pPr>
            <w:r>
              <w:rPr/>
              <w:t> </w:t>
            </w:r>
          </w:p>
        </w:tc>
      </w:tr>
      <w:tr>
        <w:trPr/>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Expense relating to short-term leases</w:t>
            </w:r>
          </w:p>
        </w:tc>
        <w:tc>
          <w:tcPr>
            <w:tcW w:w="31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248</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pPr>
            <w:r>
              <w:rPr/>
              <w:t>492</w:t>
            </w:r>
          </w:p>
        </w:tc>
        <w:tc>
          <w:tcPr>
            <w:tcW w:w="64" w:type="dxa"/>
            <w:tcBorders/>
            <w:shd w:fill="auto" w:val="clear"/>
            <w:vAlign w:val="bottom"/>
          </w:tcPr>
          <w:p>
            <w:pPr>
              <w:pStyle w:val="TableContents"/>
              <w:spacing w:before="0" w:after="283"/>
              <w:rPr/>
            </w:pPr>
            <w:r>
              <w:rPr/>
              <w:t> </w:t>
            </w:r>
          </w:p>
        </w:tc>
      </w:tr>
      <w:tr>
        <w:trPr/>
        <w:tc>
          <w:tcPr>
            <w:tcW w:w="5207" w:type="dxa"/>
            <w:tcBorders/>
            <w:shd w:fill="CCEEFF" w:val="clear"/>
          </w:tcPr>
          <w:p>
            <w:pPr>
              <w:pStyle w:val="TableContents"/>
              <w:spacing w:before="0" w:after="0"/>
              <w:rPr>
                <w:rFonts w:ascii="Times New Roman" w:hAnsi="Times New Roman"/>
                <w:sz w:val="20"/>
              </w:rPr>
            </w:pPr>
            <w:r>
              <w:rPr>
                <w:rFonts w:ascii="Times New Roman" w:hAnsi="Times New Roman"/>
                <w:sz w:val="20"/>
              </w:rPr>
              <w:t>Expense relating to leases of low value assets</w:t>
            </w:r>
          </w:p>
        </w:tc>
        <w:tc>
          <w:tcPr>
            <w:tcW w:w="313"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5</w:t>
            </w:r>
          </w:p>
        </w:tc>
        <w:tc>
          <w:tcPr>
            <w:tcW w:w="10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76" w:type="dxa"/>
            <w:tcBorders/>
            <w:shd w:fill="CCEEFF" w:val="clear"/>
            <w:vAlign w:val="bottom"/>
          </w:tcPr>
          <w:p>
            <w:pPr>
              <w:pStyle w:val="TableContents"/>
              <w:spacing w:before="0" w:after="283"/>
              <w:jc w:val="right"/>
              <w:rPr/>
            </w:pPr>
            <w:r>
              <w:rPr/>
              <w:t>13</w:t>
            </w:r>
          </w:p>
        </w:tc>
        <w:tc>
          <w:tcPr>
            <w:tcW w:w="64" w:type="dxa"/>
            <w:tcBorders/>
            <w:shd w:fill="CCEEFF" w:val="clear"/>
            <w:vAlign w:val="bottom"/>
          </w:tcPr>
          <w:p>
            <w:pPr>
              <w:pStyle w:val="TableContents"/>
              <w:spacing w:before="0" w:after="283"/>
              <w:rPr/>
            </w:pPr>
            <w:r>
              <w:rPr/>
              <w:t> </w:t>
            </w:r>
          </w:p>
        </w:tc>
      </w:tr>
      <w:tr>
        <w:trPr/>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 on leases</w:t>
            </w:r>
          </w:p>
        </w:tc>
        <w:tc>
          <w:tcPr>
            <w:tcW w:w="313"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1,028</w:t>
            </w:r>
          </w:p>
        </w:tc>
        <w:tc>
          <w:tcPr>
            <w:tcW w:w="10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jc w:val="right"/>
              <w:rPr/>
            </w:pPr>
            <w:r>
              <w:rPr/>
              <w:t>610</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current and non-current portion of the Groups lease liabilities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20"/>
        <w:gridCol w:w="348"/>
        <w:gridCol w:w="86"/>
        <w:gridCol w:w="994"/>
        <w:gridCol w:w="60"/>
        <w:gridCol w:w="348"/>
        <w:gridCol w:w="102"/>
        <w:gridCol w:w="1388"/>
        <w:gridCol w:w="63"/>
      </w:tblGrid>
      <w:tr>
        <w:trPr/>
        <w:tc>
          <w:tcPr>
            <w:tcW w:w="46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62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620" w:type="dxa"/>
            <w:tcBorders/>
            <w:shd w:fill="CCEEFF" w:val="clear"/>
          </w:tcPr>
          <w:p>
            <w:pPr>
              <w:pStyle w:val="TableContents"/>
              <w:spacing w:before="0" w:after="0"/>
              <w:rPr>
                <w:rFonts w:ascii="Times New Roman" w:hAnsi="Times New Roman"/>
                <w:sz w:val="20"/>
              </w:rPr>
            </w:pPr>
            <w:r>
              <w:rPr>
                <w:rFonts w:ascii="Times New Roman" w:hAnsi="Times New Roman"/>
                <w:sz w:val="20"/>
              </w:rPr>
              <w:t>Current lease liability</w:t>
            </w:r>
          </w:p>
        </w:tc>
        <w:tc>
          <w:tcPr>
            <w:tcW w:w="3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22,988</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pPr>
            <w:r>
              <w:rPr/>
              <w:t>21,545</w:t>
            </w:r>
          </w:p>
        </w:tc>
        <w:tc>
          <w:tcPr>
            <w:tcW w:w="63" w:type="dxa"/>
            <w:tcBorders/>
            <w:shd w:fill="CCEEFF" w:val="clear"/>
            <w:vAlign w:val="bottom"/>
          </w:tcPr>
          <w:p>
            <w:pPr>
              <w:pStyle w:val="TableContents"/>
              <w:spacing w:before="0" w:after="283"/>
              <w:rPr/>
            </w:pPr>
            <w:r>
              <w:rPr/>
              <w:t> </w:t>
            </w:r>
          </w:p>
        </w:tc>
      </w:tr>
      <w:tr>
        <w:trPr/>
        <w:tc>
          <w:tcPr>
            <w:tcW w:w="4620" w:type="dxa"/>
            <w:tcBorders/>
            <w:shd w:fill="auto" w:val="clear"/>
          </w:tcPr>
          <w:p>
            <w:pPr>
              <w:pStyle w:val="TableContents"/>
              <w:spacing w:before="0" w:after="0"/>
              <w:rPr>
                <w:rFonts w:ascii="Times New Roman" w:hAnsi="Times New Roman"/>
                <w:sz w:val="20"/>
              </w:rPr>
            </w:pPr>
            <w:r>
              <w:rPr>
                <w:rFonts w:ascii="Times New Roman" w:hAnsi="Times New Roman"/>
                <w:sz w:val="20"/>
              </w:rPr>
              <w:t>Non-current lease liability</w:t>
            </w:r>
          </w:p>
        </w:tc>
        <w:tc>
          <w:tcPr>
            <w:tcW w:w="3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72,888</w:t>
            </w:r>
          </w:p>
        </w:tc>
        <w:tc>
          <w:tcPr>
            <w:tcW w:w="6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388" w:type="dxa"/>
            <w:tcBorders/>
            <w:shd w:fill="auto" w:val="clear"/>
            <w:vAlign w:val="bottom"/>
          </w:tcPr>
          <w:p>
            <w:pPr>
              <w:pStyle w:val="TableContents"/>
              <w:spacing w:before="0" w:after="283"/>
              <w:jc w:val="right"/>
              <w:rPr/>
            </w:pPr>
            <w:r>
              <w:rPr/>
              <w:t>85,556</w:t>
            </w:r>
          </w:p>
        </w:tc>
        <w:tc>
          <w:tcPr>
            <w:tcW w:w="63" w:type="dxa"/>
            <w:tcBorders/>
            <w:shd w:fill="auto" w:val="clear"/>
            <w:vAlign w:val="bottom"/>
          </w:tcPr>
          <w:p>
            <w:pPr>
              <w:pStyle w:val="TableContents"/>
              <w:spacing w:before="0" w:after="283"/>
              <w:rPr/>
            </w:pPr>
            <w:r>
              <w:rPr/>
              <w:t> </w:t>
            </w:r>
          </w:p>
        </w:tc>
      </w:tr>
      <w:tr>
        <w:trPr/>
        <w:tc>
          <w:tcPr>
            <w:tcW w:w="4620"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2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48"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b/>
              </w:rPr>
            </w:pPr>
            <w:r>
              <w:rPr>
                <w:b/>
              </w:rPr>
              <w:t>95,876</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8" w:type="dxa"/>
            <w:tcBorders/>
            <w:shd w:fill="CCEEFF" w:val="clear"/>
            <w:vAlign w:val="bottom"/>
          </w:tcPr>
          <w:p>
            <w:pPr>
              <w:pStyle w:val="TableContents"/>
              <w:spacing w:before="0" w:after="283"/>
              <w:jc w:val="right"/>
              <w:rPr>
                <w:b/>
              </w:rPr>
            </w:pPr>
            <w:r>
              <w:rPr>
                <w:b/>
              </w:rPr>
              <w:t>107,101</w:t>
            </w:r>
          </w:p>
        </w:tc>
        <w:tc>
          <w:tcPr>
            <w:tcW w:w="63" w:type="dxa"/>
            <w:tcBorders/>
            <w:shd w:fill="CCEEFF" w:val="clear"/>
            <w:vAlign w:val="bottom"/>
          </w:tcPr>
          <w:p>
            <w:pPr>
              <w:pStyle w:val="TableContents"/>
              <w:spacing w:before="0" w:after="283"/>
              <w:rPr/>
            </w:pPr>
            <w:r>
              <w:rPr/>
              <w:t> </w:t>
            </w:r>
          </w:p>
        </w:tc>
      </w:tr>
      <w:tr>
        <w:trPr/>
        <w:tc>
          <w:tcPr>
            <w:tcW w:w="4620"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Expected future lease payments to be made to satisfy the Groups lease liabilities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64"/>
        <w:gridCol w:w="305"/>
        <w:gridCol w:w="74"/>
        <w:gridCol w:w="999"/>
        <w:gridCol w:w="60"/>
        <w:gridCol w:w="305"/>
        <w:gridCol w:w="102"/>
        <w:gridCol w:w="1437"/>
        <w:gridCol w:w="63"/>
      </w:tblGrid>
      <w:tr>
        <w:trPr/>
        <w:tc>
          <w:tcPr>
            <w:tcW w:w="466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66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664" w:type="dxa"/>
            <w:tcBorders/>
            <w:shd w:fill="CCEEFF" w:val="clear"/>
          </w:tcPr>
          <w:p>
            <w:pPr>
              <w:pStyle w:val="TableContents"/>
              <w:spacing w:before="0" w:after="0"/>
              <w:rPr>
                <w:rFonts w:ascii="Times New Roman" w:hAnsi="Times New Roman"/>
                <w:sz w:val="20"/>
              </w:rPr>
            </w:pPr>
            <w:r>
              <w:rPr>
                <w:rFonts w:ascii="Times New Roman" w:hAnsi="Times New Roman"/>
                <w:sz w:val="20"/>
              </w:rPr>
              <w:t>Within 1 year</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27,252</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21,717</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tcPr>
          <w:p>
            <w:pPr>
              <w:pStyle w:val="TableContents"/>
              <w:spacing w:before="0" w:after="0"/>
              <w:rPr>
                <w:rFonts w:ascii="Times New Roman" w:hAnsi="Times New Roman"/>
                <w:sz w:val="20"/>
              </w:rPr>
            </w:pPr>
            <w:r>
              <w:rPr>
                <w:rFonts w:ascii="Times New Roman" w:hAnsi="Times New Roman"/>
                <w:sz w:val="20"/>
              </w:rPr>
              <w:t>Between 1 and 2 years</w:t>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26,537</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24,484</w:t>
            </w:r>
          </w:p>
        </w:tc>
        <w:tc>
          <w:tcPr>
            <w:tcW w:w="63" w:type="dxa"/>
            <w:tcBorders/>
            <w:shd w:fill="auto" w:val="clear"/>
            <w:vAlign w:val="bottom"/>
          </w:tcPr>
          <w:p>
            <w:pPr>
              <w:pStyle w:val="TableContents"/>
              <w:spacing w:before="0" w:after="283"/>
              <w:rPr/>
            </w:pPr>
            <w:r>
              <w:rPr/>
              <w:t> </w:t>
            </w:r>
          </w:p>
        </w:tc>
      </w:tr>
      <w:tr>
        <w:trPr/>
        <w:tc>
          <w:tcPr>
            <w:tcW w:w="4664" w:type="dxa"/>
            <w:tcBorders/>
            <w:shd w:fill="CCEEFF" w:val="clear"/>
          </w:tcPr>
          <w:p>
            <w:pPr>
              <w:pStyle w:val="TableContents"/>
              <w:spacing w:before="0" w:after="0"/>
              <w:rPr>
                <w:rFonts w:ascii="Times New Roman" w:hAnsi="Times New Roman"/>
                <w:sz w:val="20"/>
              </w:rPr>
            </w:pPr>
            <w:r>
              <w:rPr>
                <w:rFonts w:ascii="Times New Roman" w:hAnsi="Times New Roman"/>
                <w:sz w:val="20"/>
              </w:rPr>
              <w:t>Between 2 and 3 years</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21,582</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20,739</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tcPr>
          <w:p>
            <w:pPr>
              <w:pStyle w:val="TableContents"/>
              <w:spacing w:before="0" w:after="0"/>
              <w:rPr>
                <w:rFonts w:ascii="Times New Roman" w:hAnsi="Times New Roman"/>
                <w:sz w:val="20"/>
              </w:rPr>
            </w:pPr>
            <w:r>
              <w:rPr>
                <w:rFonts w:ascii="Times New Roman" w:hAnsi="Times New Roman"/>
                <w:sz w:val="20"/>
              </w:rPr>
              <w:t>Between 3 and 4 years</w:t>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19,348</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17,924</w:t>
            </w:r>
          </w:p>
        </w:tc>
        <w:tc>
          <w:tcPr>
            <w:tcW w:w="63" w:type="dxa"/>
            <w:tcBorders/>
            <w:shd w:fill="auto" w:val="clear"/>
            <w:vAlign w:val="bottom"/>
          </w:tcPr>
          <w:p>
            <w:pPr>
              <w:pStyle w:val="TableContents"/>
              <w:spacing w:before="0" w:after="283"/>
              <w:rPr/>
            </w:pPr>
            <w:r>
              <w:rPr/>
              <w:t> </w:t>
            </w:r>
          </w:p>
        </w:tc>
      </w:tr>
      <w:tr>
        <w:trPr/>
        <w:tc>
          <w:tcPr>
            <w:tcW w:w="4664" w:type="dxa"/>
            <w:tcBorders/>
            <w:shd w:fill="CCEEFF" w:val="clear"/>
          </w:tcPr>
          <w:p>
            <w:pPr>
              <w:pStyle w:val="TableContents"/>
              <w:spacing w:before="0" w:after="0"/>
              <w:rPr>
                <w:rFonts w:ascii="Times New Roman" w:hAnsi="Times New Roman"/>
                <w:sz w:val="20"/>
              </w:rPr>
            </w:pPr>
            <w:r>
              <w:rPr>
                <w:rFonts w:ascii="Times New Roman" w:hAnsi="Times New Roman"/>
                <w:sz w:val="20"/>
              </w:rPr>
              <w:t>Between 4 and 5 years</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6,019</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5,987</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tcPr>
          <w:p>
            <w:pPr>
              <w:pStyle w:val="TableContents"/>
              <w:spacing w:before="0" w:after="0"/>
              <w:rPr>
                <w:rFonts w:ascii="Times New Roman" w:hAnsi="Times New Roman"/>
                <w:sz w:val="20"/>
              </w:rPr>
            </w:pPr>
            <w:r>
              <w:rPr>
                <w:rFonts w:ascii="Times New Roman" w:hAnsi="Times New Roman"/>
                <w:sz w:val="20"/>
              </w:rPr>
              <w:t>Later than 5 years</w:t>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14,376</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29,613</w:t>
            </w:r>
          </w:p>
        </w:tc>
        <w:tc>
          <w:tcPr>
            <w:tcW w:w="63" w:type="dxa"/>
            <w:tcBorders/>
            <w:shd w:fill="auto" w:val="clear"/>
            <w:vAlign w:val="bottom"/>
          </w:tcPr>
          <w:p>
            <w:pPr>
              <w:pStyle w:val="TableContents"/>
              <w:spacing w:before="0" w:after="283"/>
              <w:rPr/>
            </w:pPr>
            <w:r>
              <w:rPr/>
              <w:t> </w:t>
            </w:r>
          </w:p>
        </w:tc>
      </w:tr>
      <w:tr>
        <w:trPr/>
        <w:tc>
          <w:tcPr>
            <w:tcW w:w="466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single" w:sz="2" w:space="1" w:color="000000"/>
              </w:pBdr>
              <w:spacing w:before="0" w:after="0"/>
              <w:rPr/>
            </w:pPr>
            <w:r>
              <w:rPr/>
              <w:t> </w:t>
            </w:r>
          </w:p>
        </w:tc>
        <w:tc>
          <w:tcPr>
            <w:tcW w:w="99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43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6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0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b/>
              </w:rPr>
            </w:pPr>
            <w:r>
              <w:rPr>
                <w:b/>
              </w:rPr>
              <w:t>115,114</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b/>
              </w:rPr>
            </w:pPr>
            <w:r>
              <w:rPr>
                <w:b/>
              </w:rPr>
              <w:t>120,464</w:t>
            </w:r>
          </w:p>
        </w:tc>
        <w:tc>
          <w:tcPr>
            <w:tcW w:w="63" w:type="dxa"/>
            <w:tcBorders/>
            <w:shd w:fill="CCEEFF" w:val="clear"/>
            <w:vAlign w:val="bottom"/>
          </w:tcPr>
          <w:p>
            <w:pPr>
              <w:pStyle w:val="TableContents"/>
              <w:spacing w:before="0" w:after="283"/>
              <w:rPr/>
            </w:pPr>
            <w:r>
              <w:rPr/>
              <w:t> </w:t>
            </w:r>
          </w:p>
        </w:tc>
      </w:tr>
      <w:tr>
        <w:trPr/>
        <w:tc>
          <w:tcPr>
            <w:tcW w:w="466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single" w:sz="2" w:space="1" w:color="000000"/>
              </w:pBdr>
              <w:spacing w:before="0" w:after="0"/>
              <w:rPr/>
            </w:pPr>
            <w:r>
              <w:rPr/>
              <w:t> </w:t>
            </w:r>
          </w:p>
        </w:tc>
        <w:tc>
          <w:tcPr>
            <w:tcW w:w="99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43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and 2022, total cash outflows for leases amounted to $5,094 and $3,096, respectively. </w:t>
      </w:r>
    </w:p>
    <w:p>
      <w:pPr>
        <w:pStyle w:val="TextBody"/>
        <w:spacing w:before="360" w:after="0"/>
        <w:jc w:val="left"/>
        <w:rPr>
          <w:rFonts w:ascii="Times New Roman" w:hAnsi="Times New Roman"/>
          <w:b/>
          <w:i/>
          <w:sz w:val="20"/>
        </w:rPr>
      </w:pPr>
      <w:r>
        <w:rPr>
          <w:rFonts w:ascii="Times New Roman" w:hAnsi="Times New Roman"/>
          <w:b/>
          <w:i/>
          <w:sz w:val="20"/>
        </w:rPr>
        <w:t xml:space="preserve">Polestar Group as Lessor </w:t>
      </w:r>
    </w:p>
    <w:p>
      <w:pPr>
        <w:pStyle w:val="TextBody"/>
        <w:spacing w:before="120" w:after="0"/>
        <w:jc w:val="left"/>
        <w:rPr>
          <w:rFonts w:ascii="Times New Roman" w:hAnsi="Times New Roman"/>
          <w:sz w:val="20"/>
        </w:rPr>
      </w:pPr>
      <w:r>
        <w:rPr>
          <w:rFonts w:ascii="Times New Roman" w:hAnsi="Times New Roman"/>
          <w:sz w:val="20"/>
        </w:rPr>
        <w:t xml:space="preserve">As a lessor, revenue recognized from operating leases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91"/>
        <w:gridCol w:w="262"/>
        <w:gridCol w:w="91"/>
        <w:gridCol w:w="854"/>
        <w:gridCol w:w="91"/>
        <w:gridCol w:w="307"/>
        <w:gridCol w:w="91"/>
        <w:gridCol w:w="857"/>
        <w:gridCol w:w="65"/>
      </w:tblGrid>
      <w:tr>
        <w:trPr/>
        <w:tc>
          <w:tcPr>
            <w:tcW w:w="539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391"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229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391"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91"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9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391" w:type="dxa"/>
            <w:tcBorders/>
            <w:shd w:fill="CCEEFF"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262"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4,206</w:t>
            </w:r>
          </w:p>
        </w:tc>
        <w:tc>
          <w:tcPr>
            <w:tcW w:w="91"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jc w:val="right"/>
              <w:rPr/>
            </w:pPr>
            <w:r>
              <w:rPr/>
              <w:t>4,874</w:t>
            </w:r>
          </w:p>
        </w:tc>
        <w:tc>
          <w:tcPr>
            <w:tcW w:w="6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majority of the Groups operating lease contracts as a lessor, vehicles are paid for upfront by the customer at contract inception and repurchased by Polestar at the end of the lease term. The following table depicts the changes in the Groups vehicles under operating leases: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698"/>
        <w:gridCol w:w="243"/>
        <w:gridCol w:w="69"/>
        <w:gridCol w:w="996"/>
        <w:gridCol w:w="160"/>
      </w:tblGrid>
      <w:tr>
        <w:trPr/>
        <w:tc>
          <w:tcPr>
            <w:tcW w:w="569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69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Vehicles</w:t>
              <w:br/>
              <w:t>under</w:t>
              <w:br/>
              <w:t>operating</w:t>
              <w:br/>
              <w:t>leases</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99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105,000</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 from inventory</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13,292</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inventory</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(12,397</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1,240</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b/>
              </w:rPr>
            </w:pPr>
            <w:r>
              <w:rPr>
                <w:b/>
              </w:rPr>
              <w:t>107,135</w:t>
            </w:r>
          </w:p>
        </w:tc>
        <w:tc>
          <w:tcPr>
            <w:tcW w:w="160"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b/>
                <w:sz w:val="20"/>
              </w:rPr>
            </w:pPr>
            <w:r>
              <w:rPr>
                <w:rFonts w:ascii="Times New Roman" w:hAnsi="Times New Roman"/>
                <w:b/>
                <w:sz w:val="20"/>
              </w:rPr>
              <w:t>Accumulated depreciation</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99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(12,802</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(1,490</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inventory</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pPr>
            <w:r>
              <w:rPr/>
              <w:t>3,501</w:t>
            </w:r>
          </w:p>
        </w:tc>
        <w:tc>
          <w:tcPr>
            <w:tcW w:w="160"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pPr>
            <w:r>
              <w:rPr/>
              <w:t>(60</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b/>
              </w:rPr>
            </w:pPr>
            <w:r>
              <w:rPr>
                <w:b/>
              </w:rPr>
              <w:t>(10,851</w:t>
            </w:r>
          </w:p>
        </w:tc>
        <w:tc>
          <w:tcPr>
            <w:tcW w:w="160" w:type="dxa"/>
            <w:tcBorders/>
            <w:shd w:fill="auto" w:val="clear"/>
            <w:vAlign w:val="bottom"/>
          </w:tcPr>
          <w:p>
            <w:pPr>
              <w:pStyle w:val="TableContents"/>
              <w:spacing w:before="0" w:after="283"/>
              <w:rPr>
                <w:b/>
              </w:rPr>
            </w:pPr>
            <w:r>
              <w:rPr>
                <w:b/>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698" w:type="dxa"/>
            <w:tcBorders/>
            <w:shd w:fill="CCEEFF" w:val="clear"/>
          </w:tcPr>
          <w:p>
            <w:pPr>
              <w:pStyle w:val="TableContents"/>
              <w:spacing w:before="0" w:after="0"/>
              <w:rPr>
                <w:rFonts w:ascii="Times New Roman" w:hAnsi="Times New Roman"/>
                <w:b/>
                <w:sz w:val="20"/>
              </w:rPr>
            </w:pPr>
            <w:r>
              <w:rPr>
                <w:rFonts w:ascii="Times New Roman" w:hAnsi="Times New Roman"/>
                <w:b/>
                <w:sz w:val="20"/>
              </w:rPr>
              <w:t>Carrying amount as of March 31, 2023</w:t>
            </w:r>
          </w:p>
        </w:tc>
        <w:tc>
          <w:tcPr>
            <w:tcW w:w="243"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996" w:type="dxa"/>
            <w:tcBorders/>
            <w:shd w:fill="CCEEFF" w:val="clear"/>
            <w:vAlign w:val="bottom"/>
          </w:tcPr>
          <w:p>
            <w:pPr>
              <w:pStyle w:val="TableContents"/>
              <w:spacing w:before="0" w:after="283"/>
              <w:jc w:val="right"/>
              <w:rPr>
                <w:b/>
              </w:rPr>
            </w:pPr>
            <w:r>
              <w:rPr>
                <w:b/>
              </w:rPr>
              <w:t>96,284</w:t>
            </w:r>
          </w:p>
        </w:tc>
        <w:tc>
          <w:tcPr>
            <w:tcW w:w="160"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9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5 - Net loss per share </w:t>
      </w:r>
    </w:p>
    <w:p>
      <w:pPr>
        <w:pStyle w:val="TextBody"/>
        <w:spacing w:before="120" w:after="0"/>
        <w:jc w:val="left"/>
        <w:rPr>
          <w:rFonts w:ascii="Times New Roman" w:hAnsi="Times New Roman"/>
          <w:sz w:val="20"/>
        </w:rPr>
      </w:pPr>
      <w:r>
        <w:rPr>
          <w:rFonts w:ascii="Times New Roman" w:hAnsi="Times New Roman"/>
          <w:sz w:val="20"/>
        </w:rPr>
        <w:t xml:space="preserve">The following table presents the computation of basic and diluted net loss per share for the three months ended March 31, 2023 and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05"/>
        <w:gridCol w:w="219"/>
        <w:gridCol w:w="60"/>
        <w:gridCol w:w="1538"/>
        <w:gridCol w:w="155"/>
        <w:gridCol w:w="174"/>
        <w:gridCol w:w="60"/>
        <w:gridCol w:w="1538"/>
        <w:gridCol w:w="160"/>
      </w:tblGrid>
      <w:tr>
        <w:trPr/>
        <w:tc>
          <w:tcPr>
            <w:tcW w:w="410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10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35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w:t>
              <w:br/>
              <w:t>March 31,</w:t>
            </w:r>
          </w:p>
        </w:tc>
        <w:tc>
          <w:tcPr>
            <w:tcW w:w="160" w:type="dxa"/>
            <w:tcBorders/>
            <w:shd w:fill="auto"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410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35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Class A and B Shares</w:t>
            </w:r>
          </w:p>
        </w:tc>
        <w:tc>
          <w:tcPr>
            <w:tcW w:w="160" w:type="dxa"/>
            <w:tcBorders/>
            <w:shd w:fill="auto" w:val="clear"/>
            <w:vAlign w:val="bottom"/>
          </w:tcPr>
          <w:p>
            <w:pPr>
              <w:pStyle w:val="TableContents"/>
              <w:spacing w:before="0" w:after="283"/>
              <w:rPr/>
            </w:pPr>
            <w:r>
              <w:rPr/>
              <w:t> </w:t>
            </w:r>
          </w:p>
        </w:tc>
      </w:tr>
      <w:tr>
        <w:trP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Net loss attributable to common shareholders</w:t>
            </w:r>
          </w:p>
        </w:tc>
        <w:tc>
          <w:tcPr>
            <w:tcW w:w="21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(8,977</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(274,490</w:t>
            </w:r>
          </w:p>
        </w:tc>
        <w:tc>
          <w:tcPr>
            <w:tcW w:w="160" w:type="dxa"/>
            <w:tcBorders/>
            <w:shd w:fill="CCEEFF" w:val="clear"/>
            <w:vAlign w:val="bottom"/>
          </w:tcPr>
          <w:p>
            <w:pPr>
              <w:pStyle w:val="TableContents"/>
              <w:spacing w:before="0" w:after="283"/>
              <w:rPr/>
            </w:pPr>
            <w:r>
              <w:rPr/>
              <w:t>) </w:t>
            </w:r>
          </w:p>
        </w:tc>
      </w:tr>
      <w:tr>
        <w:trPr/>
        <w:tc>
          <w:tcPr>
            <w:tcW w:w="4105" w:type="dxa"/>
            <w:tcBorders/>
            <w:shd w:fill="auto" w:val="clear"/>
          </w:tcPr>
          <w:p>
            <w:pPr>
              <w:pStyle w:val="TableContents"/>
              <w:spacing w:before="0" w:after="0"/>
              <w:rPr>
                <w:rFonts w:ascii="Times New Roman" w:hAnsi="Times New Roman"/>
                <w:b/>
                <w:sz w:val="20"/>
              </w:rPr>
            </w:pPr>
            <w:r>
              <w:rPr>
                <w:rFonts w:ascii="Times New Roman" w:hAnsi="Times New Roman"/>
                <w:b/>
                <w:sz w:val="20"/>
              </w:rPr>
              <w:t>Weighted-average number of common shares outstanding:</w:t>
            </w:r>
          </w:p>
        </w:tc>
        <w:tc>
          <w:tcPr>
            <w:tcW w:w="21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21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2,109,928,609</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1,937,110,924</w:t>
            </w:r>
          </w:p>
        </w:tc>
        <w:tc>
          <w:tcPr>
            <w:tcW w:w="160" w:type="dxa"/>
            <w:tcBorders/>
            <w:shd w:fill="CCEEFF" w:val="clear"/>
            <w:vAlign w:val="bottom"/>
          </w:tcPr>
          <w:p>
            <w:pPr>
              <w:pStyle w:val="TableContents"/>
              <w:spacing w:before="0" w:after="283"/>
              <w:rPr/>
            </w:pPr>
            <w:r>
              <w:rPr/>
              <w:t> </w:t>
            </w:r>
          </w:p>
        </w:tc>
      </w:tr>
      <w:tr>
        <w:trPr/>
        <w:tc>
          <w:tcPr>
            <w:tcW w:w="4105" w:type="dxa"/>
            <w:tcBorders/>
            <w:shd w:fill="auto" w:val="clear"/>
          </w:tcPr>
          <w:p>
            <w:pPr>
              <w:pStyle w:val="TableContents"/>
              <w:spacing w:before="0" w:after="0"/>
              <w:rPr>
                <w:rFonts w:ascii="Times New Roman" w:hAnsi="Times New Roman"/>
                <w:b/>
                <w:sz w:val="20"/>
              </w:rPr>
            </w:pPr>
            <w:r>
              <w:rPr>
                <w:rFonts w:ascii="Times New Roman" w:hAnsi="Times New Roman"/>
                <w:b/>
                <w:sz w:val="20"/>
              </w:rPr>
              <w:t>Net loss per share (in ones):</w:t>
            </w:r>
          </w:p>
        </w:tc>
        <w:tc>
          <w:tcPr>
            <w:tcW w:w="21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3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105"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21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&lt; (0.01</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right"/>
              <w:rPr/>
            </w:pPr>
            <w:r>
              <w:rPr/>
              <w:t>(0.14</w:t>
            </w:r>
          </w:p>
        </w:tc>
        <w:tc>
          <w:tcPr>
            <w:tcW w:w="16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Loss per share for the three months ended March 31, 2022 is retrospectively adjusted to reflect the number of equivalent shares issued by the Parent to the Former Parent, based on the number of shares outstanding on the reporting dates multiplied by the exchange ratio of 8.335. For detail on the equity exchange ratio related to the merger with GGI, refer to </w:t>
      </w:r>
      <w:r>
        <w:rPr>
          <w:rFonts w:ascii="Times New Roman" w:hAnsi="Times New Roman"/>
          <w:i/>
          <w:sz w:val="20"/>
        </w:rPr>
        <w:t>Note 20 - Equity</w:t>
      </w:r>
      <w:r>
        <w:rPr>
          <w:rFonts w:ascii="Times New Roman" w:hAnsi="Times New Roman"/>
          <w:sz w:val="20"/>
        </w:rPr>
        <w:t xml:space="preserve"> in the Consolidated Financial Statements for Polestar Automotive Holding UK PLC, as of December 31, 2022 and 2021, and for the three years ended December 31, 2022 that were included in the Form 20-F filed with the SEC on April 14, 2023. The following table presents shares that were not included in the calculation of diluted earnings per share as their effects would have been antidilutive for the three months ended March 31, 2023 and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134"/>
        <w:gridCol w:w="184"/>
        <w:gridCol w:w="60"/>
        <w:gridCol w:w="1285"/>
        <w:gridCol w:w="60"/>
        <w:gridCol w:w="184"/>
        <w:gridCol w:w="60"/>
        <w:gridCol w:w="980"/>
        <w:gridCol w:w="62"/>
      </w:tblGrid>
      <w:tr>
        <w:trPr/>
        <w:tc>
          <w:tcPr>
            <w:tcW w:w="513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13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62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2" w:type="dxa"/>
            <w:tcBorders/>
            <w:shd w:fill="auto" w:val="clear"/>
            <w:vAlign w:val="bottom"/>
          </w:tcPr>
          <w:p>
            <w:pPr>
              <w:pStyle w:val="TableContents"/>
              <w:spacing w:before="0" w:after="283"/>
              <w:rPr/>
            </w:pPr>
            <w:r>
              <w:rPr/>
              <w:t> </w:t>
            </w:r>
          </w:p>
        </w:tc>
      </w:tr>
      <w:tr>
        <w:trPr/>
        <w:tc>
          <w:tcPr>
            <w:tcW w:w="513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3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Earn-out Shares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158,177,609</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tcPr>
          <w:p>
            <w:pPr>
              <w:pStyle w:val="TableContents"/>
              <w:spacing w:before="0" w:after="0"/>
              <w:rPr>
                <w:rFonts w:ascii="Times New Roman" w:hAnsi="Times New Roman"/>
                <w:sz w:val="20"/>
              </w:rPr>
            </w:pPr>
            <w:r>
              <w:rPr>
                <w:rFonts w:ascii="Times New Roman" w:hAnsi="Times New Roman"/>
                <w:sz w:val="20"/>
              </w:rPr>
              <w:t>Class C-1 Shares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20,499,965</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Class C-2 Shares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4,500,000</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tcPr>
          <w:p>
            <w:pPr>
              <w:pStyle w:val="TableContents"/>
              <w:spacing w:before="0" w:after="0"/>
              <w:rPr>
                <w:rFonts w:ascii="Times New Roman" w:hAnsi="Times New Roman"/>
                <w:sz w:val="20"/>
              </w:rPr>
            </w:pPr>
            <w:r>
              <w:rPr>
                <w:rFonts w:ascii="Times New Roman" w:hAnsi="Times New Roman"/>
                <w:sz w:val="20"/>
              </w:rPr>
              <w:t>PSUs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858,821</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RSUs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458,620</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tcPr>
          <w:p>
            <w:pPr>
              <w:pStyle w:val="TableContents"/>
              <w:spacing w:before="0" w:after="0"/>
              <w:rPr>
                <w:rFonts w:ascii="Times New Roman" w:hAnsi="Times New Roman"/>
                <w:sz w:val="20"/>
              </w:rPr>
            </w:pPr>
            <w:r>
              <w:rPr>
                <w:rFonts w:ascii="Times New Roman" w:hAnsi="Times New Roman"/>
                <w:sz w:val="20"/>
              </w:rPr>
              <w:t>Marketing consulting services agreement</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93,750</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5134" w:type="dxa"/>
            <w:tcBorders/>
            <w:shd w:fill="CCEEFF" w:val="clear"/>
          </w:tcPr>
          <w:p>
            <w:pPr>
              <w:pStyle w:val="TableContents"/>
              <w:spacing w:before="0" w:after="0"/>
              <w:rPr>
                <w:rFonts w:ascii="Times New Roman" w:hAnsi="Times New Roman"/>
                <w:sz w:val="20"/>
              </w:rPr>
            </w:pPr>
            <w:r>
              <w:rPr>
                <w:rFonts w:ascii="Times New Roman" w:hAnsi="Times New Roman"/>
                <w:sz w:val="20"/>
              </w:rPr>
              <w:t>Convertible Notes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4,306,466</w:t>
            </w:r>
          </w:p>
        </w:tc>
        <w:tc>
          <w:tcPr>
            <w:tcW w:w="62" w:type="dxa"/>
            <w:tcBorders/>
            <w:shd w:fill="CCEEFF" w:val="clear"/>
            <w:vAlign w:val="bottom"/>
          </w:tcPr>
          <w:p>
            <w:pPr>
              <w:pStyle w:val="TableContents"/>
              <w:spacing w:before="0" w:after="283"/>
              <w:rPr/>
            </w:pPr>
            <w:r>
              <w:rPr/>
              <w:t> </w:t>
            </w:r>
          </w:p>
        </w:tc>
      </w:tr>
      <w:tr>
        <w:trPr/>
        <w:tc>
          <w:tcPr>
            <w:tcW w:w="5134"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13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antidilutive shares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b/>
              </w:rPr>
            </w:pPr>
            <w:r>
              <w:rPr>
                <w:b/>
              </w:rPr>
              <w:t>184,588,765</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4,306,466</w:t>
            </w:r>
          </w:p>
        </w:tc>
        <w:tc>
          <w:tcPr>
            <w:tcW w:w="62" w:type="dxa"/>
            <w:tcBorders/>
            <w:shd w:fill="auto" w:val="clear"/>
            <w:vAlign w:val="bottom"/>
          </w:tcPr>
          <w:p>
            <w:pPr>
              <w:pStyle w:val="TableContents"/>
              <w:spacing w:before="0" w:after="283"/>
              <w:rPr/>
            </w:pPr>
            <w:r>
              <w:rPr/>
              <w:t> </w:t>
            </w:r>
          </w:p>
        </w:tc>
      </w:tr>
      <w:tr>
        <w:trPr/>
        <w:tc>
          <w:tcPr>
            <w:tcW w:w="5134"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6 - Intangible assets and goodwill </w:t>
      </w:r>
    </w:p>
    <w:p>
      <w:pPr>
        <w:pStyle w:val="TextBody"/>
        <w:spacing w:before="120" w:after="0"/>
        <w:jc w:val="left"/>
        <w:rPr>
          <w:rFonts w:ascii="Times New Roman" w:hAnsi="Times New Roman"/>
          <w:sz w:val="20"/>
        </w:rPr>
      </w:pPr>
      <w:r>
        <w:rPr>
          <w:rFonts w:ascii="Times New Roman" w:hAnsi="Times New Roman"/>
          <w:sz w:val="20"/>
        </w:rPr>
        <w:t xml:space="preserve">The following table depicts the split between Polestar Groups intangible assets, goodwill and trademarks: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16"/>
        <w:gridCol w:w="245"/>
        <w:gridCol w:w="61"/>
        <w:gridCol w:w="1015"/>
        <w:gridCol w:w="60"/>
        <w:gridCol w:w="245"/>
        <w:gridCol w:w="85"/>
        <w:gridCol w:w="1419"/>
        <w:gridCol w:w="63"/>
      </w:tblGrid>
      <w:tr>
        <w:trPr/>
        <w:tc>
          <w:tcPr>
            <w:tcW w:w="481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1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816"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24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1,429,944</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1,347,709</w:t>
            </w:r>
          </w:p>
        </w:tc>
        <w:tc>
          <w:tcPr>
            <w:tcW w:w="63" w:type="dxa"/>
            <w:tcBorders/>
            <w:shd w:fill="CCEEFF" w:val="clear"/>
            <w:vAlign w:val="bottom"/>
          </w:tcPr>
          <w:p>
            <w:pPr>
              <w:pStyle w:val="TableContents"/>
              <w:spacing w:before="0" w:after="283"/>
              <w:rPr/>
            </w:pPr>
            <w:r>
              <w:rPr/>
              <w:t> </w:t>
            </w:r>
          </w:p>
        </w:tc>
      </w:tr>
      <w:tr>
        <w:trPr/>
        <w:tc>
          <w:tcPr>
            <w:tcW w:w="4816" w:type="dxa"/>
            <w:tcBorders/>
            <w:shd w:fill="auto" w:val="clear"/>
          </w:tcPr>
          <w:p>
            <w:pPr>
              <w:pStyle w:val="TableContents"/>
              <w:spacing w:before="0" w:after="0"/>
              <w:rPr>
                <w:rFonts w:ascii="Times New Roman" w:hAnsi="Times New Roman"/>
                <w:sz w:val="20"/>
              </w:rPr>
            </w:pPr>
            <w:r>
              <w:rPr>
                <w:rFonts w:ascii="Times New Roman" w:hAnsi="Times New Roman"/>
                <w:sz w:val="20"/>
              </w:rPr>
              <w:t>Goodwill and trademarks</w:t>
            </w:r>
          </w:p>
        </w:tc>
        <w:tc>
          <w:tcPr>
            <w:tcW w:w="24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49,009</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48,768</w:t>
            </w:r>
          </w:p>
        </w:tc>
        <w:tc>
          <w:tcPr>
            <w:tcW w:w="63" w:type="dxa"/>
            <w:tcBorders/>
            <w:shd w:fill="auto" w:val="clear"/>
            <w:vAlign w:val="bottom"/>
          </w:tcPr>
          <w:p>
            <w:pPr>
              <w:pStyle w:val="TableContents"/>
              <w:spacing w:before="0" w:after="283"/>
              <w:rPr/>
            </w:pPr>
            <w:r>
              <w:rPr/>
              <w:t> </w:t>
            </w:r>
          </w:p>
        </w:tc>
      </w:tr>
      <w:tr>
        <w:trPr/>
        <w:tc>
          <w:tcPr>
            <w:tcW w:w="481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4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b/>
              </w:rPr>
            </w:pPr>
            <w:r>
              <w:rPr>
                <w:b/>
              </w:rPr>
              <w:t>1,478,953</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b/>
              </w:rPr>
            </w:pPr>
            <w:r>
              <w:rPr>
                <w:b/>
              </w:rPr>
              <w:t>1,396,477</w:t>
            </w:r>
          </w:p>
        </w:tc>
        <w:tc>
          <w:tcPr>
            <w:tcW w:w="63" w:type="dxa"/>
            <w:tcBorders/>
            <w:shd w:fill="CCEEFF" w:val="clear"/>
            <w:vAlign w:val="bottom"/>
          </w:tcPr>
          <w:p>
            <w:pPr>
              <w:pStyle w:val="TableContents"/>
              <w:spacing w:before="0" w:after="283"/>
              <w:rPr/>
            </w:pPr>
            <w:r>
              <w:rPr/>
              <w:t> </w:t>
            </w:r>
          </w:p>
        </w:tc>
      </w:tr>
      <w:tr>
        <w:trPr/>
        <w:tc>
          <w:tcPr>
            <w:tcW w:w="481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Intangible assets were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885"/>
        <w:gridCol w:w="236"/>
        <w:gridCol w:w="72"/>
        <w:gridCol w:w="994"/>
        <w:gridCol w:w="155"/>
        <w:gridCol w:w="189"/>
        <w:gridCol w:w="90"/>
        <w:gridCol w:w="850"/>
        <w:gridCol w:w="155"/>
        <w:gridCol w:w="141"/>
        <w:gridCol w:w="72"/>
        <w:gridCol w:w="1276"/>
        <w:gridCol w:w="168"/>
        <w:gridCol w:w="189"/>
        <w:gridCol w:w="60"/>
        <w:gridCol w:w="1003"/>
        <w:gridCol w:w="160"/>
      </w:tblGrid>
      <w:tr>
        <w:trPr/>
        <w:tc>
          <w:tcPr>
            <w:tcW w:w="388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8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Internally</w:t>
              <w:br/>
              <w:t>developed</w:t>
              <w:br/>
              <w:t>IP</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Software</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3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Acquired IP</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0" w:type="dxa"/>
            <w:tcBorders/>
            <w:shd w:fill="auto" w:val="clear"/>
            <w:vAlign w:val="bottom"/>
          </w:tcPr>
          <w:p>
            <w:pPr>
              <w:pStyle w:val="TableContents"/>
              <w:spacing w:before="0" w:after="283"/>
              <w:rPr/>
            </w:pPr>
            <w:r>
              <w:rPr/>
              <w:t> </w:t>
            </w:r>
          </w:p>
        </w:tc>
      </w:tr>
      <w:tr>
        <w:trPr/>
        <w:tc>
          <w:tcPr>
            <w:tcW w:w="3885"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276" w:type="dxa"/>
            <w:tcBorders/>
            <w:shd w:fill="CCEEFF" w:val="clear"/>
            <w:vAlign w:val="bottom"/>
          </w:tcPr>
          <w:p>
            <w:pPr>
              <w:pStyle w:val="TableContents"/>
              <w:spacing w:before="0" w:after="283"/>
              <w:rPr>
                <w:sz w:val="4"/>
                <w:szCs w:val="4"/>
              </w:rPr>
            </w:pPr>
            <w:r>
              <w:rPr>
                <w:sz w:val="4"/>
                <w:szCs w:val="4"/>
              </w:rPr>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0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885"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217,600</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1,114</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pPr>
            <w:r>
              <w:rPr/>
              <w:t>1,569,395</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1,788,109</w:t>
            </w:r>
          </w:p>
        </w:tc>
        <w:tc>
          <w:tcPr>
            <w:tcW w:w="160" w:type="dxa"/>
            <w:tcBorders/>
            <w:shd w:fill="auto" w:val="clear"/>
            <w:vAlign w:val="bottom"/>
          </w:tcPr>
          <w:p>
            <w:pPr>
              <w:pStyle w:val="TableContents"/>
              <w:spacing w:before="0" w:after="283"/>
              <w:rPr/>
            </w:pPr>
            <w:r>
              <w:rPr/>
              <w:t> </w:t>
            </w:r>
          </w:p>
        </w:tc>
      </w:tr>
      <w:tr>
        <w:trPr/>
        <w:tc>
          <w:tcPr>
            <w:tcW w:w="388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Additions1</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25,640</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70,754</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96,394</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1,334</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pPr>
            <w:r>
              <w:rPr/>
              <w:t>7,767</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9,106</w:t>
            </w:r>
          </w:p>
        </w:tc>
        <w:tc>
          <w:tcPr>
            <w:tcW w:w="160" w:type="dxa"/>
            <w:tcBorders/>
            <w:shd w:fill="auto"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b/>
              </w:rPr>
            </w:pPr>
            <w:r>
              <w:rPr>
                <w:b/>
              </w:rPr>
              <w:t>244,574</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b/>
              </w:rPr>
            </w:pPr>
            <w:r>
              <w:rPr>
                <w:b/>
              </w:rPr>
              <w:t>1,119</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b/>
              </w:rPr>
            </w:pPr>
            <w:r>
              <w:rPr>
                <w:b/>
              </w:rPr>
              <w:t>1,647,916</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b/>
              </w:rPr>
            </w:pPr>
            <w:r>
              <w:rPr>
                <w:b/>
              </w:rPr>
              <w:t>1,893,609</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auto" w:val="clear"/>
          </w:tcPr>
          <w:p>
            <w:pPr>
              <w:pStyle w:val="TableContents"/>
              <w:spacing w:before="0" w:after="0"/>
              <w:rPr>
                <w:rFonts w:ascii="Times New Roman" w:hAnsi="Times New Roman"/>
                <w:b/>
                <w:sz w:val="20"/>
              </w:rPr>
            </w:pPr>
            <w:r>
              <w:rPr>
                <w:rFonts w:ascii="Times New Roman" w:hAnsi="Times New Roman"/>
                <w:b/>
                <w:sz w:val="20"/>
              </w:rPr>
              <w:t>Accumulated amortization and impairment</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276" w:type="dxa"/>
            <w:tcBorders/>
            <w:shd w:fill="auto" w:val="clear"/>
            <w:vAlign w:val="bottom"/>
          </w:tcPr>
          <w:p>
            <w:pPr>
              <w:pStyle w:val="TableContents"/>
              <w:spacing w:before="0" w:after="283"/>
              <w:rPr>
                <w:sz w:val="4"/>
                <w:szCs w:val="4"/>
              </w:rPr>
            </w:pPr>
            <w:r>
              <w:rPr>
                <w:sz w:val="4"/>
                <w:szCs w:val="4"/>
              </w:rPr>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0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885"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(14,856</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(389</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(425,155</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(440,400</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tcPr>
          <w:p>
            <w:pPr>
              <w:pStyle w:val="TableContents"/>
              <w:spacing w:before="0" w:after="0"/>
              <w:rPr>
                <w:rFonts w:ascii="Times New Roman" w:hAnsi="Times New Roman"/>
                <w:sz w:val="20"/>
              </w:rPr>
            </w:pPr>
            <w:r>
              <w:rPr>
                <w:rFonts w:ascii="Times New Roman" w:hAnsi="Times New Roman"/>
                <w:sz w:val="20"/>
              </w:rPr>
              <w:t>Amortization expense</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(35</w:t>
            </w:r>
          </w:p>
        </w:tc>
        <w:tc>
          <w:tcPr>
            <w:tcW w:w="15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pPr>
            <w:r>
              <w:rPr/>
              <w:t>(20,928</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(21,116</w:t>
            </w:r>
          </w:p>
        </w:tc>
        <w:tc>
          <w:tcPr>
            <w:tcW w:w="160" w:type="dxa"/>
            <w:tcBorders/>
            <w:shd w:fill="auto" w:val="clear"/>
            <w:vAlign w:val="bottom"/>
          </w:tcPr>
          <w:p>
            <w:pPr>
              <w:pStyle w:val="TableContents"/>
              <w:spacing w:before="0" w:after="283"/>
              <w:rPr/>
            </w:pPr>
            <w:r>
              <w:rPr/>
              <w:t>) </w:t>
            </w:r>
          </w:p>
        </w:tc>
      </w:tr>
      <w:tr>
        <w:trPr/>
        <w:tc>
          <w:tcPr>
            <w:tcW w:w="3885"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(75</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(2,072</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(2,149</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b/>
              </w:rPr>
            </w:pPr>
            <w:r>
              <w:rPr>
                <w:b/>
              </w:rPr>
              <w:t>(15,084</w:t>
            </w:r>
          </w:p>
        </w:tc>
        <w:tc>
          <w:tcPr>
            <w:tcW w:w="155" w:type="dxa"/>
            <w:tcBorders/>
            <w:shd w:fill="auto" w:val="clear"/>
            <w:vAlign w:val="bottom"/>
          </w:tcPr>
          <w:p>
            <w:pPr>
              <w:pStyle w:val="TableContents"/>
              <w:spacing w:before="0" w:after="283"/>
              <w:rPr>
                <w:b/>
              </w:rPr>
            </w:pPr>
            <w:r>
              <w:rPr>
                <w:b/>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b/>
              </w:rPr>
            </w:pPr>
            <w:r>
              <w:rPr>
                <w:b/>
              </w:rPr>
              <w:t>(426</w:t>
            </w:r>
          </w:p>
        </w:tc>
        <w:tc>
          <w:tcPr>
            <w:tcW w:w="155" w:type="dxa"/>
            <w:tcBorders/>
            <w:shd w:fill="auto" w:val="clear"/>
            <w:vAlign w:val="bottom"/>
          </w:tcPr>
          <w:p>
            <w:pPr>
              <w:pStyle w:val="TableContents"/>
              <w:spacing w:before="0" w:after="283"/>
              <w:rPr>
                <w:b/>
              </w:rPr>
            </w:pPr>
            <w:r>
              <w:rPr>
                <w:b/>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b/>
              </w:rPr>
            </w:pPr>
            <w:r>
              <w:rPr>
                <w:b/>
              </w:rPr>
              <w:t>(448,155</w:t>
            </w:r>
          </w:p>
        </w:tc>
        <w:tc>
          <w:tcPr>
            <w:tcW w:w="168" w:type="dxa"/>
            <w:tcBorders>
              <w:right w:val="single" w:sz="2" w:space="0" w:color="000000"/>
            </w:tcBorders>
            <w:shd w:fill="auto" w:val="clear"/>
            <w:tcMar>
              <w:right w:w="28" w:type="dxa"/>
            </w:tcMar>
            <w:vAlign w:val="bottom"/>
          </w:tcPr>
          <w:p>
            <w:pPr>
              <w:pStyle w:val="TableContents"/>
              <w:spacing w:before="0" w:after="283"/>
              <w:rPr>
                <w:b/>
              </w:rPr>
            </w:pPr>
            <w:r>
              <w:rPr>
                <w:b/>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b/>
              </w:rPr>
            </w:pPr>
            <w:r>
              <w:rPr>
                <w:b/>
              </w:rPr>
              <w:t>(463,665</w:t>
            </w:r>
          </w:p>
        </w:tc>
        <w:tc>
          <w:tcPr>
            <w:tcW w:w="160" w:type="dxa"/>
            <w:tcBorders/>
            <w:shd w:fill="auto" w:val="clear"/>
            <w:vAlign w:val="bottom"/>
          </w:tcPr>
          <w:p>
            <w:pPr>
              <w:pStyle w:val="TableContents"/>
              <w:spacing w:before="0" w:after="283"/>
              <w:rPr>
                <w:b/>
              </w:rPr>
            </w:pPr>
            <w:r>
              <w:rPr>
                <w:b/>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88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Carrying amount as of March 31, 2023</w:t>
            </w:r>
          </w:p>
        </w:tc>
        <w:tc>
          <w:tcPr>
            <w:tcW w:w="23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b/>
              </w:rPr>
            </w:pPr>
            <w:r>
              <w:rPr>
                <w:b/>
              </w:rPr>
              <w:t>229,490</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b/>
              </w:rPr>
            </w:pPr>
            <w:r>
              <w:rPr>
                <w:b/>
              </w:rPr>
              <w:t>693</w:t>
            </w:r>
          </w:p>
        </w:tc>
        <w:tc>
          <w:tcPr>
            <w:tcW w:w="15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b/>
              </w:rPr>
            </w:pPr>
            <w:r>
              <w:rPr>
                <w:b/>
              </w:rPr>
              <w:t>1,199,761</w:t>
            </w:r>
          </w:p>
        </w:tc>
        <w:tc>
          <w:tcPr>
            <w:tcW w:w="168" w:type="dxa"/>
            <w:tcBorders>
              <w:right w:val="single" w:sz="2" w:space="0" w:color="000000"/>
            </w:tcBorders>
            <w:shd w:fill="CCEEFF" w:val="clear"/>
            <w:tcMar>
              <w:right w:w="28" w:type="dxa"/>
            </w:tcM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b/>
              </w:rPr>
            </w:pPr>
            <w:r>
              <w:rPr>
                <w:b/>
              </w:rPr>
              <w:t>1,429,944</w:t>
            </w:r>
          </w:p>
        </w:tc>
        <w:tc>
          <w:tcPr>
            <w:tcW w:w="160" w:type="dxa"/>
            <w:tcBorders/>
            <w:shd w:fill="CCEEFF"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76" w:type="dxa"/>
            <w:tcBorders/>
            <w:shd w:fill="auto" w:val="clear"/>
            <w:vAlign w:val="bottom"/>
          </w:tcPr>
          <w:p>
            <w:pPr>
              <w:pStyle w:val="TableContents"/>
              <w:pBdr>
                <w:top w:val="single" w:sz="2" w:space="1" w:color="000000"/>
              </w:pBdr>
              <w:spacing w:before="0" w:after="0"/>
              <w:rPr/>
            </w:pPr>
            <w:r>
              <w:rPr/>
              <w:t> </w:t>
            </w:r>
          </w:p>
        </w:tc>
        <w:tc>
          <w:tcPr>
            <w:tcW w:w="168" w:type="dxa"/>
            <w:tcBorders>
              <w:right w:val="single" w:sz="2" w:space="0" w:color="000000"/>
            </w:tcBorders>
            <w:shd w:fill="auto" w:val="clear"/>
            <w:tcMar>
              <w:right w:w="28" w:type="dxa"/>
            </w:tcM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Of $96,394 in additions for the three months ended March 31, 2023, $25,640 has been settled in cash. These $25,640 are included in the $113,030 cash used for investing activities related to additions to intangible assets, and the remaining $87,391 relates to increases in Trade payables - related parties from prior years which were settled in cash during the three months ended March 31, 2023. </w:t>
      </w:r>
    </w:p>
    <w:p>
      <w:pPr>
        <w:pStyle w:val="TextBody"/>
        <w:spacing w:before="240" w:after="0"/>
        <w:jc w:val="left"/>
        <w:rPr>
          <w:rFonts w:ascii="Times New Roman" w:hAnsi="Times New Roman"/>
          <w:sz w:val="20"/>
        </w:rPr>
      </w:pPr>
      <w:r>
        <w:rPr>
          <w:rFonts w:ascii="Times New Roman" w:hAnsi="Times New Roman"/>
          <w:sz w:val="20"/>
        </w:rPr>
        <w:t xml:space="preserve">Additions to internally developed IP are primarily related to the Polestar 5 and various other internal programs, such as model year changes, for the three months ended March 31, 2023. Additions of acquired IP during the three months ended March 31, 2023 were related to acquisitions of the Polestar 2 and Polestar 3 IP from Volvo Cars. Polestar also acquired IP related to the Polestar 4 from Geely. Refer to </w:t>
      </w:r>
      <w:r>
        <w:rPr>
          <w:rFonts w:ascii="Times New Roman" w:hAnsi="Times New Roman"/>
          <w:i/>
          <w:sz w:val="20"/>
        </w:rPr>
        <w:t>Note 11 - Related party transactions</w:t>
      </w:r>
      <w:r>
        <w:rPr>
          <w:rFonts w:ascii="Times New Roman" w:hAnsi="Times New Roman"/>
          <w:sz w:val="20"/>
        </w:rPr>
        <w:t xml:space="preserve"> for further details.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Changes to the carrying amount of goodwill and trademarks during the period were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90"/>
        <w:gridCol w:w="316"/>
        <w:gridCol w:w="75"/>
        <w:gridCol w:w="876"/>
        <w:gridCol w:w="60"/>
        <w:gridCol w:w="260"/>
        <w:gridCol w:w="125"/>
        <w:gridCol w:w="1224"/>
        <w:gridCol w:w="101"/>
        <w:gridCol w:w="316"/>
        <w:gridCol w:w="60"/>
        <w:gridCol w:w="684"/>
        <w:gridCol w:w="65"/>
      </w:tblGrid>
      <w:tr>
        <w:trPr/>
        <w:tc>
          <w:tcPr>
            <w:tcW w:w="469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69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9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Goodwill</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3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Trademarks</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5" w:type="dxa"/>
            <w:tcBorders/>
            <w:shd w:fill="auto" w:val="clear"/>
            <w:vAlign w:val="bottom"/>
          </w:tcPr>
          <w:p>
            <w:pPr>
              <w:pStyle w:val="TableContents"/>
              <w:spacing w:before="0" w:after="283"/>
              <w:rPr/>
            </w:pPr>
            <w:r>
              <w:rPr/>
              <w:t> </w:t>
            </w:r>
          </w:p>
        </w:tc>
      </w:tr>
      <w:tr>
        <w:trPr/>
        <w:tc>
          <w:tcPr>
            <w:tcW w:w="4690"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31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46,460</w:t>
            </w:r>
          </w:p>
        </w:tc>
        <w:tc>
          <w:tcPr>
            <w:tcW w:w="60"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2,308</w:t>
            </w:r>
          </w:p>
        </w:tc>
        <w:tc>
          <w:tcPr>
            <w:tcW w:w="101" w:type="dxa"/>
            <w:tcBorders>
              <w:right w:val="single" w:sz="2" w:space="0" w:color="000000"/>
            </w:tcBorders>
            <w:shd w:fill="CCEEFF" w:val="clear"/>
            <w:tcMar>
              <w:right w:w="28" w:type="dxa"/>
            </w:tcM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48,768</w:t>
            </w:r>
          </w:p>
        </w:tc>
        <w:tc>
          <w:tcPr>
            <w:tcW w:w="65" w:type="dxa"/>
            <w:tcBorders/>
            <w:shd w:fill="CCEEFF" w:val="clear"/>
            <w:vAlign w:val="bottom"/>
          </w:tcPr>
          <w:p>
            <w:pPr>
              <w:pStyle w:val="TableContents"/>
              <w:spacing w:before="0" w:after="283"/>
              <w:rPr/>
            </w:pPr>
            <w:r>
              <w:rPr/>
              <w:t> </w:t>
            </w:r>
          </w:p>
        </w:tc>
      </w:tr>
      <w:tr>
        <w:trPr/>
        <w:tc>
          <w:tcPr>
            <w:tcW w:w="4690"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31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230</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11</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241</w:t>
            </w:r>
          </w:p>
        </w:tc>
        <w:tc>
          <w:tcPr>
            <w:tcW w:w="65" w:type="dxa"/>
            <w:tcBorders/>
            <w:shd w:fill="auto" w:val="clear"/>
            <w:vAlign w:val="bottom"/>
          </w:tcPr>
          <w:p>
            <w:pPr>
              <w:pStyle w:val="TableContents"/>
              <w:spacing w:before="0" w:after="283"/>
              <w:rPr/>
            </w:pPr>
            <w:r>
              <w:rPr/>
              <w:t> </w:t>
            </w:r>
          </w:p>
        </w:tc>
      </w:tr>
      <w:tr>
        <w:trPr/>
        <w:tc>
          <w:tcPr>
            <w:tcW w:w="469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69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316"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b/>
              </w:rPr>
            </w:pPr>
            <w:r>
              <w:rPr>
                <w:b/>
              </w:rPr>
              <w:t>46,690</w:t>
            </w:r>
          </w:p>
        </w:tc>
        <w:tc>
          <w:tcPr>
            <w:tcW w:w="60"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b/>
              </w:rPr>
            </w:pPr>
            <w:r>
              <w:rPr>
                <w:b/>
              </w:rPr>
              <w:t>2,319</w:t>
            </w:r>
          </w:p>
        </w:tc>
        <w:tc>
          <w:tcPr>
            <w:tcW w:w="101" w:type="dxa"/>
            <w:tcBorders>
              <w:right w:val="single" w:sz="2" w:space="0" w:color="000000"/>
            </w:tcBorders>
            <w:shd w:fill="CCEEFF" w:val="clear"/>
            <w:tcMar>
              <w:right w:w="28" w:type="dxa"/>
            </w:tcM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b/>
              </w:rPr>
            </w:pPr>
            <w:r>
              <w:rPr>
                <w:b/>
              </w:rPr>
              <w:t>49,009</w:t>
            </w:r>
          </w:p>
        </w:tc>
        <w:tc>
          <w:tcPr>
            <w:tcW w:w="65" w:type="dxa"/>
            <w:tcBorders/>
            <w:shd w:fill="CCEEFF" w:val="clear"/>
            <w:vAlign w:val="bottom"/>
          </w:tcPr>
          <w:p>
            <w:pPr>
              <w:pStyle w:val="TableContents"/>
              <w:spacing w:before="0" w:after="283"/>
              <w:rPr/>
            </w:pPr>
            <w:r>
              <w:rPr/>
              <w:t> </w:t>
            </w:r>
          </w:p>
        </w:tc>
      </w:tr>
      <w:tr>
        <w:trPr/>
        <w:tc>
          <w:tcPr>
            <w:tcW w:w="469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01" w:type="dxa"/>
            <w:tcBorders>
              <w:right w:val="single" w:sz="2" w:space="0" w:color="000000"/>
            </w:tcBorders>
            <w:shd w:fill="auto" w:val="clear"/>
            <w:tcMar>
              <w:right w:w="28" w:type="dxa"/>
            </w:tcM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7 - Financial instruments </w:t>
      </w:r>
    </w:p>
    <w:p>
      <w:pPr>
        <w:pStyle w:val="TextBody"/>
        <w:spacing w:before="120" w:after="0"/>
        <w:jc w:val="left"/>
        <w:rPr>
          <w:rFonts w:ascii="Times New Roman" w:hAnsi="Times New Roman"/>
          <w:sz w:val="20"/>
        </w:rPr>
      </w:pPr>
      <w:r>
        <w:rPr>
          <w:rFonts w:ascii="Times New Roman" w:hAnsi="Times New Roman"/>
          <w:sz w:val="20"/>
        </w:rPr>
        <w:t xml:space="preserve">The following table shows the carrying amounts of financial assets and liabilities measured at fair value through profit and loss on a recurring basis: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66"/>
        <w:gridCol w:w="133"/>
        <w:gridCol w:w="61"/>
        <w:gridCol w:w="712"/>
        <w:gridCol w:w="60"/>
        <w:gridCol w:w="133"/>
        <w:gridCol w:w="73"/>
        <w:gridCol w:w="702"/>
        <w:gridCol w:w="60"/>
        <w:gridCol w:w="120"/>
        <w:gridCol w:w="60"/>
        <w:gridCol w:w="801"/>
        <w:gridCol w:w="82"/>
        <w:gridCol w:w="165"/>
        <w:gridCol w:w="60"/>
        <w:gridCol w:w="801"/>
        <w:gridCol w:w="59"/>
        <w:gridCol w:w="133"/>
        <w:gridCol w:w="61"/>
        <w:gridCol w:w="712"/>
        <w:gridCol w:w="60"/>
        <w:gridCol w:w="133"/>
        <w:gridCol w:w="61"/>
        <w:gridCol w:w="712"/>
        <w:gridCol w:w="60"/>
        <w:gridCol w:w="120"/>
        <w:gridCol w:w="60"/>
        <w:gridCol w:w="801"/>
        <w:gridCol w:w="82"/>
        <w:gridCol w:w="165"/>
        <w:gridCol w:w="60"/>
        <w:gridCol w:w="801"/>
        <w:gridCol w:w="70"/>
      </w:tblGrid>
      <w:tr>
        <w:trPr/>
        <w:tc>
          <w:tcPr>
            <w:tcW w:w="236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236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82" w:type="dxa"/>
            <w:gridSpan w:val="10"/>
            <w:tcBorders/>
            <w:shd w:fill="auto" w:val="clear"/>
            <w:vAlign w:val="bottom"/>
          </w:tcPr>
          <w:p>
            <w:pPr>
              <w:pStyle w:val="TableContents"/>
              <w:spacing w:before="0" w:after="283"/>
              <w:jc w:val="center"/>
              <w:rPr>
                <w:b/>
              </w:rPr>
            </w:pPr>
            <w:r>
              <w:rPr>
                <w:b/>
              </w:rPr>
              <w:t>March 31, 2023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780" w:type="dxa"/>
            <w:gridSpan w:val="10"/>
            <w:tcBorders/>
            <w:shd w:fill="auto" w:val="clear"/>
            <w:vAlign w:val="bottom"/>
          </w:tcPr>
          <w:p>
            <w:pPr>
              <w:pStyle w:val="TableContents"/>
              <w:spacing w:before="0" w:after="283"/>
              <w:jc w:val="center"/>
              <w:rPr>
                <w:b/>
              </w:rPr>
            </w:pPr>
            <w:r>
              <w:rPr>
                <w:b/>
              </w:rPr>
              <w:t>December 31, 2022</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b/>
              </w:rPr>
            </w:pPr>
            <w:r>
              <w:rPr>
                <w:b/>
              </w:rPr>
              <w:t>Assets measured at FVTPL</w:t>
            </w:r>
          </w:p>
        </w:tc>
        <w:tc>
          <w:tcPr>
            <w:tcW w:w="13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70" w:type="dxa"/>
            <w:tcBorders/>
            <w:shd w:fill="auto" w:val="clear"/>
            <w:vAlign w:val="bottom"/>
          </w:tcPr>
          <w:p>
            <w:pPr>
              <w:pStyle w:val="TableContents"/>
              <w:spacing w:before="0" w:after="283"/>
              <w:rPr/>
            </w:pPr>
            <w:r>
              <w:rPr/>
              <w:t> </w:t>
            </w:r>
          </w:p>
        </w:tc>
      </w:tr>
      <w:tr>
        <w:trPr/>
        <w:tc>
          <w:tcPr>
            <w:tcW w:w="2366" w:type="dxa"/>
            <w:tcBorders/>
            <w:shd w:fill="CCEEFF" w:val="clear"/>
          </w:tcPr>
          <w:p>
            <w:pPr>
              <w:pStyle w:val="TableContents"/>
              <w:spacing w:before="0" w:after="0"/>
              <w:rPr>
                <w:rFonts w:ascii="Times New Roman" w:hAnsi="Times New Roman"/>
                <w:sz w:val="20"/>
              </w:rPr>
            </w:pPr>
            <w:r>
              <w:rPr>
                <w:rFonts w:ascii="Times New Roman" w:hAnsi="Times New Roman"/>
                <w:sz w:val="20"/>
              </w:rPr>
              <w:t>Other investments</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2,345</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2,345</w:t>
            </w:r>
          </w:p>
        </w:tc>
        <w:tc>
          <w:tcPr>
            <w:tcW w:w="5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2,333</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2,333</w:t>
            </w:r>
          </w:p>
        </w:tc>
        <w:tc>
          <w:tcPr>
            <w:tcW w:w="70" w:type="dxa"/>
            <w:tcBorders/>
            <w:shd w:fill="CCEEFF"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36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2,345</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2,345</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2,333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b/>
              </w:rPr>
            </w:pPr>
            <w:r>
              <w:rPr>
                <w:b/>
              </w:rPr>
              <w:t>2,333</w:t>
            </w:r>
          </w:p>
        </w:tc>
        <w:tc>
          <w:tcPr>
            <w:tcW w:w="70" w:type="dxa"/>
            <w:tcBorders/>
            <w:shd w:fill="auto"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366"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measured at FVTPL</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1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1"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366" w:type="dxa"/>
            <w:tcBorders/>
            <w:shd w:fill="auto" w:val="clear"/>
          </w:tcPr>
          <w:p>
            <w:pPr>
              <w:pStyle w:val="TableContents"/>
              <w:spacing w:before="0" w:after="0"/>
              <w:rPr>
                <w:rFonts w:ascii="Times New Roman" w:hAnsi="Times New Roman"/>
                <w:sz w:val="20"/>
              </w:rPr>
            </w:pPr>
            <w:r>
              <w:rPr>
                <w:rFonts w:ascii="Times New Roman" w:hAnsi="Times New Roman"/>
                <w:sz w:val="20"/>
              </w:rPr>
              <w:t>Earn out rights</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392,375</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392,375</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598,570</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598,570</w:t>
            </w:r>
          </w:p>
        </w:tc>
        <w:tc>
          <w:tcPr>
            <w:tcW w:w="70" w:type="dxa"/>
            <w:tcBorders/>
            <w:shd w:fill="auto" w:val="clear"/>
            <w:vAlign w:val="bottom"/>
          </w:tcPr>
          <w:p>
            <w:pPr>
              <w:pStyle w:val="TableContents"/>
              <w:spacing w:before="0" w:after="283"/>
              <w:rPr/>
            </w:pPr>
            <w:r>
              <w:rPr/>
              <w:t> </w:t>
            </w:r>
          </w:p>
        </w:tc>
      </w:tr>
      <w:tr>
        <w:trPr/>
        <w:tc>
          <w:tcPr>
            <w:tcW w:w="2366" w:type="dxa"/>
            <w:tcBorders/>
            <w:shd w:fill="CCEEFF" w:val="clear"/>
          </w:tcPr>
          <w:p>
            <w:pPr>
              <w:pStyle w:val="TableContents"/>
              <w:spacing w:before="0" w:after="0"/>
              <w:rPr>
                <w:rFonts w:ascii="Times New Roman" w:hAnsi="Times New Roman"/>
                <w:sz w:val="20"/>
              </w:rPr>
            </w:pPr>
            <w:r>
              <w:rPr>
                <w:rFonts w:ascii="Times New Roman" w:hAnsi="Times New Roman"/>
                <w:sz w:val="20"/>
              </w:rPr>
              <w:t>Class C-1 Shares</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17,015</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17,015</w:t>
            </w:r>
          </w:p>
        </w:tc>
        <w:tc>
          <w:tcPr>
            <w:tcW w:w="5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17,920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17,920</w:t>
            </w:r>
          </w:p>
        </w:tc>
        <w:tc>
          <w:tcPr>
            <w:tcW w:w="70" w:type="dxa"/>
            <w:tcBorders/>
            <w:shd w:fill="CCEEFF" w:val="clear"/>
            <w:vAlign w:val="bottom"/>
          </w:tcPr>
          <w:p>
            <w:pPr>
              <w:pStyle w:val="TableContents"/>
              <w:spacing w:before="0" w:after="283"/>
              <w:rPr/>
            </w:pPr>
            <w:r>
              <w:rPr/>
              <w:t> </w:t>
            </w:r>
          </w:p>
        </w:tc>
      </w:tr>
      <w:tr>
        <w:trPr/>
        <w:tc>
          <w:tcPr>
            <w:tcW w:w="2366"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3,735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3,735</w:t>
            </w:r>
          </w:p>
        </w:tc>
        <w:tc>
          <w:tcPr>
            <w:tcW w:w="5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pPr>
            <w:r>
              <w:rPr/>
              <w:t>10,080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10,080</w:t>
            </w:r>
          </w:p>
        </w:tc>
        <w:tc>
          <w:tcPr>
            <w:tcW w:w="70" w:type="dxa"/>
            <w:tcBorders/>
            <w:shd w:fill="auto"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36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liabilities</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b/>
              </w:rPr>
            </w:pPr>
            <w:r>
              <w:rPr>
                <w:b/>
              </w:rPr>
              <w:t>17,015</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b/>
              </w:rPr>
            </w:pPr>
            <w:r>
              <w:rPr>
                <w:b/>
              </w:rPr>
              <w:t>3,735</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392,375</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413,125</w:t>
            </w:r>
          </w:p>
        </w:tc>
        <w:tc>
          <w:tcPr>
            <w:tcW w:w="5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b/>
              </w:rPr>
            </w:pPr>
            <w:r>
              <w:rPr>
                <w:b/>
              </w:rPr>
              <w:t>17,920</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b/>
              </w:rPr>
            </w:pPr>
            <w:r>
              <w:rPr>
                <w:b/>
              </w:rPr>
              <w:t>10,080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598,570</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626,570</w:t>
            </w:r>
          </w:p>
        </w:tc>
        <w:tc>
          <w:tcPr>
            <w:tcW w:w="70" w:type="dxa"/>
            <w:tcBorders/>
            <w:shd w:fill="CCEEFF" w:val="clear"/>
            <w:vAlign w:val="bottom"/>
          </w:tcPr>
          <w:p>
            <w:pPr>
              <w:pStyle w:val="TableContents"/>
              <w:spacing w:before="0" w:after="283"/>
              <w:rPr/>
            </w:pPr>
            <w:r>
              <w:rPr/>
              <w:t> </w:t>
            </w:r>
          </w:p>
        </w:tc>
      </w:tr>
      <w:tr>
        <w:trPr/>
        <w:tc>
          <w:tcPr>
            <w:tcW w:w="236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8 - Reverse recapitalization </w:t>
      </w:r>
    </w:p>
    <w:p>
      <w:pPr>
        <w:pStyle w:val="TextBody"/>
        <w:spacing w:before="120" w:after="0"/>
        <w:jc w:val="left"/>
        <w:rPr>
          <w:rFonts w:ascii="Times New Roman" w:hAnsi="Times New Roman"/>
          <w:sz w:val="20"/>
        </w:rPr>
      </w:pPr>
      <w:r>
        <w:rPr>
          <w:rFonts w:ascii="Times New Roman" w:hAnsi="Times New Roman"/>
          <w:sz w:val="20"/>
        </w:rPr>
        <w:t xml:space="preserve">Polestar underwent a reverse recapitalization through the merger with GGI and related arrangements on June 23, 2022. For more detail on the reverse capitalization, including the net assets of GGI assumed by the Group and the Class C Shares and Earn out rights issued in connection with the merger that are accounted for as derivative liabilities in accordance with IAS 32, </w:t>
      </w:r>
      <w:r>
        <w:rPr>
          <w:rFonts w:ascii="Times New Roman" w:hAnsi="Times New Roman"/>
          <w:i/>
          <w:sz w:val="20"/>
        </w:rPr>
        <w:t xml:space="preserve">Financial Instruments: Presentation </w:t>
      </w:r>
      <w:r>
        <w:rPr>
          <w:rFonts w:ascii="Times New Roman" w:hAnsi="Times New Roman"/>
          <w:sz w:val="20"/>
        </w:rPr>
        <w:t>(IAS 32)</w:t>
      </w:r>
      <w:r>
        <w:rPr>
          <w:rFonts w:ascii="Times New Roman" w:hAnsi="Times New Roman"/>
          <w:i/>
          <w:sz w:val="20"/>
        </w:rPr>
        <w:t>,</w:t>
      </w:r>
      <w:r>
        <w:rPr>
          <w:rFonts w:ascii="Times New Roman" w:hAnsi="Times New Roman"/>
          <w:sz w:val="20"/>
        </w:rPr>
        <w:t xml:space="preserve"> and IFRS 9, </w:t>
      </w:r>
      <w:r>
        <w:rPr>
          <w:rFonts w:ascii="Times New Roman" w:hAnsi="Times New Roman"/>
          <w:i/>
          <w:sz w:val="20"/>
        </w:rPr>
        <w:t>Financial Instruments</w:t>
      </w:r>
      <w:r>
        <w:rPr>
          <w:rFonts w:ascii="Times New Roman" w:hAnsi="Times New Roman"/>
          <w:sz w:val="20"/>
        </w:rPr>
        <w:t xml:space="preserve"> (IFRS 9), refer to </w:t>
      </w:r>
      <w:r>
        <w:rPr>
          <w:rFonts w:ascii="Times New Roman" w:hAnsi="Times New Roman"/>
          <w:i/>
          <w:sz w:val="20"/>
        </w:rPr>
        <w:t>Note 1 - Significant accounting policies and judgements</w:t>
      </w:r>
      <w:r>
        <w:rPr>
          <w:rFonts w:ascii="Times New Roman" w:hAnsi="Times New Roman"/>
          <w:sz w:val="20"/>
        </w:rPr>
        <w:t xml:space="preserve"> and </w:t>
      </w:r>
      <w:r>
        <w:rPr>
          <w:rFonts w:ascii="Times New Roman" w:hAnsi="Times New Roman"/>
          <w:i/>
          <w:sz w:val="20"/>
        </w:rPr>
        <w:t>Note 16 - Reverse recapitalization</w:t>
      </w:r>
      <w:r>
        <w:rPr>
          <w:rFonts w:ascii="Times New Roman" w:hAnsi="Times New Roman"/>
          <w:sz w:val="20"/>
        </w:rPr>
        <w:t xml:space="preserve"> in the Consolidated Financial Statements for Polestar Automotive Holding UK PLC, as of December 31, 2022 and 2021, and for the three years ended December 31, 2022, that were included in the Form 20-F filed with the SEC on April 14, 2023. </w:t>
      </w:r>
    </w:p>
    <w:p>
      <w:pPr>
        <w:pStyle w:val="TextBody"/>
        <w:spacing w:before="360" w:after="0"/>
        <w:jc w:val="left"/>
        <w:rPr>
          <w:rFonts w:ascii="Times New Roman" w:hAnsi="Times New Roman"/>
          <w:b/>
          <w:sz w:val="20"/>
        </w:rPr>
      </w:pPr>
      <w:r>
        <w:rPr>
          <w:rFonts w:ascii="Times New Roman" w:hAnsi="Times New Roman"/>
          <w:b/>
          <w:sz w:val="20"/>
        </w:rPr>
        <w:t xml:space="preserve">Class C Shares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11"/>
        <w:gridCol w:w="357"/>
        <w:gridCol w:w="86"/>
        <w:gridCol w:w="988"/>
        <w:gridCol w:w="60"/>
        <w:gridCol w:w="357"/>
        <w:gridCol w:w="119"/>
        <w:gridCol w:w="1367"/>
        <w:gridCol w:w="64"/>
      </w:tblGrid>
      <w:tr>
        <w:trPr/>
        <w:tc>
          <w:tcPr>
            <w:tcW w:w="461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11"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4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4" w:type="dxa"/>
            <w:tcBorders/>
            <w:shd w:fill="auto" w:val="clear"/>
            <w:vAlign w:val="bottom"/>
          </w:tcPr>
          <w:p>
            <w:pPr>
              <w:pStyle w:val="TableContents"/>
              <w:spacing w:before="0" w:after="283"/>
              <w:rPr/>
            </w:pPr>
            <w:r>
              <w:rPr/>
              <w:t> </w:t>
            </w:r>
          </w:p>
        </w:tc>
      </w:tr>
      <w:tr>
        <w:trPr/>
        <w:tc>
          <w:tcPr>
            <w:tcW w:w="4611" w:type="dxa"/>
            <w:tcBorders/>
            <w:shd w:fill="CCEEFF" w:val="clear"/>
          </w:tcPr>
          <w:p>
            <w:pPr>
              <w:pStyle w:val="TableContents"/>
              <w:spacing w:before="0" w:after="0"/>
              <w:rPr>
                <w:rFonts w:ascii="Times New Roman" w:hAnsi="Times New Roman"/>
                <w:sz w:val="20"/>
              </w:rPr>
            </w:pPr>
            <w:r>
              <w:rPr>
                <w:rFonts w:ascii="Times New Roman" w:hAnsi="Times New Roman"/>
                <w:sz w:val="20"/>
              </w:rPr>
              <w:t>Class C-1 Shares</w:t>
            </w:r>
          </w:p>
        </w:tc>
        <w:tc>
          <w:tcPr>
            <w:tcW w:w="35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17,015</w:t>
            </w:r>
          </w:p>
        </w:tc>
        <w:tc>
          <w:tcPr>
            <w:tcW w:w="60"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17,920</w:t>
            </w:r>
          </w:p>
        </w:tc>
        <w:tc>
          <w:tcPr>
            <w:tcW w:w="64" w:type="dxa"/>
            <w:tcBorders/>
            <w:shd w:fill="CCEEFF" w:val="clear"/>
            <w:vAlign w:val="bottom"/>
          </w:tcPr>
          <w:p>
            <w:pPr>
              <w:pStyle w:val="TableContents"/>
              <w:spacing w:before="0" w:after="283"/>
              <w:rPr/>
            </w:pPr>
            <w:r>
              <w:rPr/>
              <w:t> </w:t>
            </w:r>
          </w:p>
        </w:tc>
      </w:tr>
      <w:tr>
        <w:trPr/>
        <w:tc>
          <w:tcPr>
            <w:tcW w:w="4611"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w:t>
            </w:r>
          </w:p>
        </w:tc>
        <w:tc>
          <w:tcPr>
            <w:tcW w:w="35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3,735</w:t>
            </w:r>
          </w:p>
        </w:tc>
        <w:tc>
          <w:tcPr>
            <w:tcW w:w="6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67" w:type="dxa"/>
            <w:tcBorders/>
            <w:shd w:fill="auto" w:val="clear"/>
            <w:vAlign w:val="bottom"/>
          </w:tcPr>
          <w:p>
            <w:pPr>
              <w:pStyle w:val="TableContents"/>
              <w:spacing w:before="0" w:after="283"/>
              <w:jc w:val="right"/>
              <w:rPr/>
            </w:pPr>
            <w:r>
              <w:rPr/>
              <w:t>10,080</w:t>
            </w:r>
          </w:p>
        </w:tc>
        <w:tc>
          <w:tcPr>
            <w:tcW w:w="64" w:type="dxa"/>
            <w:tcBorders/>
            <w:shd w:fill="auto" w:val="clear"/>
            <w:vAlign w:val="bottom"/>
          </w:tcPr>
          <w:p>
            <w:pPr>
              <w:pStyle w:val="TableContents"/>
              <w:spacing w:before="0" w:after="283"/>
              <w:rPr/>
            </w:pPr>
            <w:r>
              <w:rPr/>
              <w:t> </w:t>
            </w:r>
          </w:p>
        </w:tc>
      </w:tr>
      <w:tr>
        <w:trPr/>
        <w:tc>
          <w:tcPr>
            <w:tcW w:w="4611"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1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5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b/>
              </w:rPr>
            </w:pPr>
            <w:r>
              <w:rPr>
                <w:b/>
              </w:rPr>
              <w:t>20,750</w:t>
            </w:r>
          </w:p>
        </w:tc>
        <w:tc>
          <w:tcPr>
            <w:tcW w:w="60" w:type="dxa"/>
            <w:tcBorders/>
            <w:shd w:fill="CCEEFF" w:val="cle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b/>
              </w:rPr>
            </w:pPr>
            <w:r>
              <w:rPr>
                <w:b/>
              </w:rPr>
              <w:t>28,000</w:t>
            </w:r>
          </w:p>
        </w:tc>
        <w:tc>
          <w:tcPr>
            <w:tcW w:w="64" w:type="dxa"/>
            <w:tcBorders/>
            <w:shd w:fill="CCEEFF" w:val="clear"/>
            <w:vAlign w:val="bottom"/>
          </w:tcPr>
          <w:p>
            <w:pPr>
              <w:pStyle w:val="TableContents"/>
              <w:spacing w:before="0" w:after="283"/>
              <w:rPr/>
            </w:pPr>
            <w:r>
              <w:rPr/>
              <w:t> </w:t>
            </w:r>
          </w:p>
        </w:tc>
      </w:tr>
      <w:tr>
        <w:trPr/>
        <w:tc>
          <w:tcPr>
            <w:tcW w:w="4611"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2022, 15,999,965 Class C-1 Shares were outstanding with a fair value of $17,920. On March 22, 2023, 4,500,000 Class C-2 Shares with a fair value of $3,285 were converted to 4,500,000 Class C-1 Shares with the same fair value following the election by the respective holders of the Class C-2 Shares and approval from the Board of Directors. On March 31, 2023, 20,499,965 Class C-1 Shares were outstanding and remeasured at $17,015, resulting in a total unrealized gain during the period of $905.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75"/>
        <w:gridCol w:w="359"/>
        <w:gridCol w:w="70"/>
        <w:gridCol w:w="805"/>
        <w:gridCol w:w="157"/>
      </w:tblGrid>
      <w:tr>
        <w:trPr/>
        <w:tc>
          <w:tcPr>
            <w:tcW w:w="577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75"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C-1</w:t>
              <w:br/>
              <w:t>Shares</w:t>
            </w:r>
          </w:p>
        </w:tc>
        <w:tc>
          <w:tcPr>
            <w:tcW w:w="157" w:type="dxa"/>
            <w:tcBorders/>
            <w:shd w:fill="auto" w:val="clear"/>
            <w:vAlign w:val="bottom"/>
          </w:tcPr>
          <w:p>
            <w:pPr>
              <w:pStyle w:val="TableContents"/>
              <w:spacing w:before="0" w:after="283"/>
              <w:rPr/>
            </w:pPr>
            <w:r>
              <w:rPr/>
              <w:t> </w:t>
            </w:r>
          </w:p>
        </w:tc>
      </w:tr>
      <w:tr>
        <w:trPr/>
        <w:tc>
          <w:tcPr>
            <w:tcW w:w="5775" w:type="dxa"/>
            <w:tcBorders/>
            <w:shd w:fill="CCEEFF" w:val="clear"/>
            <w:vAlign w:val="bottom"/>
          </w:tcPr>
          <w:p>
            <w:pPr>
              <w:pStyle w:val="TableContents"/>
              <w:spacing w:before="0" w:after="283"/>
              <w:rPr/>
            </w:pPr>
            <w:r>
              <w:rPr/>
              <w:t>As of January 1, 2023</w:t>
            </w:r>
          </w:p>
        </w:tc>
        <w:tc>
          <w:tcPr>
            <w:tcW w:w="3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17,920</w:t>
            </w:r>
          </w:p>
        </w:tc>
        <w:tc>
          <w:tcPr>
            <w:tcW w:w="157" w:type="dxa"/>
            <w:tcBorders/>
            <w:shd w:fill="CCEEFF" w:val="clear"/>
            <w:vAlign w:val="bottom"/>
          </w:tcPr>
          <w:p>
            <w:pPr>
              <w:pStyle w:val="TableContents"/>
              <w:spacing w:before="0" w:after="283"/>
              <w:rPr/>
            </w:pPr>
            <w:r>
              <w:rPr/>
              <w:t> </w:t>
            </w:r>
          </w:p>
        </w:tc>
      </w:tr>
      <w:tr>
        <w:trPr/>
        <w:tc>
          <w:tcPr>
            <w:tcW w:w="5775" w:type="dxa"/>
            <w:tcBorders/>
            <w:shd w:fill="auto" w:val="clear"/>
            <w:vAlign w:val="bottom"/>
          </w:tcPr>
          <w:p>
            <w:pPr>
              <w:pStyle w:val="TableContents"/>
              <w:spacing w:before="0" w:after="283"/>
              <w:rPr/>
            </w:pPr>
            <w:r>
              <w:rPr/>
              <w:t>Class C-2 Shares converted to Class C-1 Shares</w:t>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3,285</w:t>
            </w:r>
          </w:p>
        </w:tc>
        <w:tc>
          <w:tcPr>
            <w:tcW w:w="157" w:type="dxa"/>
            <w:tcBorders/>
            <w:shd w:fill="auto" w:val="clear"/>
            <w:vAlign w:val="bottom"/>
          </w:tcPr>
          <w:p>
            <w:pPr>
              <w:pStyle w:val="TableContents"/>
              <w:spacing w:before="0" w:after="283"/>
              <w:rPr/>
            </w:pPr>
            <w:r>
              <w:rPr/>
              <w:t> </w:t>
            </w:r>
          </w:p>
        </w:tc>
      </w:tr>
      <w:tr>
        <w:trPr/>
        <w:tc>
          <w:tcPr>
            <w:tcW w:w="5775" w:type="dxa"/>
            <w:tcBorders/>
            <w:shd w:fill="CCEEFF" w:val="clear"/>
            <w:vAlign w:val="bottom"/>
          </w:tcPr>
          <w:p>
            <w:pPr>
              <w:pStyle w:val="TableContents"/>
              <w:spacing w:before="0" w:after="283"/>
              <w:rPr/>
            </w:pPr>
            <w:r>
              <w:rPr/>
              <w:t>Changes in fair value measurement</w:t>
            </w:r>
          </w:p>
        </w:tc>
        <w:tc>
          <w:tcPr>
            <w:tcW w:w="359"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(4,190</w:t>
            </w:r>
          </w:p>
        </w:tc>
        <w:tc>
          <w:tcPr>
            <w:tcW w:w="157" w:type="dxa"/>
            <w:tcBorders/>
            <w:shd w:fill="CCEEFF" w:val="clear"/>
            <w:vAlign w:val="bottom"/>
          </w:tcPr>
          <w:p>
            <w:pPr>
              <w:pStyle w:val="TableContents"/>
              <w:spacing w:before="0" w:after="283"/>
              <w:rPr/>
            </w:pPr>
            <w:r>
              <w:rPr/>
              <w:t>) </w:t>
            </w:r>
          </w:p>
        </w:tc>
      </w:tr>
      <w:tr>
        <w:trPr/>
        <w:tc>
          <w:tcPr>
            <w:tcW w:w="5775"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775"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March 31, 2023</w:t>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b/>
              </w:rPr>
            </w:pPr>
            <w:r>
              <w:rPr>
                <w:b/>
              </w:rPr>
              <w:t>17,015</w:t>
            </w:r>
          </w:p>
        </w:tc>
        <w:tc>
          <w:tcPr>
            <w:tcW w:w="157" w:type="dxa"/>
            <w:tcBorders/>
            <w:shd w:fill="auto" w:val="clear"/>
            <w:vAlign w:val="bottom"/>
          </w:tcPr>
          <w:p>
            <w:pPr>
              <w:pStyle w:val="TableContents"/>
              <w:spacing w:before="0" w:after="283"/>
              <w:rPr/>
            </w:pPr>
            <w:r>
              <w:rPr/>
              <w:t> </w:t>
            </w:r>
          </w:p>
        </w:tc>
      </w:tr>
      <w:tr>
        <w:trPr/>
        <w:tc>
          <w:tcPr>
            <w:tcW w:w="5775"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As of December 31, 2022, 9,000,000 Class C-2 Shares were outstanding with a fair value of $10,080. On March 31, 2023, 4,500,000 Class C-2 Shares were outstanding and remeasured at $3,735, resulting in a total unrealized gain during the period of $6,345. The Class C-2 Shares are not publicly traded and require a valuation approach leveraging Level 2 inputs. Refer to </w:t>
      </w:r>
      <w:r>
        <w:rPr>
          <w:rFonts w:ascii="Times New Roman" w:hAnsi="Times New Roman"/>
          <w:i/>
          <w:sz w:val="20"/>
        </w:rPr>
        <w:t>Note 1 - Significant accounting policies and judgements</w:t>
      </w:r>
      <w:r>
        <w:rPr>
          <w:rFonts w:ascii="Times New Roman" w:hAnsi="Times New Roman"/>
          <w:sz w:val="20"/>
        </w:rPr>
        <w:t xml:space="preserve"> for further details on the valuation methodology utilized to determine the fair value of the Class C-2 Shares.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51"/>
        <w:gridCol w:w="365"/>
        <w:gridCol w:w="70"/>
        <w:gridCol w:w="822"/>
        <w:gridCol w:w="158"/>
      </w:tblGrid>
      <w:tr>
        <w:trPr/>
        <w:tc>
          <w:tcPr>
            <w:tcW w:w="575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51"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C-2</w:t>
              <w:br/>
              <w:t>Shares</w:t>
            </w:r>
          </w:p>
        </w:tc>
        <w:tc>
          <w:tcPr>
            <w:tcW w:w="158" w:type="dxa"/>
            <w:tcBorders/>
            <w:shd w:fill="auto" w:val="clear"/>
            <w:vAlign w:val="bottom"/>
          </w:tcPr>
          <w:p>
            <w:pPr>
              <w:pStyle w:val="TableContents"/>
              <w:spacing w:before="0" w:after="283"/>
              <w:rPr/>
            </w:pPr>
            <w:r>
              <w:rPr/>
              <w:t> </w:t>
            </w:r>
          </w:p>
        </w:tc>
      </w:tr>
      <w:tr>
        <w:trPr/>
        <w:tc>
          <w:tcPr>
            <w:tcW w:w="5751"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2023</w:t>
            </w:r>
          </w:p>
        </w:tc>
        <w:tc>
          <w:tcPr>
            <w:tcW w:w="365"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10,080</w:t>
            </w:r>
          </w:p>
        </w:tc>
        <w:tc>
          <w:tcPr>
            <w:tcW w:w="158" w:type="dxa"/>
            <w:tcBorders/>
            <w:shd w:fill="CCEEFF" w:val="clear"/>
            <w:vAlign w:val="bottom"/>
          </w:tcPr>
          <w:p>
            <w:pPr>
              <w:pStyle w:val="TableContents"/>
              <w:spacing w:before="0" w:after="283"/>
              <w:rPr/>
            </w:pPr>
            <w:r>
              <w:rPr/>
              <w:t> </w:t>
            </w:r>
          </w:p>
        </w:tc>
      </w:tr>
      <w:tr>
        <w:trPr/>
        <w:tc>
          <w:tcPr>
            <w:tcW w:w="5751"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 converted to Class C-1 Shares</w:t>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(3,285</w:t>
            </w:r>
          </w:p>
        </w:tc>
        <w:tc>
          <w:tcPr>
            <w:tcW w:w="158" w:type="dxa"/>
            <w:tcBorders/>
            <w:shd w:fill="auto" w:val="clear"/>
            <w:vAlign w:val="bottom"/>
          </w:tcPr>
          <w:p>
            <w:pPr>
              <w:pStyle w:val="TableContents"/>
              <w:spacing w:before="0" w:after="283"/>
              <w:rPr/>
            </w:pPr>
            <w:r>
              <w:rPr/>
              <w:t>) </w:t>
            </w:r>
          </w:p>
        </w:tc>
      </w:tr>
      <w:tr>
        <w:trPr/>
        <w:tc>
          <w:tcPr>
            <w:tcW w:w="5751"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fair value measurement</w:t>
            </w:r>
          </w:p>
        </w:tc>
        <w:tc>
          <w:tcPr>
            <w:tcW w:w="365"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(3,060</w:t>
            </w:r>
          </w:p>
        </w:tc>
        <w:tc>
          <w:tcPr>
            <w:tcW w:w="158" w:type="dxa"/>
            <w:tcBorders/>
            <w:shd w:fill="CCEEFF"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2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751"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March 31, 2023</w:t>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b/>
              </w:rPr>
            </w:pPr>
            <w:r>
              <w:rPr>
                <w:b/>
              </w:rPr>
              <w:t>3,735</w:t>
            </w:r>
          </w:p>
        </w:tc>
        <w:tc>
          <w:tcPr>
            <w:tcW w:w="158" w:type="dxa"/>
            <w:tcBorders/>
            <w:shd w:fill="auto"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0"/>
              <w:rPr/>
            </w:pPr>
            <w:r>
              <w:rPr/>
              <w:t> </w:t>
            </w:r>
          </w:p>
        </w:tc>
        <w:tc>
          <w:tcPr>
            <w:tcW w:w="822"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fair value change for the Class C Shares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6228"/>
        <w:gridCol w:w="215"/>
        <w:gridCol w:w="60"/>
        <w:gridCol w:w="660"/>
        <w:gridCol w:w="60"/>
        <w:gridCol w:w="215"/>
        <w:gridCol w:w="69"/>
        <w:gridCol w:w="438"/>
        <w:gridCol w:w="64"/>
      </w:tblGrid>
      <w:tr>
        <w:trPr/>
        <w:tc>
          <w:tcPr>
            <w:tcW w:w="622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62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50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w:t>
              <w:br/>
              <w:t>months ended</w:t>
              <w:br/>
              <w:t>March 31,</w:t>
            </w:r>
          </w:p>
        </w:tc>
        <w:tc>
          <w:tcPr>
            <w:tcW w:w="64" w:type="dxa"/>
            <w:tcBorders/>
            <w:shd w:fill="auto" w:val="clear"/>
            <w:vAlign w:val="bottom"/>
          </w:tcPr>
          <w:p>
            <w:pPr>
              <w:pStyle w:val="TableContents"/>
              <w:spacing w:before="0" w:after="283"/>
              <w:rPr/>
            </w:pPr>
            <w:r>
              <w:rPr/>
              <w:t> </w:t>
            </w:r>
          </w:p>
        </w:tc>
      </w:tr>
      <w:tr>
        <w:trPr/>
        <w:tc>
          <w:tcPr>
            <w:tcW w:w="62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6228"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Class C-1 Shares</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905</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6228"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C-2 Shares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6,345</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6228"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622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Fair value change - Class C Shares</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b/>
              </w:rPr>
            </w:pPr>
            <w:r>
              <w:rPr>
                <w:b/>
              </w:rPr>
              <w:t>7,250</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jc w:val="right"/>
              <w:rPr>
                <w:b/>
              </w:rPr>
            </w:pPr>
            <w:r>
              <w:rPr>
                <w:b/>
              </w:rPr>
              <w:t>  </w:t>
            </w:r>
          </w:p>
        </w:tc>
        <w:tc>
          <w:tcPr>
            <w:tcW w:w="64" w:type="dxa"/>
            <w:tcBorders/>
            <w:shd w:fill="CCEEFF" w:val="clear"/>
            <w:vAlign w:val="bottom"/>
          </w:tcPr>
          <w:p>
            <w:pPr>
              <w:pStyle w:val="TableContents"/>
              <w:spacing w:before="0" w:after="283"/>
              <w:rPr/>
            </w:pPr>
            <w:r>
              <w:rPr/>
              <w:t> </w:t>
            </w:r>
          </w:p>
        </w:tc>
      </w:tr>
      <w:tr>
        <w:trPr/>
        <w:tc>
          <w:tcPr>
            <w:tcW w:w="6228"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43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Earn-out rights </w:t>
      </w:r>
    </w:p>
    <w:p>
      <w:pPr>
        <w:pStyle w:val="TextBody"/>
        <w:spacing w:before="120" w:after="0"/>
        <w:jc w:val="left"/>
        <w:rPr>
          <w:rFonts w:ascii="Times New Roman" w:hAnsi="Times New Roman"/>
          <w:sz w:val="20"/>
        </w:rPr>
      </w:pPr>
      <w:r>
        <w:rPr>
          <w:rFonts w:ascii="Times New Roman" w:hAnsi="Times New Roman"/>
          <w:sz w:val="20"/>
        </w:rPr>
        <w:t xml:space="preserve">As of December 31, 2022, the financial liability related to the Earn-out rights was $598,570. On March 31, 2023, the financial liability related to the Earn-out rights was remeasured at $392,375, resulting in a total unrealized gain during the period of $206,195. Refer to </w:t>
      </w:r>
      <w:r>
        <w:rPr>
          <w:rFonts w:ascii="Times New Roman" w:hAnsi="Times New Roman"/>
          <w:i/>
          <w:sz w:val="20"/>
        </w:rPr>
        <w:t>Note 1 - Significant accounting policies and judgements</w:t>
      </w:r>
      <w:r>
        <w:rPr>
          <w:rFonts w:ascii="Times New Roman" w:hAnsi="Times New Roman"/>
          <w:sz w:val="20"/>
        </w:rPr>
        <w:t xml:space="preserve"> for further details on the valuation methodology utilized to determine the fair value of the earn out.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28"/>
        <w:gridCol w:w="192"/>
        <w:gridCol w:w="60"/>
        <w:gridCol w:w="1026"/>
        <w:gridCol w:w="160"/>
      </w:tblGrid>
      <w:tr>
        <w:trPr/>
        <w:tc>
          <w:tcPr>
            <w:tcW w:w="572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72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Earn out</w:t>
              <w:br/>
              <w:t>rights</w:t>
            </w:r>
          </w:p>
        </w:tc>
        <w:tc>
          <w:tcPr>
            <w:tcW w:w="160" w:type="dxa"/>
            <w:tcBorders/>
            <w:shd w:fill="auto" w:val="clear"/>
            <w:vAlign w:val="bottom"/>
          </w:tcPr>
          <w:p>
            <w:pPr>
              <w:pStyle w:val="TableContents"/>
              <w:spacing w:before="0" w:after="283"/>
              <w:rPr/>
            </w:pPr>
            <w:r>
              <w:rPr/>
              <w:t> </w:t>
            </w:r>
          </w:p>
        </w:tc>
      </w:tr>
      <w:tr>
        <w:trPr/>
        <w:tc>
          <w:tcPr>
            <w:tcW w:w="5728"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2023</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598,570</w:t>
            </w:r>
          </w:p>
        </w:tc>
        <w:tc>
          <w:tcPr>
            <w:tcW w:w="160" w:type="dxa"/>
            <w:tcBorders/>
            <w:shd w:fill="CCEEFF" w:val="clear"/>
            <w:vAlign w:val="bottom"/>
          </w:tcPr>
          <w:p>
            <w:pPr>
              <w:pStyle w:val="TableContents"/>
              <w:spacing w:before="0" w:after="283"/>
              <w:rPr/>
            </w:pPr>
            <w:r>
              <w:rPr/>
              <w:t> </w:t>
            </w:r>
          </w:p>
        </w:tc>
      </w:tr>
      <w:tr>
        <w:trPr/>
        <w:tc>
          <w:tcPr>
            <w:tcW w:w="5728" w:type="dxa"/>
            <w:tcBorders/>
            <w:shd w:fill="auto" w:val="clear"/>
          </w:tcPr>
          <w:p>
            <w:pPr>
              <w:pStyle w:val="TableContents"/>
              <w:spacing w:before="0" w:after="0"/>
              <w:rPr>
                <w:rFonts w:ascii="Times New Roman" w:hAnsi="Times New Roman"/>
                <w:sz w:val="20"/>
              </w:rPr>
            </w:pPr>
            <w:r>
              <w:rPr>
                <w:rFonts w:ascii="Times New Roman" w:hAnsi="Times New Roman"/>
                <w:sz w:val="20"/>
              </w:rPr>
              <w:t>Changes in fair value measurement</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(206,195</w:t>
            </w:r>
          </w:p>
        </w:tc>
        <w:tc>
          <w:tcPr>
            <w:tcW w:w="160" w:type="dxa"/>
            <w:tcBorders/>
            <w:shd w:fill="auto" w:val="clear"/>
            <w:vAlign w:val="bottom"/>
          </w:tcPr>
          <w:p>
            <w:pPr>
              <w:pStyle w:val="TableContents"/>
              <w:spacing w:before="0" w:after="283"/>
              <w:rPr/>
            </w:pPr>
            <w:r>
              <w:rPr/>
              <w:t>) </w:t>
            </w:r>
          </w:p>
        </w:tc>
      </w:tr>
      <w:tr>
        <w:trPr/>
        <w:tc>
          <w:tcPr>
            <w:tcW w:w="572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728" w:type="dxa"/>
            <w:tcBorders/>
            <w:shd w:fill="CCEEFF" w:val="clear"/>
          </w:tcPr>
          <w:p>
            <w:pPr>
              <w:pStyle w:val="TableContents"/>
              <w:spacing w:before="0" w:after="0"/>
              <w:rPr>
                <w:rFonts w:ascii="Times New Roman" w:hAnsi="Times New Roman"/>
                <w:b/>
                <w:sz w:val="20"/>
              </w:rPr>
            </w:pPr>
            <w:r>
              <w:rPr>
                <w:rFonts w:ascii="Times New Roman" w:hAnsi="Times New Roman"/>
                <w:b/>
                <w:sz w:val="20"/>
              </w:rPr>
              <w:t>As of March 31, 2023</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b/>
              </w:rPr>
            </w:pPr>
            <w:r>
              <w:rPr>
                <w:b/>
              </w:rPr>
              <w:t>392,375</w:t>
            </w:r>
          </w:p>
        </w:tc>
        <w:tc>
          <w:tcPr>
            <w:tcW w:w="160" w:type="dxa"/>
            <w:tcBorders/>
            <w:shd w:fill="CCEEFF" w:val="clear"/>
            <w:vAlign w:val="bottom"/>
          </w:tcPr>
          <w:p>
            <w:pPr>
              <w:pStyle w:val="TableContents"/>
              <w:spacing w:before="0" w:after="283"/>
              <w:rPr/>
            </w:pPr>
            <w:r>
              <w:rPr/>
              <w:t> </w:t>
            </w:r>
          </w:p>
        </w:tc>
      </w:tr>
      <w:tr>
        <w:trPr/>
        <w:tc>
          <w:tcPr>
            <w:tcW w:w="572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fair value change for the Earn-out rights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82"/>
        <w:gridCol w:w="260"/>
        <w:gridCol w:w="87"/>
        <w:gridCol w:w="1175"/>
        <w:gridCol w:w="87"/>
        <w:gridCol w:w="298"/>
        <w:gridCol w:w="87"/>
        <w:gridCol w:w="569"/>
        <w:gridCol w:w="64"/>
      </w:tblGrid>
      <w:tr>
        <w:trPr/>
        <w:tc>
          <w:tcPr>
            <w:tcW w:w="538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38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0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382"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87"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382"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2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206,195</w:t>
            </w:r>
          </w:p>
        </w:tc>
        <w:tc>
          <w:tcPr>
            <w:tcW w:w="87"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9 - Equity </w:t>
      </w:r>
    </w:p>
    <w:p>
      <w:pPr>
        <w:pStyle w:val="TextBody"/>
        <w:spacing w:before="120" w:after="0"/>
        <w:jc w:val="left"/>
        <w:rPr>
          <w:rFonts w:ascii="Times New Roman" w:hAnsi="Times New Roman"/>
          <w:sz w:val="20"/>
        </w:rPr>
      </w:pPr>
      <w:r>
        <w:rPr>
          <w:rFonts w:ascii="Times New Roman" w:hAnsi="Times New Roman"/>
          <w:sz w:val="20"/>
        </w:rPr>
        <w:t xml:space="preserve">Changes in the Groups equity during the three months ended March 31, 2023 were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024"/>
        <w:gridCol w:w="212"/>
        <w:gridCol w:w="60"/>
        <w:gridCol w:w="1225"/>
        <w:gridCol w:w="60"/>
        <w:gridCol w:w="212"/>
        <w:gridCol w:w="60"/>
        <w:gridCol w:w="1404"/>
        <w:gridCol w:w="60"/>
        <w:gridCol w:w="212"/>
        <w:gridCol w:w="105"/>
        <w:gridCol w:w="1346"/>
        <w:gridCol w:w="155"/>
        <w:gridCol w:w="172"/>
        <w:gridCol w:w="63"/>
        <w:gridCol w:w="1163"/>
        <w:gridCol w:w="162"/>
      </w:tblGrid>
      <w:tr>
        <w:trPr/>
        <w:tc>
          <w:tcPr>
            <w:tcW w:w="302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2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Shares</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4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Shares</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 Capital</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contributed</w:t>
              <w:br/>
              <w:t>capital</w:t>
            </w:r>
          </w:p>
        </w:tc>
        <w:tc>
          <w:tcPr>
            <w:tcW w:w="162" w:type="dxa"/>
            <w:tcBorders/>
            <w:shd w:fill="auto" w:val="clear"/>
            <w:vAlign w:val="bottom"/>
          </w:tcPr>
          <w:p>
            <w:pPr>
              <w:pStyle w:val="TableContents"/>
              <w:spacing w:before="0" w:after="283"/>
              <w:rPr/>
            </w:pPr>
            <w:r>
              <w:rPr/>
              <w:t> </w:t>
            </w:r>
          </w:p>
        </w:tc>
      </w:tr>
      <w:tr>
        <w:trPr/>
        <w:tc>
          <w:tcPr>
            <w:tcW w:w="3024"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2023</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pPr>
            <w:r>
              <w:rPr/>
              <w:t>467,677,673</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pPr>
            <w:r>
              <w:rPr/>
              <w:t>1,642,233,575</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pPr>
            <w:r>
              <w:rPr/>
              <w:t>(21,165</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(3,584,232</w:t>
            </w:r>
          </w:p>
        </w:tc>
        <w:tc>
          <w:tcPr>
            <w:tcW w:w="162" w:type="dxa"/>
            <w:tcBorders/>
            <w:shd w:fill="CCEEFF" w:val="clear"/>
            <w:vAlign w:val="bottom"/>
          </w:tcPr>
          <w:p>
            <w:pPr>
              <w:pStyle w:val="TableContents"/>
              <w:spacing w:before="0" w:after="283"/>
              <w:rPr/>
            </w:pPr>
            <w:r>
              <w:rPr/>
              <w:t>) </w:t>
            </w:r>
          </w:p>
        </w:tc>
      </w:tr>
      <w:tr>
        <w:trPr/>
        <w:tc>
          <w:tcPr>
            <w:tcW w:w="3024" w:type="dxa"/>
            <w:tcBorders/>
            <w:shd w:fill="auto" w:val="clear"/>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right"/>
              <w:rPr/>
            </w:pPr>
            <w:r>
              <w:rPr/>
              <w:t>31,250</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34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(1,159</w:t>
            </w:r>
          </w:p>
        </w:tc>
        <w:tc>
          <w:tcPr>
            <w:tcW w:w="162" w:type="dxa"/>
            <w:tcBorders/>
            <w:shd w:fill="auto" w:val="clear"/>
            <w:vAlign w:val="bottom"/>
          </w:tcPr>
          <w:p>
            <w:pPr>
              <w:pStyle w:val="TableContents"/>
              <w:spacing w:before="0" w:after="283"/>
              <w:rPr/>
            </w:pPr>
            <w:r>
              <w:rPr/>
              <w:t>) </w:t>
            </w:r>
          </w:p>
        </w:tc>
      </w:tr>
      <w:tr>
        <w:trPr/>
        <w:tc>
          <w:tcPr>
            <w:tcW w:w="3024"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34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16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302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b/>
              </w:rPr>
            </w:pPr>
            <w:r>
              <w:rPr>
                <w:b/>
              </w:rPr>
              <w:t>467,708,923</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4" w:type="dxa"/>
            <w:tcBorders/>
            <w:shd w:fill="CCEEFF" w:val="clear"/>
            <w:vAlign w:val="bottom"/>
          </w:tcPr>
          <w:p>
            <w:pPr>
              <w:pStyle w:val="TableContents"/>
              <w:spacing w:before="0" w:after="283"/>
              <w:jc w:val="right"/>
              <w:rPr>
                <w:b/>
              </w:rPr>
            </w:pPr>
            <w:r>
              <w:rPr>
                <w:b/>
              </w:rPr>
              <w:t>1,642,233,575</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346" w:type="dxa"/>
            <w:tcBorders/>
            <w:shd w:fill="CCEEFF" w:val="clear"/>
            <w:vAlign w:val="bottom"/>
          </w:tcPr>
          <w:p>
            <w:pPr>
              <w:pStyle w:val="TableContents"/>
              <w:spacing w:before="0" w:after="283"/>
              <w:jc w:val="right"/>
              <w:rPr>
                <w:b/>
              </w:rPr>
            </w:pPr>
            <w:r>
              <w:rPr>
                <w:b/>
              </w:rPr>
              <w:t>(21,165</w:t>
            </w:r>
          </w:p>
        </w:tc>
        <w:tc>
          <w:tcPr>
            <w:tcW w:w="155" w:type="dxa"/>
            <w:tcBorders/>
            <w:shd w:fill="CCEEFF" w:val="clear"/>
            <w:vAlign w:val="bottom"/>
          </w:tcPr>
          <w:p>
            <w:pPr>
              <w:pStyle w:val="TableContents"/>
              <w:spacing w:before="0" w:after="283"/>
              <w:rPr>
                <w:b/>
              </w:rPr>
            </w:pPr>
            <w:r>
              <w:rPr>
                <w:b/>
              </w:rPr>
              <w:t>) </w:t>
            </w:r>
          </w:p>
        </w:tc>
        <w:tc>
          <w:tcPr>
            <w:tcW w:w="172"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b/>
              </w:rPr>
            </w:pPr>
            <w:r>
              <w:rPr>
                <w:b/>
              </w:rPr>
              <w:t>(3,585,391</w:t>
            </w:r>
          </w:p>
        </w:tc>
        <w:tc>
          <w:tcPr>
            <w:tcW w:w="162" w:type="dxa"/>
            <w:tcBorders/>
            <w:shd w:fill="CCEEFF" w:val="clear"/>
            <w:vAlign w:val="bottom"/>
          </w:tcPr>
          <w:p>
            <w:pPr>
              <w:pStyle w:val="TableContents"/>
              <w:spacing w:before="0" w:after="283"/>
              <w:rPr>
                <w:b/>
              </w:rPr>
            </w:pPr>
            <w:r>
              <w:rPr>
                <w:b/>
              </w:rPr>
              <w:t>) </w:t>
            </w:r>
          </w:p>
        </w:tc>
      </w:tr>
      <w:tr>
        <w:trPr/>
        <w:tc>
          <w:tcPr>
            <w:tcW w:w="3024"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34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16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instruments of the Parent were issued and outstanding in the form of American depositary shares as of March 31,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1"/>
        <w:gridCol w:w="105"/>
        <w:gridCol w:w="9592"/>
      </w:tblGrid>
      <w:tr>
        <w:trPr/>
        <w:tc>
          <w:tcPr>
            <w:tcW w:w="421"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467,708,923 Class A Shares with a par value of $0.01, of which 218,236,687 were owned by related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0"/>
        <w:gridCol w:w="105"/>
        <w:gridCol w:w="9594"/>
      </w:tblGrid>
      <w:tr>
        <w:trPr/>
        <w:tc>
          <w:tcPr>
            <w:tcW w:w="420"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1,642,233,575 Class B Shares with a par value of $0.01, of which all were owned by related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1"/>
        <w:gridCol w:w="103"/>
        <w:gridCol w:w="9595"/>
      </w:tblGrid>
      <w:tr>
        <w:trPr/>
        <w:tc>
          <w:tcPr>
            <w:tcW w:w="420"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20,499,965 Class C-1 Shares with a par value of $0.10;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421"/>
        <w:gridCol w:w="104"/>
        <w:gridCol w:w="9594"/>
      </w:tblGrid>
      <w:tr>
        <w:trPr/>
        <w:tc>
          <w:tcPr>
            <w:tcW w:w="420"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4,500,000 Class C-2 Shares with a par value of $0.10;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422"/>
        <w:gridCol w:w="104"/>
        <w:gridCol w:w="9592"/>
      </w:tblGrid>
      <w:tr>
        <w:trPr/>
        <w:tc>
          <w:tcPr>
            <w:tcW w:w="421"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50,000 Redeemable Preferred Shares with a par value of GBP 1.00. </w:t>
            </w:r>
          </w:p>
        </w:tc>
      </w:tr>
    </w:tbl>
    <w:p>
      <w:pPr>
        <w:pStyle w:val="TextBody"/>
        <w:spacing w:before="240" w:after="0"/>
        <w:jc w:val="left"/>
        <w:rPr>
          <w:rFonts w:ascii="Times New Roman" w:hAnsi="Times New Roman"/>
          <w:sz w:val="20"/>
        </w:rPr>
      </w:pPr>
      <w:r>
        <w:rPr>
          <w:rFonts w:ascii="Times New Roman" w:hAnsi="Times New Roman"/>
          <w:sz w:val="20"/>
        </w:rPr>
        <w:t xml:space="preserve">As of March 31, 2023, there were an additional 4,532,291,077 Class A Shares and 135,133,164 Class B Shares with par values of $0.01 authorized for issuance. No additional Class C Shares or Redeemable Preferred Shares 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 Shares and GBP Redeemable Preferred Shares in Parent are not entitled to participate in any dividends or other distributions. Refer to </w:t>
      </w:r>
      <w:r>
        <w:rPr>
          <w:rFonts w:ascii="Times New Roman" w:hAnsi="Times New Roman"/>
          <w:i/>
          <w:sz w:val="20"/>
        </w:rPr>
        <w:t>Note 8 - Reverse recapitalization</w:t>
      </w:r>
      <w:r>
        <w:rPr>
          <w:rFonts w:ascii="Times New Roman" w:hAnsi="Times New Roman"/>
          <w:sz w:val="20"/>
        </w:rPr>
        <w:t xml:space="preserve"> for additional information on the Class C Shares which are accounted for as derivative financial liabilities in accordance with IAS 32 and IFRS 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Note 10 - Liabilities to credit institutions </w:t>
      </w:r>
    </w:p>
    <w:p>
      <w:pPr>
        <w:pStyle w:val="TextBody"/>
        <w:spacing w:before="120" w:after="0"/>
        <w:jc w:val="left"/>
        <w:rPr>
          <w:rFonts w:ascii="Times New Roman" w:hAnsi="Times New Roman"/>
          <w:sz w:val="20"/>
        </w:rPr>
      </w:pPr>
      <w:r>
        <w:rPr>
          <w:rFonts w:ascii="Times New Roman" w:hAnsi="Times New Roman"/>
          <w:sz w:val="20"/>
        </w:rPr>
        <w:t xml:space="preserve">The carrying amount of Polestar Groups liabilities to credit institutions as of March 31, 2023 and December 31, 2022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64"/>
        <w:gridCol w:w="185"/>
        <w:gridCol w:w="61"/>
        <w:gridCol w:w="1022"/>
        <w:gridCol w:w="60"/>
        <w:gridCol w:w="185"/>
        <w:gridCol w:w="64"/>
        <w:gridCol w:w="1105"/>
        <w:gridCol w:w="63"/>
      </w:tblGrid>
      <w:tr>
        <w:trPr/>
        <w:tc>
          <w:tcPr>
            <w:tcW w:w="526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264" w:type="dxa"/>
            <w:tcBorders/>
            <w:shd w:fill="auto" w:val="clear"/>
            <w:vAlign w:val="bottom"/>
          </w:tcPr>
          <w:p>
            <w:pPr>
              <w:pStyle w:val="TableContents"/>
              <w:spacing w:before="0" w:after="283"/>
              <w:rPr>
                <w:b/>
              </w:rPr>
            </w:pPr>
            <w:r>
              <w:rPr>
                <w:b/>
              </w:rPr>
              <w:t>Liabilities to credit institutions</w:t>
            </w:r>
          </w:p>
        </w:tc>
        <w:tc>
          <w:tcPr>
            <w:tcW w:w="185" w:type="dxa"/>
            <w:tcBorders/>
            <w:shd w:fill="auto" w:val="clear"/>
            <w:vAlign w:val="bottom"/>
          </w:tcPr>
          <w:p>
            <w:pPr>
              <w:pStyle w:val="TableContents"/>
              <w:spacing w:before="0" w:after="283"/>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w:t>
              <w:br/>
              <w:t>31, 2022</w:t>
            </w:r>
          </w:p>
        </w:tc>
        <w:tc>
          <w:tcPr>
            <w:tcW w:w="63" w:type="dxa"/>
            <w:tcBorders/>
            <w:shd w:fill="auto" w:val="clear"/>
            <w:vAlign w:val="bottom"/>
          </w:tcPr>
          <w:p>
            <w:pPr>
              <w:pStyle w:val="TableContents"/>
              <w:spacing w:before="0" w:after="283"/>
              <w:rPr/>
            </w:pPr>
            <w:r>
              <w:rPr/>
              <w:t> </w:t>
            </w:r>
          </w:p>
        </w:tc>
      </w:tr>
      <w:tr>
        <w:trPr/>
        <w:tc>
          <w:tcPr>
            <w:tcW w:w="5264" w:type="dxa"/>
            <w:tcBorders/>
            <w:shd w:fill="CCEEFF" w:val="clear"/>
          </w:tcPr>
          <w:p>
            <w:pPr>
              <w:pStyle w:val="TableContents"/>
              <w:spacing w:before="0" w:after="0"/>
              <w:rPr>
                <w:rFonts w:ascii="Times New Roman" w:hAnsi="Times New Roman"/>
                <w:sz w:val="20"/>
              </w:rPr>
            </w:pPr>
            <w:r>
              <w:rPr>
                <w:rFonts w:ascii="Times New Roman" w:hAnsi="Times New Roman"/>
                <w:sz w:val="20"/>
              </w:rPr>
              <w:t>Working capital loans from banks</w:t>
            </w:r>
          </w:p>
        </w:tc>
        <w:tc>
          <w:tcPr>
            <w:tcW w:w="18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1,308,291</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1,300,108</w:t>
            </w:r>
          </w:p>
        </w:tc>
        <w:tc>
          <w:tcPr>
            <w:tcW w:w="63" w:type="dxa"/>
            <w:tcBorders/>
            <w:shd w:fill="CCEEFF" w:val="clear"/>
            <w:vAlign w:val="bottom"/>
          </w:tcPr>
          <w:p>
            <w:pPr>
              <w:pStyle w:val="TableContents"/>
              <w:spacing w:before="0" w:after="283"/>
              <w:rPr/>
            </w:pPr>
            <w:r>
              <w:rPr/>
              <w:t> </w:t>
            </w:r>
          </w:p>
        </w:tc>
      </w:tr>
      <w:tr>
        <w:trPr/>
        <w:tc>
          <w:tcPr>
            <w:tcW w:w="5264" w:type="dxa"/>
            <w:tcBorders/>
            <w:shd w:fill="auto" w:val="clear"/>
          </w:tcPr>
          <w:p>
            <w:pPr>
              <w:pStyle w:val="TableContents"/>
              <w:spacing w:before="0" w:after="0"/>
              <w:rPr>
                <w:rFonts w:ascii="Times New Roman" w:hAnsi="Times New Roman"/>
                <w:sz w:val="20"/>
              </w:rPr>
            </w:pPr>
            <w:r>
              <w:rPr>
                <w:rFonts w:ascii="Times New Roman" w:hAnsi="Times New Roman"/>
                <w:sz w:val="20"/>
              </w:rPr>
              <w:t>Floorplan facilities</w:t>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25,678</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16,925</w:t>
            </w:r>
          </w:p>
        </w:tc>
        <w:tc>
          <w:tcPr>
            <w:tcW w:w="63" w:type="dxa"/>
            <w:tcBorders/>
            <w:shd w:fill="auto" w:val="clear"/>
            <w:vAlign w:val="bottom"/>
          </w:tcPr>
          <w:p>
            <w:pPr>
              <w:pStyle w:val="TableContents"/>
              <w:spacing w:before="0" w:after="283"/>
              <w:rPr/>
            </w:pPr>
            <w:r>
              <w:rPr/>
              <w:t> </w:t>
            </w:r>
          </w:p>
        </w:tc>
      </w:tr>
      <w:tr>
        <w:trPr/>
        <w:tc>
          <w:tcPr>
            <w:tcW w:w="5264" w:type="dxa"/>
            <w:tcBorders/>
            <w:shd w:fill="CCEEFF" w:val="clear"/>
          </w:tcPr>
          <w:p>
            <w:pPr>
              <w:pStyle w:val="TableContents"/>
              <w:spacing w:before="0" w:after="0"/>
              <w:rPr>
                <w:rFonts w:ascii="Times New Roman" w:hAnsi="Times New Roman"/>
                <w:sz w:val="20"/>
              </w:rPr>
            </w:pPr>
            <w:r>
              <w:rPr>
                <w:rFonts w:ascii="Times New Roman" w:hAnsi="Times New Roman"/>
                <w:sz w:val="20"/>
              </w:rPr>
              <w:t>Sale-leaseback facilities</w:t>
            </w:r>
          </w:p>
        </w:tc>
        <w:tc>
          <w:tcPr>
            <w:tcW w:w="18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14,666</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11,719</w:t>
            </w:r>
          </w:p>
        </w:tc>
        <w:tc>
          <w:tcPr>
            <w:tcW w:w="63" w:type="dxa"/>
            <w:tcBorders/>
            <w:shd w:fill="CCEEFF" w:val="clear"/>
            <w:vAlign w:val="bottom"/>
          </w:tcPr>
          <w:p>
            <w:pPr>
              <w:pStyle w:val="TableContents"/>
              <w:spacing w:before="0" w:after="283"/>
              <w:rPr/>
            </w:pPr>
            <w:r>
              <w:rPr/>
              <w:t> </w:t>
            </w:r>
          </w:p>
        </w:tc>
      </w:tr>
      <w:tr>
        <w:trPr/>
        <w:tc>
          <w:tcPr>
            <w:tcW w:w="526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26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b/>
              </w:rPr>
            </w:pPr>
            <w:r>
              <w:rPr>
                <w:b/>
              </w:rPr>
              <w:t>1,348,635</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b/>
              </w:rPr>
            </w:pPr>
            <w:r>
              <w:rPr>
                <w:b/>
              </w:rPr>
              <w:t>1,328,752</w:t>
            </w:r>
          </w:p>
        </w:tc>
        <w:tc>
          <w:tcPr>
            <w:tcW w:w="63" w:type="dxa"/>
            <w:tcBorders/>
            <w:shd w:fill="auto" w:val="clear"/>
            <w:vAlign w:val="bottom"/>
          </w:tcPr>
          <w:p>
            <w:pPr>
              <w:pStyle w:val="TableContents"/>
              <w:spacing w:before="0" w:after="283"/>
              <w:rPr/>
            </w:pPr>
            <w:r>
              <w:rPr/>
              <w:t> </w:t>
            </w:r>
          </w:p>
        </w:tc>
      </w:tr>
      <w:tr>
        <w:trPr/>
        <w:tc>
          <w:tcPr>
            <w:tcW w:w="526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Group has the following working capital loans outstanding as of March 31, 2023: </w:t>
      </w:r>
    </w:p>
    <w:p>
      <w:pPr>
        <w:pStyle w:val="TextBody"/>
        <w:spacing w:before="0" w:after="0"/>
        <w:jc w:val="left"/>
        <w:rPr/>
      </w:pPr>
      <w:r>
        <w:rPr/>
        <w:t> </w:t>
      </w:r>
    </w:p>
    <w:tbl>
      <w:tblPr>
        <w:tblW w:w="14265" w:type="dxa"/>
        <w:jc w:val="center"/>
        <w:tblInd w:w="0" w:type="dxa"/>
        <w:tblCellMar>
          <w:top w:w="0" w:type="dxa"/>
          <w:left w:w="0" w:type="dxa"/>
          <w:bottom w:w="0" w:type="dxa"/>
          <w:right w:w="0" w:type="dxa"/>
        </w:tblCellMar>
      </w:tblPr>
      <w:tblGrid>
        <w:gridCol w:w="710"/>
        <w:gridCol w:w="120"/>
        <w:gridCol w:w="3305"/>
        <w:gridCol w:w="120"/>
        <w:gridCol w:w="1160"/>
        <w:gridCol w:w="60"/>
        <w:gridCol w:w="6260"/>
        <w:gridCol w:w="120"/>
        <w:gridCol w:w="78"/>
        <w:gridCol w:w="1052"/>
        <w:gridCol w:w="60"/>
        <w:gridCol w:w="120"/>
        <w:gridCol w:w="60"/>
        <w:gridCol w:w="980"/>
        <w:gridCol w:w="60"/>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2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Currency</w:t>
            </w:r>
          </w:p>
        </w:tc>
        <w:tc>
          <w:tcPr>
            <w:tcW w:w="120" w:type="dxa"/>
            <w:tcBorders/>
            <w:shd w:fill="auto" w:val="clear"/>
            <w:vAlign w:val="bottom"/>
          </w:tcPr>
          <w:p>
            <w:pPr>
              <w:pStyle w:val="TableContents"/>
              <w:spacing w:before="0" w:after="283"/>
              <w:rPr/>
            </w:pPr>
            <w:r>
              <w:rPr/>
              <w:t>  </w:t>
            </w:r>
          </w:p>
        </w:tc>
        <w:tc>
          <w:tcPr>
            <w:tcW w:w="33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Term</w:t>
            </w:r>
          </w:p>
        </w:tc>
        <w:tc>
          <w:tcPr>
            <w:tcW w:w="120" w:type="dxa"/>
            <w:tcBorders/>
            <w:shd w:fill="auto" w:val="clear"/>
            <w:vAlign w:val="bottom"/>
          </w:tcPr>
          <w:p>
            <w:pPr>
              <w:pStyle w:val="TableContents"/>
              <w:spacing w:before="0" w:after="283"/>
              <w:rPr/>
            </w:pPr>
            <w:r>
              <w:rPr/>
              <w:t>  </w:t>
            </w:r>
          </w:p>
        </w:tc>
        <w:tc>
          <w:tcPr>
            <w:tcW w:w="1160" w:type="dxa"/>
            <w:tcBorders>
              <w:bottom w:val="single" w:sz="8" w:space="0" w:color="000000"/>
            </w:tcBorders>
            <w:shd w:fill="auto" w:val="clear"/>
            <w:tcMar>
              <w:bottom w:w="28" w:type="dxa"/>
            </w:tcMar>
            <w:vAlign w:val="bottom"/>
          </w:tcPr>
          <w:p>
            <w:pPr>
              <w:pStyle w:val="TableContents"/>
              <w:spacing w:before="0" w:after="283"/>
              <w:jc w:val="center"/>
              <w:rPr>
                <w:b/>
              </w:rPr>
            </w:pPr>
            <w:r>
              <w:rPr>
                <w:b/>
              </w:rPr>
              <w:t>Security</w:t>
            </w:r>
          </w:p>
        </w:tc>
        <w:tc>
          <w:tcPr>
            <w:tcW w:w="60" w:type="dxa"/>
            <w:tcBorders/>
            <w:shd w:fill="auto" w:val="clear"/>
            <w:vAlign w:val="bottom"/>
          </w:tcPr>
          <w:p>
            <w:pPr>
              <w:pStyle w:val="TableContents"/>
              <w:spacing w:before="0" w:after="283"/>
              <w:rPr/>
            </w:pPr>
            <w:r>
              <w:rPr/>
              <w:t> </w:t>
            </w:r>
          </w:p>
        </w:tc>
        <w:tc>
          <w:tcPr>
            <w:tcW w:w="62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Interest</w:t>
            </w:r>
          </w:p>
        </w:tc>
        <w:tc>
          <w:tcPr>
            <w:tcW w:w="12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Nominal</w:t>
              <w:br/>
              <w:t>amount in</w:t>
              <w:br/>
              <w:t>respective</w:t>
              <w:br/>
              <w:t>currency</w:t>
              <w:br/>
              <w:t>(thousands)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TUSD</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EUR</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February 2023 - February 2024</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Secured1</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3 month EURIBOR2 plus 2.3% and an arrangement fee of 0.15%</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145,439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158,419</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CNY</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June 2022 - June 2023</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12 month LPR3 plus 1.25%, settled monthly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72,789</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CNY</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August 2022 - August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Unsecured</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12 month LPR plus 0.05%,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716,000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104,233</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CNY</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March 2023 - March 2024</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12 month LPR plus 0.05%,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260,000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37,850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USD</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August 2022 - August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Unsecured</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3 month LPR plus 2.3%,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147,000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147,000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USD</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September 2022 - September 2023</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3 month LPR plus 2.3%,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255,000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255,000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USD</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September 2022 - September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Secured4</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4.48% per annum,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133,000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133,000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USD</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September 2022 - September 2023</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3 month SOFR5 plus 2.4%,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283"/>
              <w:rPr/>
            </w:pPr>
            <w:r>
              <w:rPr/>
              <w:t>USD</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pPr>
            <w:r>
              <w:rPr/>
              <w:t>December 2022 - December 2023</w:t>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pPr>
            <w:r>
              <w:rPr/>
              <w:t>Unsecured6</w:t>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pPr>
            <w:r>
              <w:rPr/>
              <w:t>7.5% per annum, settled quarterly</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200,000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200,000</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tcPr>
          <w:p>
            <w:pPr>
              <w:pStyle w:val="TableContents"/>
              <w:spacing w:before="0" w:after="283"/>
              <w:rPr/>
            </w:pPr>
            <w:r>
              <w:rPr/>
              <w:t>USD</w:t>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pPr>
            <w:r>
              <w:rPr/>
              <w:t>March 2023 - March 2024</w:t>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pPr>
            <w:r>
              <w:rPr/>
              <w:t>Unsecured6</w:t>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pPr>
            <w:r>
              <w:rPr/>
              <w:t>7.35% per annum, settled quarterly</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10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71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10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1,308,291</w:t>
            </w:r>
          </w:p>
        </w:tc>
        <w:tc>
          <w:tcPr>
            <w:tcW w:w="60" w:type="dxa"/>
            <w:tcBorders/>
            <w:shd w:fill="CCEEFF" w:val="clear"/>
            <w:vAlign w:val="bottom"/>
          </w:tcPr>
          <w:p>
            <w:pPr>
              <w:pStyle w:val="TableContents"/>
              <w:spacing w:before="0" w:after="283"/>
              <w:rPr/>
            </w:pPr>
            <w:r>
              <w:rPr/>
              <w:t> </w:t>
            </w:r>
          </w:p>
        </w:tc>
      </w:tr>
      <w:tr>
        <w:trPr/>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10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1 - New vehicle inventory purchased via this facility is pledged as security until repaid. This facility has a repayment period of 90 days and includes a covenant tied to the Groups financial performance. </w:t>
      </w:r>
    </w:p>
    <w:p>
      <w:pPr>
        <w:pStyle w:val="TextBody"/>
        <w:spacing w:before="0" w:after="0"/>
        <w:jc w:val="left"/>
        <w:rPr>
          <w:rFonts w:ascii="Times New Roman" w:hAnsi="Times New Roman"/>
          <w:sz w:val="20"/>
        </w:rPr>
      </w:pPr>
      <w:r>
        <w:rPr>
          <w:rFonts w:ascii="Times New Roman" w:hAnsi="Times New Roman"/>
          <w:sz w:val="20"/>
        </w:rPr>
        <w:t xml:space="preserve">2 - Euro Interbank Offered Rate (EURIBOR). </w:t>
      </w:r>
    </w:p>
    <w:p>
      <w:pPr>
        <w:pStyle w:val="TextBody"/>
        <w:spacing w:before="0" w:after="0"/>
        <w:jc w:val="left"/>
        <w:rPr>
          <w:rFonts w:ascii="Times New Roman" w:hAnsi="Times New Roman"/>
          <w:sz w:val="20"/>
        </w:rPr>
      </w:pPr>
      <w:r>
        <w:rPr>
          <w:rFonts w:ascii="Times New Roman" w:hAnsi="Times New Roman"/>
          <w:sz w:val="20"/>
        </w:rPr>
        <w:t xml:space="preserve">3 - Peoples Bank of China (PBOC) Loan Prime Rate (LPR). </w:t>
      </w:r>
    </w:p>
    <w:p>
      <w:pPr>
        <w:pStyle w:val="TextBody"/>
        <w:spacing w:before="0" w:after="0"/>
        <w:jc w:val="left"/>
        <w:rPr>
          <w:rFonts w:ascii="Times New Roman" w:hAnsi="Times New Roman"/>
          <w:sz w:val="20"/>
        </w:rPr>
      </w:pPr>
      <w:r>
        <w:rPr>
          <w:rFonts w:ascii="Times New Roman" w:hAnsi="Times New Roman"/>
          <w:sz w:val="20"/>
        </w:rPr>
        <w:t xml:space="preserve">4 - Secured by Geely, including letters of keep well from both Volvo Cars and Geely. </w:t>
      </w:r>
    </w:p>
    <w:p>
      <w:pPr>
        <w:pStyle w:val="TextBody"/>
        <w:spacing w:before="0" w:after="0"/>
        <w:jc w:val="left"/>
        <w:rPr>
          <w:rFonts w:ascii="Times New Roman" w:hAnsi="Times New Roman"/>
          <w:sz w:val="20"/>
        </w:rPr>
      </w:pPr>
      <w:r>
        <w:rPr>
          <w:rFonts w:ascii="Times New Roman" w:hAnsi="Times New Roman"/>
          <w:sz w:val="20"/>
        </w:rPr>
        <w:t xml:space="preserve">5 - Secured Overnight Financing Rate (SOFR). </w:t>
      </w:r>
    </w:p>
    <w:p>
      <w:pPr>
        <w:pStyle w:val="TextBody"/>
        <w:spacing w:before="0" w:after="0"/>
        <w:jc w:val="left"/>
        <w:rPr>
          <w:rFonts w:ascii="Times New Roman" w:hAnsi="Times New Roman"/>
          <w:sz w:val="20"/>
        </w:rPr>
      </w:pPr>
      <w:r>
        <w:rPr>
          <w:rFonts w:ascii="Times New Roman" w:hAnsi="Times New Roman"/>
          <w:sz w:val="20"/>
        </w:rPr>
        <w:t xml:space="preserve">6 - Letters of keep well from both Volvo Cars and Geely. </w:t>
      </w:r>
    </w:p>
    <w:p>
      <w:pPr>
        <w:pStyle w:val="TextBody"/>
        <w:spacing w:before="360" w:after="0"/>
        <w:jc w:val="left"/>
        <w:rPr>
          <w:rFonts w:ascii="Times New Roman" w:hAnsi="Times New Roman"/>
          <w:b/>
          <w:sz w:val="20"/>
        </w:rPr>
      </w:pPr>
      <w:r>
        <w:rPr>
          <w:rFonts w:ascii="Times New Roman" w:hAnsi="Times New Roman"/>
          <w:b/>
          <w:sz w:val="20"/>
        </w:rPr>
        <w:t xml:space="preserve">Floorplan facilities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March 31, 2023 and December 31, 2022, the aggregate amount outstanding under these arrangements was $46,566 and $33,615, respectively. </w:t>
      </w:r>
    </w:p>
    <w:p>
      <w:pPr>
        <w:pStyle w:val="TextBody"/>
        <w:spacing w:before="240" w:after="0"/>
        <w:jc w:val="left"/>
        <w:rPr>
          <w:rFonts w:ascii="Times New Roman" w:hAnsi="Times New Roman"/>
          <w:sz w:val="20"/>
        </w:rPr>
      </w:pPr>
      <w:r>
        <w:rPr>
          <w:rFonts w:ascii="Times New Roman" w:hAnsi="Times New Roman"/>
          <w:sz w:val="20"/>
        </w:rPr>
        <w:t xml:space="preserve">The Group maintains one such facility with the related party Volvo Cars that is presented separately in Interest-bearing current liabilities - related parties within the Unaudited Condensed Consolidated Statement of Financial Position. Of the amounts above, the aggregate amount outstanding as of March 31, 2023 and December 31, 2022 due to related parties amounted to $20,888 and $16,690, respectively. Refer to </w:t>
      </w:r>
      <w:r>
        <w:rPr>
          <w:rFonts w:ascii="Times New Roman" w:hAnsi="Times New Roman"/>
          <w:i/>
          <w:sz w:val="20"/>
        </w:rPr>
        <w:t>Note 11 - Related party transactions</w:t>
      </w:r>
      <w:r>
        <w:rPr>
          <w:rFonts w:ascii="Times New Roman" w:hAnsi="Times New Roman"/>
          <w:sz w:val="20"/>
        </w:rPr>
        <w:t xml:space="preserve"> for further details.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Sale-leaseback facilities </w:t>
      </w:r>
    </w:p>
    <w:p>
      <w:pPr>
        <w:pStyle w:val="TextBody"/>
        <w:spacing w:before="120" w:after="0"/>
        <w:jc w:val="left"/>
        <w:rPr>
          <w:rFonts w:ascii="Times New Roman" w:hAnsi="Times New Roman"/>
          <w:sz w:val="20"/>
        </w:rPr>
      </w:pPr>
      <w:r>
        <w:rPr>
          <w:rFonts w:ascii="Times New Roman" w:hAnsi="Times New Roman"/>
          <w:sz w:val="20"/>
        </w:rPr>
        <w:t xml:space="preserve">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March 31, 2023 and December 31, 2022, the aggregate amount outstanding under these arrangements was $14,666 and $11,719, respectively. </w:t>
      </w:r>
    </w:p>
    <w:p>
      <w:pPr>
        <w:pStyle w:val="TextBody"/>
        <w:spacing w:before="240" w:after="0"/>
        <w:jc w:val="left"/>
        <w:rPr>
          <w:rFonts w:ascii="Times New Roman" w:hAnsi="Times New Roman"/>
          <w:sz w:val="20"/>
        </w:rPr>
      </w:pPr>
      <w:r>
        <w:rPr>
          <w:rFonts w:ascii="Times New Roman" w:hAnsi="Times New Roman"/>
          <w:sz w:val="20"/>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December 31, 2022 and 2021, and for the three years ended December 31, 2022 that were included in the Form 20-F filed with the SEC on April 14, 2023. There are no changes in terms of risk management policies for the periods presented in these Unaudited Condensed Consolidated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Note 11 -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For a detailed description of the Groups related parties and related party transactions, refer to </w:t>
      </w:r>
      <w:r>
        <w:rPr>
          <w:rFonts w:ascii="Times New Roman" w:hAnsi="Times New Roman"/>
          <w:i/>
          <w:sz w:val="20"/>
        </w:rPr>
        <w:t>Note 25 - Related party transactions</w:t>
      </w:r>
      <w:r>
        <w:rPr>
          <w:rFonts w:ascii="Times New Roman" w:hAnsi="Times New Roman"/>
          <w:sz w:val="20"/>
        </w:rPr>
        <w:t xml:space="preserve"> of the Consolidated Financial Statements, as of December 31, 2022 and 2021, and for the three years ended December 31, 2022, that were included in the Form 20-F filed with the SEC on April 14, 2023. There are no changes to the Groups related parties for the periods presented in these Unaudited Condensed Consolidated Financial Statements. Related party activity during the three months ended March 31, 2023 and 2022 and balances as of March 31, 2023 and December 31, 2022 are presented below. </w:t>
      </w:r>
    </w:p>
    <w:p>
      <w:pPr>
        <w:pStyle w:val="TextBody"/>
        <w:spacing w:before="360" w:after="0"/>
        <w:jc w:val="left"/>
        <w:rPr>
          <w:rFonts w:ascii="Times New Roman" w:hAnsi="Times New Roman"/>
          <w:b/>
          <w:sz w:val="20"/>
        </w:rPr>
      </w:pPr>
      <w:r>
        <w:rPr>
          <w:rFonts w:ascii="Times New Roman" w:hAnsi="Times New Roman"/>
          <w:b/>
          <w:sz w:val="20"/>
        </w:rPr>
        <w:t xml:space="preserve">Financing </w:t>
      </w:r>
    </w:p>
    <w:p>
      <w:pPr>
        <w:pStyle w:val="TextBody"/>
        <w:spacing w:before="120" w:after="0"/>
        <w:jc w:val="left"/>
        <w:rPr>
          <w:rFonts w:ascii="Times New Roman" w:hAnsi="Times New Roman"/>
          <w:sz w:val="20"/>
        </w:rPr>
      </w:pPr>
      <w:r>
        <w:rPr>
          <w:rFonts w:ascii="Times New Roman" w:hAnsi="Times New Roman"/>
          <w:sz w:val="20"/>
        </w:rPr>
        <w:t xml:space="preserve">In May 2021, the Group entered into a working capital credit facility with Volvo Cars and subsequently made draw down on the facility, which has a maturity of one year. As of March 31, 2023, $20,888 of this financing arrangement remained outstanding, which is included in Interest-bearing current liabilities - related parties on the Unaudited Condensed Consolidated Statement of Financial Position. Refer to </w:t>
      </w:r>
      <w:r>
        <w:rPr>
          <w:rFonts w:ascii="Times New Roman" w:hAnsi="Times New Roman"/>
          <w:i/>
          <w:sz w:val="20"/>
        </w:rPr>
        <w:t>Note 10 - Liabilities to credit institutions</w:t>
      </w:r>
      <w:r>
        <w:rPr>
          <w:rFonts w:ascii="Times New Roman" w:hAnsi="Times New Roman"/>
          <w:sz w:val="20"/>
        </w:rPr>
        <w:t xml:space="preserve"> for further details. </w:t>
      </w:r>
    </w:p>
    <w:p>
      <w:pPr>
        <w:pStyle w:val="TextBody"/>
        <w:spacing w:before="360" w:after="0"/>
        <w:jc w:val="left"/>
        <w:rPr>
          <w:rFonts w:ascii="Times New Roman" w:hAnsi="Times New Roman"/>
          <w:i/>
          <w:sz w:val="20"/>
        </w:rPr>
      </w:pPr>
      <w:r>
        <w:rPr>
          <w:rFonts w:ascii="Times New Roman" w:hAnsi="Times New Roman"/>
          <w:i/>
          <w:sz w:val="20"/>
        </w:rPr>
        <w:t xml:space="preserve">Convertible Credit Facility with Volvo Cars </w:t>
      </w:r>
    </w:p>
    <w:p>
      <w:pPr>
        <w:pStyle w:val="TextBody"/>
        <w:spacing w:before="120" w:after="0"/>
        <w:jc w:val="left"/>
        <w:rPr>
          <w:rFonts w:ascii="Times New Roman" w:hAnsi="Times New Roman"/>
          <w:sz w:val="20"/>
        </w:rPr>
      </w:pPr>
      <w:r>
        <w:rPr>
          <w:rFonts w:ascii="Times New Roman" w:hAnsi="Times New Roman"/>
          <w:sz w:val="20"/>
        </w:rPr>
        <w:t xml:space="preserve">On November 3, 2022 the Group entered into a credit facility agreement with Volvo Cars for $800,000, terminating in May 2024. The credit facility can be drawn upon once a month and is utilizable for general corporate 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March 31, 2023, the Group had principal draw downs of $300,000 outstanding under the facility and the fair value of the financial liability related to Volvo Cars conversion right was $0. </w:t>
      </w:r>
    </w:p>
    <w:p>
      <w:pPr>
        <w:pStyle w:val="TextBody"/>
        <w:spacing w:before="360" w:after="0"/>
        <w:jc w:val="left"/>
        <w:rPr>
          <w:rFonts w:ascii="Times New Roman" w:hAnsi="Times New Roman"/>
          <w:b/>
          <w:sz w:val="20"/>
        </w:rPr>
      </w:pPr>
      <w:r>
        <w:rPr>
          <w:rFonts w:ascii="Times New Roman" w:hAnsi="Times New Roman"/>
          <w:b/>
          <w:sz w:val="20"/>
        </w:rPr>
        <w:t xml:space="preserve">Sale of goods, services and other </w:t>
      </w:r>
    </w:p>
    <w:p>
      <w:pPr>
        <w:pStyle w:val="TextBody"/>
        <w:spacing w:before="120" w:after="0"/>
        <w:jc w:val="left"/>
        <w:rPr>
          <w:rFonts w:ascii="Times New Roman" w:hAnsi="Times New Roman"/>
          <w:sz w:val="20"/>
        </w:rPr>
      </w:pPr>
      <w:r>
        <w:rPr>
          <w:rFonts w:ascii="Times New Roman" w:hAnsi="Times New Roman"/>
          <w:sz w:val="20"/>
        </w:rPr>
        <w:t xml:space="preserve">The total revenue recognized for each related party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6016"/>
        <w:gridCol w:w="194"/>
        <w:gridCol w:w="60"/>
        <w:gridCol w:w="680"/>
        <w:gridCol w:w="60"/>
        <w:gridCol w:w="194"/>
        <w:gridCol w:w="60"/>
        <w:gridCol w:w="680"/>
        <w:gridCol w:w="65"/>
      </w:tblGrid>
      <w:tr>
        <w:trPr/>
        <w:tc>
          <w:tcPr>
            <w:tcW w:w="601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73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w:t>
              <w:br/>
              <w:t>months ended</w:t>
              <w:br/>
              <w:t>March 31,</w:t>
            </w:r>
          </w:p>
        </w:tc>
        <w:tc>
          <w:tcPr>
            <w:tcW w:w="65" w:type="dxa"/>
            <w:tcBorders/>
            <w:shd w:fill="auto" w:val="clear"/>
            <w:vAlign w:val="bottom"/>
          </w:tcPr>
          <w:p>
            <w:pPr>
              <w:pStyle w:val="TableContents"/>
              <w:spacing w:before="0" w:after="283"/>
              <w:rPr/>
            </w:pPr>
            <w:r>
              <w:rPr/>
              <w:t> </w:t>
            </w:r>
          </w:p>
        </w:tc>
      </w:tr>
      <w:tr>
        <w:trPr/>
        <w:tc>
          <w:tcPr>
            <w:tcW w:w="601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6016"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15,365</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23,521</w:t>
            </w:r>
          </w:p>
        </w:tc>
        <w:tc>
          <w:tcPr>
            <w:tcW w:w="65" w:type="dxa"/>
            <w:tcBorders/>
            <w:shd w:fill="CCEEFF" w:val="clear"/>
            <w:vAlign w:val="bottom"/>
          </w:tcPr>
          <w:p>
            <w:pPr>
              <w:pStyle w:val="TableContents"/>
              <w:spacing w:before="0" w:after="283"/>
              <w:rPr/>
            </w:pPr>
            <w:r>
              <w:rPr/>
              <w:t> </w:t>
            </w:r>
          </w:p>
        </w:tc>
      </w:tr>
      <w:tr>
        <w:trPr/>
        <w:tc>
          <w:tcPr>
            <w:tcW w:w="6016" w:type="dxa"/>
            <w:tcBorders/>
            <w:shd w:fill="auto"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7,443</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20,488</w:t>
            </w:r>
          </w:p>
        </w:tc>
        <w:tc>
          <w:tcPr>
            <w:tcW w:w="65" w:type="dxa"/>
            <w:tcBorders/>
            <w:shd w:fill="auto" w:val="clear"/>
            <w:vAlign w:val="bottom"/>
          </w:tcPr>
          <w:p>
            <w:pPr>
              <w:pStyle w:val="TableContents"/>
              <w:spacing w:before="0" w:after="283"/>
              <w:rPr/>
            </w:pPr>
            <w:r>
              <w:rPr/>
              <w:t> </w:t>
            </w:r>
          </w:p>
        </w:tc>
      </w:tr>
      <w:tr>
        <w:trPr/>
        <w:tc>
          <w:tcPr>
            <w:tcW w:w="601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60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b/>
              </w:rPr>
            </w:pPr>
            <w:r>
              <w:rPr>
                <w:b/>
              </w:rPr>
              <w:t>22,808</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b/>
              </w:rPr>
            </w:pPr>
            <w:r>
              <w:rPr>
                <w:b/>
              </w:rPr>
              <w:t>44,009</w:t>
            </w:r>
          </w:p>
        </w:tc>
        <w:tc>
          <w:tcPr>
            <w:tcW w:w="65" w:type="dxa"/>
            <w:tcBorders/>
            <w:shd w:fill="CCEEFF" w:val="clear"/>
            <w:vAlign w:val="bottom"/>
          </w:tcPr>
          <w:p>
            <w:pPr>
              <w:pStyle w:val="TableContents"/>
              <w:spacing w:before="0" w:after="283"/>
              <w:rPr/>
            </w:pPr>
            <w:r>
              <w:rPr/>
              <w:t> </w:t>
            </w:r>
          </w:p>
        </w:tc>
      </w:tr>
      <w:tr>
        <w:trPr/>
        <w:tc>
          <w:tcPr>
            <w:tcW w:w="601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0"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and 2022, revenue from related parties amounted to $22,808 (4.18%) and $44,009 (9.73%) of total revenue,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Purchases of goods, services and other </w:t>
      </w:r>
    </w:p>
    <w:p>
      <w:pPr>
        <w:pStyle w:val="TextBody"/>
        <w:spacing w:before="120" w:after="0"/>
        <w:jc w:val="left"/>
        <w:rPr>
          <w:rFonts w:ascii="Times New Roman" w:hAnsi="Times New Roman"/>
          <w:sz w:val="20"/>
        </w:rPr>
      </w:pPr>
      <w:r>
        <w:rPr>
          <w:rFonts w:ascii="Times New Roman" w:hAnsi="Times New Roman"/>
          <w:sz w:val="20"/>
        </w:rPr>
        <w:t xml:space="preserve">The total purchases of goods, services and other for each related party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772"/>
        <w:gridCol w:w="192"/>
        <w:gridCol w:w="60"/>
        <w:gridCol w:w="804"/>
        <w:gridCol w:w="60"/>
        <w:gridCol w:w="192"/>
        <w:gridCol w:w="60"/>
        <w:gridCol w:w="804"/>
        <w:gridCol w:w="65"/>
      </w:tblGrid>
      <w:tr>
        <w:trPr/>
        <w:tc>
          <w:tcPr>
            <w:tcW w:w="577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8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643,047</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520,045</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85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1,806</w:t>
            </w:r>
          </w:p>
        </w:tc>
        <w:tc>
          <w:tcPr>
            <w:tcW w:w="65" w:type="dxa"/>
            <w:tcBorders/>
            <w:shd w:fill="auto" w:val="clear"/>
            <w:vAlign w:val="bottom"/>
          </w:tcPr>
          <w:p>
            <w:pPr>
              <w:pStyle w:val="TableContents"/>
              <w:spacing w:before="0" w:after="283"/>
              <w:rPr/>
            </w:pPr>
            <w:r>
              <w:rPr/>
              <w:t> </w:t>
            </w:r>
          </w:p>
        </w:tc>
      </w:tr>
      <w:tr>
        <w:trPr/>
        <w:tc>
          <w:tcPr>
            <w:tcW w:w="5772" w:type="dxa"/>
            <w:tcBorders/>
            <w:shd w:fill="CCEEFF" w:val="clear"/>
          </w:tcPr>
          <w:p>
            <w:pPr>
              <w:pStyle w:val="TableContents"/>
              <w:spacing w:before="0" w:after="0"/>
              <w:rPr>
                <w:rFonts w:ascii="Times New Roman" w:hAnsi="Times New Roman"/>
                <w:sz w:val="20"/>
              </w:rPr>
            </w:pPr>
            <w:r>
              <w:rPr>
                <w:rFonts w:ascii="Times New Roman" w:hAnsi="Times New Roman"/>
                <w:sz w:val="20"/>
              </w:rPr>
              <w:t>Geely</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45,120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81,948</w:t>
            </w:r>
          </w:p>
        </w:tc>
        <w:tc>
          <w:tcPr>
            <w:tcW w:w="65" w:type="dxa"/>
            <w:tcBorders/>
            <w:shd w:fill="CCEEFF"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7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688,252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603,799</w:t>
            </w:r>
          </w:p>
        </w:tc>
        <w:tc>
          <w:tcPr>
            <w:tcW w:w="65" w:type="dxa"/>
            <w:tcBorders/>
            <w:shd w:fill="auto" w:val="clear"/>
            <w:vAlign w:val="bottom"/>
          </w:tcPr>
          <w:p>
            <w:pPr>
              <w:pStyle w:val="TableContents"/>
              <w:spacing w:before="0" w:after="283"/>
              <w:rPr/>
            </w:pPr>
            <w:r>
              <w:rPr/>
              <w:t> </w:t>
            </w:r>
          </w:p>
        </w:tc>
      </w:tr>
      <w:tr>
        <w:trPr/>
        <w:tc>
          <w:tcPr>
            <w:tcW w:w="577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Cost of R&amp;D and intellectual property </w:t>
      </w:r>
    </w:p>
    <w:p>
      <w:pPr>
        <w:pStyle w:val="TextBody"/>
        <w:spacing w:before="120" w:after="0"/>
        <w:jc w:val="left"/>
        <w:rPr>
          <w:rFonts w:ascii="Times New Roman" w:hAnsi="Times New Roman"/>
          <w:sz w:val="20"/>
        </w:rPr>
      </w:pPr>
      <w:r>
        <w:rPr>
          <w:rFonts w:ascii="Times New Roman" w:hAnsi="Times New Roman"/>
          <w:sz w:val="20"/>
        </w:rPr>
        <w:t xml:space="preserve">Polestar Group entered into agreements with Volvo Cars and Geely regarding the development of technology leveraged in the development of the Polestar 2, Polestar 3, and Polestar 4. In 2020, the Group entered into similar agreements with Volvo Cars to acquire technology leveraged in the development of the Polestar 1, Polestar 2, and Polestar 3. The Group is in control of the developed product either through a license or through ownership of the IP and the recognized asset reflects the relevant proportion of Polestar Groups interest. The recognized asset associated with these agreements as of March 31, 2023 was $1,199,761, of which acquisitions attributable to 2023 were $70,754. As of December 31, 2022, the recognized asset associated with these agreements was $1,144,240, of which acquisitions attributable to 2022 were $218,031. </w:t>
      </w:r>
    </w:p>
    <w:p>
      <w:pPr>
        <w:pStyle w:val="TextBody"/>
        <w:spacing w:before="360" w:after="0"/>
        <w:jc w:val="left"/>
        <w:rPr>
          <w:rFonts w:ascii="Times New Roman" w:hAnsi="Times New Roman"/>
          <w:b/>
          <w:sz w:val="20"/>
        </w:rPr>
      </w:pPr>
      <w:r>
        <w:rPr>
          <w:rFonts w:ascii="Times New Roman" w:hAnsi="Times New Roman"/>
          <w:b/>
          <w:sz w:val="20"/>
        </w:rPr>
        <w:t xml:space="preserve">Amounts due to related parties </w:t>
      </w:r>
    </w:p>
    <w:p>
      <w:pPr>
        <w:pStyle w:val="TextBody"/>
        <w:spacing w:before="120" w:after="0"/>
        <w:jc w:val="left"/>
        <w:rPr>
          <w:rFonts w:ascii="Times New Roman" w:hAnsi="Times New Roman"/>
          <w:sz w:val="20"/>
        </w:rPr>
      </w:pPr>
      <w:r>
        <w:rPr>
          <w:rFonts w:ascii="Times New Roman" w:hAnsi="Times New Roman"/>
          <w:sz w:val="20"/>
        </w:rPr>
        <w:t xml:space="preserve">Amounts due to related parties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27"/>
        <w:gridCol w:w="243"/>
        <w:gridCol w:w="61"/>
        <w:gridCol w:w="1012"/>
        <w:gridCol w:w="60"/>
        <w:gridCol w:w="243"/>
        <w:gridCol w:w="85"/>
        <w:gridCol w:w="1415"/>
        <w:gridCol w:w="63"/>
      </w:tblGrid>
      <w:tr>
        <w:trPr/>
        <w:tc>
          <w:tcPr>
            <w:tcW w:w="482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27" w:type="dxa"/>
            <w:tcBorders/>
            <w:shd w:fill="auto" w:val="clear"/>
            <w:vAlign w:val="bottom"/>
          </w:tcPr>
          <w:p>
            <w:pPr>
              <w:pStyle w:val="TableContents"/>
              <w:spacing w:before="0" w:after="283"/>
              <w:rPr>
                <w:b/>
              </w:rPr>
            </w:pPr>
            <w:r>
              <w:rPr>
                <w:b/>
              </w:rPr>
              <w:t>Trade payables - related parties, accrued expenses, and other current liabilities to</w:t>
              <w:br/>
              <w:t>related parties</w:t>
            </w:r>
          </w:p>
        </w:tc>
        <w:tc>
          <w:tcPr>
            <w:tcW w:w="243" w:type="dxa"/>
            <w:tcBorders/>
            <w:shd w:fill="auto" w:val="clear"/>
            <w:vAlign w:val="bottom"/>
          </w:tcPr>
          <w:p>
            <w:pPr>
              <w:pStyle w:val="TableContents"/>
              <w:spacing w:before="0" w:after="283"/>
              <w:rPr/>
            </w:pPr>
            <w:r>
              <w:rPr/>
              <w:t>  </w:t>
            </w:r>
          </w:p>
        </w:tc>
        <w:tc>
          <w:tcPr>
            <w:tcW w:w="10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827"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1,083,178</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1,136,746</w:t>
            </w:r>
          </w:p>
        </w:tc>
        <w:tc>
          <w:tcPr>
            <w:tcW w:w="63" w:type="dxa"/>
            <w:tcBorders/>
            <w:shd w:fill="CCEEFF" w:val="clear"/>
            <w:vAlign w:val="bottom"/>
          </w:tcPr>
          <w:p>
            <w:pPr>
              <w:pStyle w:val="TableContents"/>
              <w:spacing w:before="0" w:after="283"/>
              <w:rPr/>
            </w:pPr>
            <w:r>
              <w:rPr/>
              <w:t> </w:t>
            </w:r>
          </w:p>
        </w:tc>
      </w:tr>
      <w:tr>
        <w:trPr/>
        <w:tc>
          <w:tcPr>
            <w:tcW w:w="4827"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51,253</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71,212</w:t>
            </w:r>
          </w:p>
        </w:tc>
        <w:tc>
          <w:tcPr>
            <w:tcW w:w="63" w:type="dxa"/>
            <w:tcBorders/>
            <w:shd w:fill="auto" w:val="clear"/>
            <w:vAlign w:val="bottom"/>
          </w:tcPr>
          <w:p>
            <w:pPr>
              <w:pStyle w:val="TableContents"/>
              <w:spacing w:before="0" w:after="283"/>
              <w:rPr/>
            </w:pPr>
            <w:r>
              <w:rPr/>
              <w:t> </w:t>
            </w:r>
          </w:p>
        </w:tc>
      </w:tr>
      <w:tr>
        <w:trPr/>
        <w:tc>
          <w:tcPr>
            <w:tcW w:w="4827"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243"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1,031</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1,389</w:t>
            </w:r>
          </w:p>
        </w:tc>
        <w:tc>
          <w:tcPr>
            <w:tcW w:w="63" w:type="dxa"/>
            <w:tcBorders/>
            <w:shd w:fill="CCEEFF" w:val="clear"/>
            <w:vAlign w:val="bottom"/>
          </w:tcPr>
          <w:p>
            <w:pPr>
              <w:pStyle w:val="TableContents"/>
              <w:spacing w:before="0" w:after="283"/>
              <w:rPr/>
            </w:pPr>
            <w:r>
              <w:rPr/>
              <w:t> </w:t>
            </w:r>
          </w:p>
        </w:tc>
      </w:tr>
      <w:tr>
        <w:trPr/>
        <w:tc>
          <w:tcPr>
            <w:tcW w:w="4827"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27"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b/>
              </w:rPr>
            </w:pPr>
            <w:r>
              <w:rPr>
                <w:b/>
              </w:rPr>
              <w:t>1,135,462</w:t>
            </w:r>
          </w:p>
        </w:tc>
        <w:tc>
          <w:tcPr>
            <w:tcW w:w="6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b/>
              </w:rPr>
            </w:pPr>
            <w:r>
              <w:rPr>
                <w:b/>
              </w:rPr>
              <w:t>1,209,347</w:t>
            </w:r>
          </w:p>
        </w:tc>
        <w:tc>
          <w:tcPr>
            <w:tcW w:w="63" w:type="dxa"/>
            <w:tcBorders/>
            <w:shd w:fill="auto" w:val="clear"/>
            <w:vAlign w:val="bottom"/>
          </w:tcPr>
          <w:p>
            <w:pPr>
              <w:pStyle w:val="TableContents"/>
              <w:spacing w:before="0" w:after="283"/>
              <w:rPr/>
            </w:pPr>
            <w:r>
              <w:rPr/>
              <w:t> </w:t>
            </w:r>
          </w:p>
        </w:tc>
      </w:tr>
      <w:tr>
        <w:trPr/>
        <w:tc>
          <w:tcPr>
            <w:tcW w:w="4827"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current liabilities to related parties, Polestar has non-current lease liabilities to related parties amounting to $41,870 as of March 31, 2023 and $27,123 as of December 31, 2022 included in Other non-current interest-bearing liabilities. </w:t>
      </w:r>
    </w:p>
    <w:p>
      <w:pPr>
        <w:pStyle w:val="TextBody"/>
        <w:spacing w:before="240" w:after="0"/>
        <w:jc w:val="left"/>
        <w:rPr>
          <w:rFonts w:ascii="Times New Roman" w:hAnsi="Times New Roman"/>
          <w:sz w:val="20"/>
        </w:rPr>
      </w:pPr>
      <w:r>
        <w:rPr>
          <w:rFonts w:ascii="Times New Roman" w:hAnsi="Times New Roman"/>
          <w:sz w:val="20"/>
        </w:rPr>
        <w:t xml:space="preserve">The Groups interest expense related to related party liabilities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489"/>
        <w:gridCol w:w="203"/>
        <w:gridCol w:w="84"/>
        <w:gridCol w:w="792"/>
        <w:gridCol w:w="84"/>
        <w:gridCol w:w="237"/>
        <w:gridCol w:w="84"/>
        <w:gridCol w:w="972"/>
        <w:gridCol w:w="64"/>
      </w:tblGrid>
      <w:tr>
        <w:trPr/>
        <w:tc>
          <w:tcPr>
            <w:tcW w:w="548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48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25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w:t>
              <w:br/>
              <w:t>ended March 31,</w:t>
            </w:r>
          </w:p>
        </w:tc>
        <w:tc>
          <w:tcPr>
            <w:tcW w:w="64" w:type="dxa"/>
            <w:tcBorders/>
            <w:shd w:fill="auto" w:val="clear"/>
            <w:vAlign w:val="bottom"/>
          </w:tcPr>
          <w:p>
            <w:pPr>
              <w:pStyle w:val="TableContents"/>
              <w:spacing w:before="0" w:after="283"/>
              <w:rPr/>
            </w:pPr>
            <w:r>
              <w:rPr/>
              <w:t> </w:t>
            </w:r>
          </w:p>
        </w:tc>
      </w:tr>
      <w:tr>
        <w:trPr/>
        <w:tc>
          <w:tcPr>
            <w:tcW w:w="548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76" w:type="dxa"/>
            <w:gridSpan w:val="2"/>
            <w:tcBorders/>
            <w:shd w:fill="auto" w:val="clear"/>
            <w:vAlign w:val="bottom"/>
          </w:tcPr>
          <w:p>
            <w:pPr>
              <w:pStyle w:val="TableContents"/>
              <w:spacing w:before="0" w:after="283"/>
              <w:jc w:val="center"/>
              <w:rPr>
                <w:b/>
              </w:rPr>
            </w:pPr>
            <w:r>
              <w:rPr>
                <w:b/>
              </w:rPr>
              <w:t>2023</w:t>
            </w:r>
          </w:p>
        </w:tc>
        <w:tc>
          <w:tcPr>
            <w:tcW w:w="8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jc w:val="center"/>
              <w:rPr>
                <w:b/>
              </w:rPr>
            </w:pPr>
            <w:r>
              <w:rPr>
                <w:b/>
              </w:rPr>
              <w:t>2022</w:t>
            </w:r>
          </w:p>
        </w:tc>
        <w:tc>
          <w:tcPr>
            <w:tcW w:w="64" w:type="dxa"/>
            <w:tcBorders/>
            <w:shd w:fill="auto" w:val="clear"/>
            <w:vAlign w:val="bottom"/>
          </w:tcPr>
          <w:p>
            <w:pPr>
              <w:pStyle w:val="TableContents"/>
              <w:spacing w:before="0" w:after="283"/>
              <w:rPr/>
            </w:pPr>
            <w:r>
              <w:rPr/>
              <w:t> </w:t>
            </w:r>
          </w:p>
        </w:tc>
      </w:tr>
      <w:tr>
        <w:trPr/>
        <w:tc>
          <w:tcPr>
            <w:tcW w:w="5489"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 related parties</w:t>
            </w:r>
          </w:p>
        </w:tc>
        <w:tc>
          <w:tcPr>
            <w:tcW w:w="20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8,193</w:t>
            </w:r>
          </w:p>
        </w:tc>
        <w:tc>
          <w:tcPr>
            <w:tcW w:w="8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12,027</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Amounts due from related parties </w:t>
      </w:r>
    </w:p>
    <w:p>
      <w:pPr>
        <w:pStyle w:val="TextBody"/>
        <w:spacing w:before="120" w:after="0"/>
        <w:jc w:val="left"/>
        <w:rPr>
          <w:rFonts w:ascii="Times New Roman" w:hAnsi="Times New Roman"/>
          <w:sz w:val="20"/>
        </w:rPr>
      </w:pPr>
      <w:r>
        <w:rPr>
          <w:rFonts w:ascii="Times New Roman" w:hAnsi="Times New Roman"/>
          <w:sz w:val="20"/>
        </w:rPr>
        <w:t xml:space="preserve">Amounts due from related parties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41"/>
        <w:gridCol w:w="342"/>
        <w:gridCol w:w="86"/>
        <w:gridCol w:w="990"/>
        <w:gridCol w:w="60"/>
        <w:gridCol w:w="342"/>
        <w:gridCol w:w="102"/>
        <w:gridCol w:w="1382"/>
        <w:gridCol w:w="64"/>
      </w:tblGrid>
      <w:tr>
        <w:trPr/>
        <w:tc>
          <w:tcPr>
            <w:tcW w:w="46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41" w:type="dxa"/>
            <w:tcBorders/>
            <w:shd w:fill="auto" w:val="clear"/>
            <w:vAlign w:val="bottom"/>
          </w:tcPr>
          <w:p>
            <w:pPr>
              <w:pStyle w:val="TableContents"/>
              <w:spacing w:before="0" w:after="283"/>
              <w:rPr>
                <w:b/>
              </w:rPr>
            </w:pPr>
            <w:r>
              <w:rPr>
                <w:b/>
              </w:rPr>
              <w:t>Trade receivables - related parties and accrued income - related parties</w:t>
            </w:r>
          </w:p>
        </w:tc>
        <w:tc>
          <w:tcPr>
            <w:tcW w:w="342"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4" w:type="dxa"/>
            <w:tcBorders/>
            <w:shd w:fill="auto" w:val="clear"/>
            <w:vAlign w:val="bottom"/>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34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66,617</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right"/>
              <w:rPr/>
            </w:pPr>
            <w:r>
              <w:rPr/>
              <w:t>120,302</w:t>
            </w:r>
          </w:p>
        </w:tc>
        <w:tc>
          <w:tcPr>
            <w:tcW w:w="64" w:type="dxa"/>
            <w:tcBorders/>
            <w:shd w:fill="CCEEFF" w:val="clear"/>
            <w:vAlign w:val="bottom"/>
          </w:tcPr>
          <w:p>
            <w:pPr>
              <w:pStyle w:val="TableContents"/>
              <w:spacing w:before="0" w:after="283"/>
              <w:rPr/>
            </w:pPr>
            <w:r>
              <w:rPr/>
              <w:t> </w:t>
            </w:r>
          </w:p>
        </w:tc>
      </w:tr>
      <w:tr>
        <w:trPr/>
        <w:tc>
          <w:tcPr>
            <w:tcW w:w="4641"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30</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right"/>
              <w:rPr/>
            </w:pPr>
            <w:r>
              <w:rPr/>
              <w:t>3,751</w:t>
            </w:r>
          </w:p>
        </w:tc>
        <w:tc>
          <w:tcPr>
            <w:tcW w:w="64" w:type="dxa"/>
            <w:tcBorders/>
            <w:shd w:fill="auto" w:val="clear"/>
            <w:vAlign w:val="bottom"/>
          </w:tcPr>
          <w:p>
            <w:pPr>
              <w:pStyle w:val="TableContents"/>
              <w:spacing w:before="0" w:after="283"/>
              <w:rPr/>
            </w:pPr>
            <w:r>
              <w:rPr/>
              <w:t> </w:t>
            </w:r>
          </w:p>
        </w:tc>
      </w:tr>
      <w:tr>
        <w:trPr/>
        <w:tc>
          <w:tcPr>
            <w:tcW w:w="4641"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342"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721</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right"/>
              <w:rPr/>
            </w:pPr>
            <w:r>
              <w:rPr/>
              <w:t>3</w:t>
            </w:r>
          </w:p>
        </w:tc>
        <w:tc>
          <w:tcPr>
            <w:tcW w:w="64" w:type="dxa"/>
            <w:tcBorders/>
            <w:shd w:fill="CCEEFF"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4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b/>
              </w:rPr>
            </w:pPr>
            <w:r>
              <w:rPr>
                <w:b/>
              </w:rPr>
              <w:t>67,368</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right"/>
              <w:rPr>
                <w:b/>
              </w:rPr>
            </w:pPr>
            <w:r>
              <w:rPr>
                <w:b/>
              </w:rPr>
              <w:t>124,056</w:t>
            </w:r>
          </w:p>
        </w:tc>
        <w:tc>
          <w:tcPr>
            <w:tcW w:w="64" w:type="dxa"/>
            <w:tcBorders/>
            <w:shd w:fill="auto" w:val="clear"/>
            <w:vAlign w:val="bottom"/>
          </w:tcPr>
          <w:p>
            <w:pPr>
              <w:pStyle w:val="TableContents"/>
              <w:spacing w:before="0" w:after="283"/>
              <w:rPr/>
            </w:pPr>
            <w:r>
              <w:rPr/>
              <w:t> </w:t>
            </w:r>
          </w:p>
        </w:tc>
      </w:tr>
      <w:tr>
        <w:trPr/>
        <w:tc>
          <w:tcPr>
            <w:tcW w:w="464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9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38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Share capital owned by related parties </w:t>
      </w:r>
    </w:p>
    <w:p>
      <w:pPr>
        <w:pStyle w:val="TextBody"/>
        <w:spacing w:before="120" w:after="0"/>
        <w:jc w:val="left"/>
        <w:rPr>
          <w:rFonts w:ascii="Times New Roman" w:hAnsi="Times New Roman"/>
          <w:sz w:val="20"/>
        </w:rPr>
      </w:pPr>
      <w:r>
        <w:rPr>
          <w:rFonts w:ascii="Times New Roman" w:hAnsi="Times New Roman"/>
          <w:sz w:val="20"/>
        </w:rPr>
        <w:t xml:space="preserve">Related party share ownership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797"/>
        <w:gridCol w:w="182"/>
        <w:gridCol w:w="60"/>
        <w:gridCol w:w="1235"/>
        <w:gridCol w:w="60"/>
        <w:gridCol w:w="182"/>
        <w:gridCol w:w="66"/>
        <w:gridCol w:w="1363"/>
        <w:gridCol w:w="64"/>
      </w:tblGrid>
      <w:tr>
        <w:trPr/>
        <w:tc>
          <w:tcPr>
            <w:tcW w:w="479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b/>
              </w:rPr>
            </w:pPr>
            <w:r>
              <w:rPr>
                <w:b/>
              </w:rPr>
              <w:t>Class A Shares</w:t>
            </w:r>
          </w:p>
        </w:tc>
        <w:tc>
          <w:tcPr>
            <w:tcW w:w="182" w:type="dxa"/>
            <w:tcBorders/>
            <w:shd w:fill="auto" w:val="clear"/>
            <w:vAlign w:val="bottom"/>
          </w:tcPr>
          <w:p>
            <w:pPr>
              <w:pStyle w:val="TableContents"/>
              <w:spacing w:before="0" w:after="283"/>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March 31,</w:t>
              <w:br/>
              <w:t>2023</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4" w:type="dxa"/>
            <w:tcBorders/>
            <w:shd w:fill="auto" w:val="clear"/>
            <w:vAlign w:val="bottom"/>
          </w:tcPr>
          <w:p>
            <w:pPr>
              <w:pStyle w:val="TableContents"/>
              <w:spacing w:before="0" w:after="283"/>
              <w:rPr/>
            </w:pPr>
            <w:r>
              <w:rPr/>
              <w:t> </w:t>
            </w:r>
          </w:p>
        </w:tc>
      </w:tr>
      <w:tr>
        <w:trPr/>
        <w:tc>
          <w:tcPr>
            <w:tcW w:w="4797" w:type="dxa"/>
            <w:tcBorders/>
            <w:shd w:fill="CCEEFF" w:val="clear"/>
          </w:tcPr>
          <w:p>
            <w:pPr>
              <w:pStyle w:val="TableContents"/>
              <w:spacing w:before="0" w:after="0"/>
              <w:rPr>
                <w:rFonts w:ascii="Times New Roman" w:hAnsi="Times New Roman"/>
                <w:sz w:val="20"/>
              </w:rPr>
            </w:pPr>
            <w:r>
              <w:rPr>
                <w:rFonts w:ascii="Times New Roman" w:hAnsi="Times New Roman"/>
                <w:sz w:val="20"/>
              </w:rPr>
              <w:t>Snita Holding B.V.</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204,572,624</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204,572,624</w:t>
            </w:r>
          </w:p>
        </w:tc>
        <w:tc>
          <w:tcPr>
            <w:tcW w:w="64" w:type="dxa"/>
            <w:tcBorders/>
            <w:shd w:fill="CCEEFF" w:val="clear"/>
            <w:vAlign w:val="bottom"/>
          </w:tcPr>
          <w:p>
            <w:pPr>
              <w:pStyle w:val="TableContents"/>
              <w:spacing w:before="0" w:after="283"/>
              <w:rPr/>
            </w:pPr>
            <w:r>
              <w:rPr/>
              <w:t> </w:t>
            </w:r>
          </w:p>
        </w:tc>
      </w:tr>
      <w:tr>
        <w:trPr/>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Geely (inclusive of affiliated entities)</w:t>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13,664,063</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35,526,575</w:t>
            </w:r>
          </w:p>
        </w:tc>
        <w:tc>
          <w:tcPr>
            <w:tcW w:w="64" w:type="dxa"/>
            <w:tcBorders/>
            <w:shd w:fill="auto"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797"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b/>
              </w:rPr>
            </w:pPr>
            <w:r>
              <w:rPr>
                <w:b/>
              </w:rPr>
              <w:t>218,236,687</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b/>
              </w:rPr>
            </w:pPr>
            <w:r>
              <w:rPr>
                <w:b/>
              </w:rPr>
              <w:t>240,099,199</w:t>
            </w:r>
          </w:p>
        </w:tc>
        <w:tc>
          <w:tcPr>
            <w:tcW w:w="64" w:type="dxa"/>
            <w:tcBorders/>
            <w:shd w:fill="CCEEFF" w:val="clear"/>
            <w:vAlign w:val="bottom"/>
          </w:tcPr>
          <w:p>
            <w:pPr>
              <w:pStyle w:val="TableContents"/>
              <w:spacing w:before="0" w:after="283"/>
              <w:rPr/>
            </w:pPr>
            <w:r>
              <w:rPr/>
              <w:t> </w:t>
            </w:r>
          </w:p>
        </w:tc>
      </w:tr>
      <w:tr>
        <w:trPr/>
        <w:tc>
          <w:tcPr>
            <w:tcW w:w="4797"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Notes to the Unaudited Condensed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550"/>
        <w:gridCol w:w="178"/>
        <w:gridCol w:w="60"/>
        <w:gridCol w:w="1460"/>
        <w:gridCol w:w="60"/>
        <w:gridCol w:w="178"/>
        <w:gridCol w:w="60"/>
        <w:gridCol w:w="1400"/>
        <w:gridCol w:w="63"/>
      </w:tblGrid>
      <w:tr>
        <w:trPr/>
        <w:tc>
          <w:tcPr>
            <w:tcW w:w="455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50" w:type="dxa"/>
            <w:tcBorders/>
            <w:shd w:fill="auto" w:val="clear"/>
            <w:vAlign w:val="bottom"/>
          </w:tcPr>
          <w:p>
            <w:pPr>
              <w:pStyle w:val="TableContents"/>
              <w:spacing w:before="0" w:after="283"/>
              <w:rPr>
                <w:b/>
              </w:rPr>
            </w:pPr>
            <w:r>
              <w:rPr>
                <w:b/>
              </w:rPr>
              <w:t>Class B Shares</w:t>
            </w:r>
          </w:p>
        </w:tc>
        <w:tc>
          <w:tcPr>
            <w:tcW w:w="178" w:type="dxa"/>
            <w:tcBorders/>
            <w:shd w:fill="auto" w:val="clear"/>
            <w:vAlign w:val="bottom"/>
          </w:tcPr>
          <w:p>
            <w:pPr>
              <w:pStyle w:val="TableContents"/>
              <w:spacing w:before="0" w:after="283"/>
              <w:rPr/>
            </w:pPr>
            <w:r>
              <w:rPr/>
              <w:t>  </w:t>
            </w:r>
          </w:p>
        </w:tc>
        <w:tc>
          <w:tcPr>
            <w:tcW w:w="1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w:t>
              <w:br/>
              <w:t>2023</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br/>
              <w:t>2022</w:t>
            </w:r>
          </w:p>
        </w:tc>
        <w:tc>
          <w:tcPr>
            <w:tcW w:w="63" w:type="dxa"/>
            <w:tcBorders/>
            <w:shd w:fill="auto" w:val="clear"/>
            <w:vAlign w:val="bottom"/>
          </w:tcPr>
          <w:p>
            <w:pPr>
              <w:pStyle w:val="TableContents"/>
              <w:spacing w:before="0" w:after="283"/>
              <w:rPr/>
            </w:pPr>
            <w:r>
              <w:rPr/>
              <w:t> </w:t>
            </w:r>
          </w:p>
        </w:tc>
      </w:tr>
      <w:tr>
        <w:trPr/>
        <w:tc>
          <w:tcPr>
            <w:tcW w:w="4550" w:type="dxa"/>
            <w:tcBorders/>
            <w:shd w:fill="CCEEFF" w:val="clear"/>
          </w:tcPr>
          <w:p>
            <w:pPr>
              <w:pStyle w:val="TableContents"/>
              <w:spacing w:before="0" w:after="0"/>
              <w:rPr>
                <w:rFonts w:ascii="Times New Roman" w:hAnsi="Times New Roman"/>
                <w:sz w:val="20"/>
              </w:rPr>
            </w:pPr>
            <w:r>
              <w:rPr>
                <w:rFonts w:ascii="Times New Roman" w:hAnsi="Times New Roman"/>
                <w:sz w:val="20"/>
              </w:rPr>
              <w:t>Snita Holding B.V.</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283"/>
              <w:jc w:val="right"/>
              <w:rPr/>
            </w:pPr>
            <w:r>
              <w:rPr/>
              <w:t>814,219,838</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814,219,838</w:t>
            </w:r>
          </w:p>
        </w:tc>
        <w:tc>
          <w:tcPr>
            <w:tcW w:w="63" w:type="dxa"/>
            <w:tcBorders/>
            <w:shd w:fill="CCEEFF" w:val="clear"/>
            <w:vAlign w:val="bottom"/>
          </w:tcPr>
          <w:p>
            <w:pPr>
              <w:pStyle w:val="TableContents"/>
              <w:spacing w:before="0" w:after="283"/>
              <w:rPr/>
            </w:pPr>
            <w:r>
              <w:rPr/>
              <w:t> </w:t>
            </w:r>
          </w:p>
        </w:tc>
      </w:tr>
      <w:tr>
        <w:trPr/>
        <w:tc>
          <w:tcPr>
            <w:tcW w:w="4550" w:type="dxa"/>
            <w:tcBorders/>
            <w:shd w:fill="auto" w:val="clear"/>
          </w:tcPr>
          <w:p>
            <w:pPr>
              <w:pStyle w:val="TableContents"/>
              <w:spacing w:before="0" w:after="0"/>
              <w:rPr>
                <w:rFonts w:ascii="Times New Roman" w:hAnsi="Times New Roman"/>
                <w:sz w:val="20"/>
              </w:rPr>
            </w:pPr>
            <w:r>
              <w:rPr>
                <w:rFonts w:ascii="Times New Roman" w:hAnsi="Times New Roman"/>
                <w:sz w:val="20"/>
              </w:rPr>
              <w:t>PSD Investment Limited</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283"/>
              <w:jc w:val="right"/>
              <w:rPr/>
            </w:pPr>
            <w:r>
              <w:rPr/>
              <w:t>828,013,737</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828,013,737</w:t>
            </w:r>
          </w:p>
        </w:tc>
        <w:tc>
          <w:tcPr>
            <w:tcW w:w="63" w:type="dxa"/>
            <w:tcBorders/>
            <w:shd w:fill="auto"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55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283"/>
              <w:jc w:val="right"/>
              <w:rPr>
                <w:b/>
              </w:rPr>
            </w:pPr>
            <w:r>
              <w:rPr>
                <w:b/>
              </w:rPr>
              <w:t>1,642,233,575</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b/>
              </w:rPr>
            </w:pPr>
            <w:r>
              <w:rPr>
                <w:b/>
              </w:rPr>
              <w:t>1,642,233,575</w:t>
            </w:r>
          </w:p>
        </w:tc>
        <w:tc>
          <w:tcPr>
            <w:tcW w:w="63" w:type="dxa"/>
            <w:tcBorders/>
            <w:shd w:fill="CCEEFF"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12 - Assets held for sale </w:t>
      </w:r>
    </w:p>
    <w:p>
      <w:pPr>
        <w:pStyle w:val="TextBody"/>
        <w:spacing w:before="120" w:after="0"/>
        <w:jc w:val="left"/>
        <w:rPr>
          <w:rFonts w:ascii="Times New Roman" w:hAnsi="Times New Roman"/>
          <w:sz w:val="20"/>
        </w:rPr>
      </w:pPr>
      <w:r>
        <w:rPr>
          <w:rFonts w:ascii="Times New Roman" w:hAnsi="Times New Roman"/>
          <w:sz w:val="20"/>
        </w:rPr>
        <w:t xml:space="preserve">In December 2022, the Group committed to a plan to sell, to a related party, the Chengdu manufacturing plant held by its subsidiary, Polestar New Energy Vehicle Co. Ltd., that was previously used to manufacture the Polestar 1 and special edition Polestar 2 BST 270. Accordingly, the Chengdu plant and certain related assets are presented as a disposal group held for sale. Polestar has initiated selling efforts and expects to close a sale in the first half of 2023. The assets related to the Chengdu Plant that have been classified as held for sale have a net value of $61,276. The cumulative expense related to exchange rate differences from translation of the disposal group that are included in other comprehensive income amount to $1,184. Prior to December 2022, the Group did not hold any assets classified as held for sale. </w:t>
      </w:r>
    </w:p>
    <w:p>
      <w:pPr>
        <w:pStyle w:val="TextBody"/>
        <w:spacing w:before="240" w:after="0"/>
        <w:jc w:val="left"/>
        <w:rPr>
          <w:rFonts w:ascii="Times New Roman" w:hAnsi="Times New Roman"/>
          <w:sz w:val="20"/>
        </w:rPr>
      </w:pPr>
      <w:r>
        <w:rPr>
          <w:rFonts w:ascii="Times New Roman" w:hAnsi="Times New Roman"/>
          <w:sz w:val="20"/>
        </w:rPr>
        <w:t xml:space="preserve">As of March 31, 2023, the disposal group was stated at the Groups carrying value and was comprised of the following: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6104"/>
        <w:gridCol w:w="253"/>
        <w:gridCol w:w="60"/>
        <w:gridCol w:w="687"/>
        <w:gridCol w:w="62"/>
      </w:tblGrid>
      <w:tr>
        <w:trPr/>
        <w:tc>
          <w:tcPr>
            <w:tcW w:w="610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6104" w:type="dxa"/>
            <w:tcBorders/>
            <w:shd w:fill="CCEEFF"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2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55,946</w:t>
            </w:r>
          </w:p>
        </w:tc>
        <w:tc>
          <w:tcPr>
            <w:tcW w:w="62" w:type="dxa"/>
            <w:tcBorders/>
            <w:shd w:fill="CCEEFF" w:val="clear"/>
            <w:vAlign w:val="bottom"/>
          </w:tcPr>
          <w:p>
            <w:pPr>
              <w:pStyle w:val="TableContents"/>
              <w:spacing w:before="0" w:after="283"/>
              <w:rPr/>
            </w:pPr>
            <w:r>
              <w:rPr/>
              <w:t> </w:t>
            </w:r>
          </w:p>
        </w:tc>
      </w:tr>
      <w:tr>
        <w:trPr/>
        <w:tc>
          <w:tcPr>
            <w:tcW w:w="6104"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5,330</w:t>
            </w:r>
          </w:p>
        </w:tc>
        <w:tc>
          <w:tcPr>
            <w:tcW w:w="62" w:type="dxa"/>
            <w:tcBorders/>
            <w:shd w:fill="auto" w:val="clear"/>
            <w:vAlign w:val="bottom"/>
          </w:tcPr>
          <w:p>
            <w:pPr>
              <w:pStyle w:val="TableContents"/>
              <w:spacing w:before="0" w:after="283"/>
              <w:rPr/>
            </w:pPr>
            <w:r>
              <w:rPr/>
              <w:t> </w:t>
            </w:r>
          </w:p>
        </w:tc>
      </w:tr>
      <w:tr>
        <w:trPr/>
        <w:tc>
          <w:tcPr>
            <w:tcW w:w="6104"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7"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6104"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 held for sale</w:t>
            </w:r>
          </w:p>
        </w:tc>
        <w:tc>
          <w:tcPr>
            <w:tcW w:w="2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b/>
              </w:rPr>
            </w:pPr>
            <w:r>
              <w:rPr>
                <w:b/>
              </w:rPr>
              <w:t>61,276</w:t>
            </w:r>
          </w:p>
        </w:tc>
        <w:tc>
          <w:tcPr>
            <w:tcW w:w="62" w:type="dxa"/>
            <w:tcBorders/>
            <w:shd w:fill="CCEEFF" w:val="clear"/>
            <w:vAlign w:val="bottom"/>
          </w:tcPr>
          <w:p>
            <w:pPr>
              <w:pStyle w:val="TableContents"/>
              <w:spacing w:before="0" w:after="283"/>
              <w:rPr/>
            </w:pPr>
            <w:r>
              <w:rPr/>
              <w:t> </w:t>
            </w:r>
          </w:p>
        </w:tc>
      </w:tr>
      <w:tr>
        <w:trPr/>
        <w:tc>
          <w:tcPr>
            <w:tcW w:w="6104"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7"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13 - Commitments and contingencies </w:t>
      </w:r>
    </w:p>
    <w:p>
      <w:pPr>
        <w:pStyle w:val="TextBody"/>
        <w:spacing w:before="120" w:after="0"/>
        <w:jc w:val="left"/>
        <w:rPr>
          <w:rFonts w:ascii="Times New Roman" w:hAnsi="Times New Roman"/>
          <w:b/>
          <w:sz w:val="20"/>
        </w:rPr>
      </w:pPr>
      <w:r>
        <w:rPr>
          <w:rFonts w:ascii="Times New Roman" w:hAnsi="Times New Roman"/>
          <w:b/>
          <w:sz w:val="20"/>
        </w:rPr>
        <w:t xml:space="preserve">Commitments </w:t>
      </w:r>
    </w:p>
    <w:p>
      <w:pPr>
        <w:pStyle w:val="TextBody"/>
        <w:spacing w:before="120" w:after="0"/>
        <w:jc w:val="left"/>
        <w:rPr>
          <w:rFonts w:ascii="Times New Roman" w:hAnsi="Times New Roman"/>
          <w:sz w:val="20"/>
        </w:rPr>
      </w:pPr>
      <w:r>
        <w:rPr>
          <w:rFonts w:ascii="Times New Roman" w:hAnsi="Times New Roman"/>
          <w:sz w:val="20"/>
        </w:rPr>
        <w:t xml:space="preserve">As of March 31, 2023, commitments to acquire PPE and intangible assets were $174,644 and $205,962, respectively. As of December 31, 2022, commitments to acquire PPE and intangible assets were $179,690 and $216,572, respectively. These commitments are contractual obligations to invest in PPE and intangible assets for the production of upcoming vehicle models Polestar 3 and Polestar 4. For the production of Polestar 3 and Polestar 2, contract manufacturing agreements are yet to be signed that define the upcoming investment commitments in Volvo Cars Charleston plant and Geelys Chongqing plant respectively. </w:t>
      </w:r>
    </w:p>
    <w:p>
      <w:pPr>
        <w:pStyle w:val="TextBody"/>
        <w:spacing w:before="360" w:after="0"/>
        <w:jc w:val="left"/>
        <w:rPr>
          <w:rFonts w:ascii="Times New Roman" w:hAnsi="Times New Roman"/>
          <w:b/>
          <w:sz w:val="20"/>
        </w:rPr>
      </w:pPr>
      <w:r>
        <w:rPr>
          <w:rFonts w:ascii="Times New Roman" w:hAnsi="Times New Roman"/>
          <w:b/>
          <w:sz w:val="20"/>
        </w:rPr>
        <w:t xml:space="preserve">Contingencies </w:t>
      </w:r>
    </w:p>
    <w:p>
      <w:pPr>
        <w:pStyle w:val="TextBody"/>
        <w:spacing w:before="120" w:after="0"/>
        <w:jc w:val="left"/>
        <w:rPr>
          <w:rFonts w:ascii="Times New Roman" w:hAnsi="Times New Roman"/>
          <w:sz w:val="20"/>
        </w:rPr>
      </w:pPr>
      <w:r>
        <w:rPr>
          <w:rFonts w:ascii="Times New Roman" w:hAnsi="Times New Roman"/>
          <w:sz w:val="20"/>
        </w:rPr>
        <w:t xml:space="preserve">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 </w:t>
      </w:r>
    </w:p>
    <w:p>
      <w:pPr>
        <w:pStyle w:val="TextBody"/>
        <w:spacing w:before="360" w:after="0"/>
        <w:jc w:val="left"/>
        <w:rPr>
          <w:rFonts w:ascii="Times New Roman" w:hAnsi="Times New Roman"/>
          <w:b/>
          <w:sz w:val="20"/>
        </w:rPr>
      </w:pPr>
      <w:r>
        <w:rPr>
          <w:rFonts w:ascii="Times New Roman" w:hAnsi="Times New Roman"/>
          <w:b/>
          <w:sz w:val="20"/>
        </w:rPr>
        <w:t xml:space="preserve">Note 14 - Subsequent events </w:t>
      </w:r>
    </w:p>
    <w:p>
      <w:pPr>
        <w:pStyle w:val="TextBody"/>
        <w:spacing w:before="120" w:after="0"/>
        <w:jc w:val="left"/>
        <w:rPr>
          <w:rFonts w:ascii="Times New Roman" w:hAnsi="Times New Roman"/>
          <w:sz w:val="20"/>
        </w:rPr>
      </w:pPr>
      <w:r>
        <w:rPr>
          <w:rFonts w:ascii="Times New Roman" w:hAnsi="Times New Roman"/>
          <w:sz w:val="20"/>
        </w:rPr>
        <w:t xml:space="preserve">Management has evaluated events subsequent to March 31, 2023 and through May 11, 2023, the date these Unaudited Condensed Consolidated Financial Statements were authorized for issuance by the Board of Directors. The following events which occurred subsequent to March 31, 2023 merited disclosure in these Unaudited Condensed Consolidated Financial Statements. Management determined that no adjustments were required to the figures presented as a result of these events. </w:t>
      </w:r>
    </w:p>
    <w:p>
      <w:pPr>
        <w:pStyle w:val="TextBody"/>
        <w:spacing w:before="240" w:after="0"/>
        <w:jc w:val="left"/>
        <w:rPr>
          <w:rFonts w:ascii="Times New Roman" w:hAnsi="Times New Roman"/>
          <w:sz w:val="20"/>
        </w:rPr>
      </w:pPr>
      <w:r>
        <w:rPr>
          <w:rFonts w:ascii="Times New Roman" w:hAnsi="Times New Roman"/>
          <w:sz w:val="20"/>
        </w:rPr>
        <w:t xml:space="preserve">On April 3, 2023, the Group granted 1,607,582 awards under the 2022 Omnibus Incentive Plan, of which 1,202,569 are PSUs and 405,013 are RSUs. The awards are equity-settled with a three-year cliff vesting period. The vesting commencement date was January 1, 2023. </w:t>
      </w:r>
    </w:p>
    <w:p>
      <w:pPr>
        <w:pStyle w:val="TextBody"/>
        <w:spacing w:before="240" w:after="0"/>
        <w:jc w:val="left"/>
        <w:rPr>
          <w:rFonts w:ascii="Times New Roman" w:hAnsi="Times New Roman"/>
          <w:sz w:val="20"/>
        </w:rPr>
      </w:pPr>
      <w:r>
        <w:rPr>
          <w:rFonts w:ascii="Times New Roman" w:hAnsi="Times New Roman"/>
          <w:sz w:val="20"/>
        </w:rPr>
        <w:t xml:space="preserve">On April 27, 2023, the Group drew down $150,000 of the $800,000 aggregate principal amount under its 18-month credit facility with Volvo Cars that was secured on November 3, 2022. On May 9, 2023, the Group drew down an additional $150,000. $200,000 of principal remains available to draw upon under this facility. Refer to </w:t>
      </w:r>
      <w:r>
        <w:rPr>
          <w:rFonts w:ascii="Times New Roman" w:hAnsi="Times New Roman"/>
          <w:i/>
          <w:sz w:val="20"/>
        </w:rPr>
        <w:t>Note 11 - Related party transactions</w:t>
      </w:r>
      <w:r>
        <w:rPr>
          <w:rFonts w:ascii="Times New Roman" w:hAnsi="Times New Roman"/>
          <w:sz w:val="20"/>
        </w:rPr>
        <w:t xml:space="preserve"> for further details on the facility with Volvo Cars. </w:t>
      </w:r>
    </w:p>
    <w:p>
      <w:pPr>
        <w:pStyle w:val="TextBody"/>
        <w:spacing w:before="240" w:after="0"/>
        <w:jc w:val="left"/>
        <w:rPr>
          <w:rFonts w:ascii="Times New Roman" w:hAnsi="Times New Roman"/>
          <w:sz w:val="20"/>
        </w:rPr>
      </w:pPr>
      <w:r>
        <w:rPr>
          <w:rFonts w:ascii="Times New Roman" w:hAnsi="Times New Roman"/>
          <w:sz w:val="20"/>
        </w:rPr>
        <w:t xml:space="preserve">On May 11, 2023, the Group announced that it was recently informed that additional time for final software development of the new all-electric platform shared by Volvo Cars is needed and that the start of production of Polestar 3 is now expected in the first quarter of 2024. In light of this and the economic environment affecting the automotive industry, the Group now expects 2023 global volumes of 60,000  70,000 vehicles. Additionally, the Group is intensifying its focus on cost management, including a global hiring freeze and 10% headcount reduction.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63</Pages>
  <Words>21836</Words>
  <CharactersWithSpaces>145119</CharactersWithSpaces>
  <Paragraphs>6997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