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Polestar Automotive Holding UK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American Depositary Shares, Class A Ordinary Shares, par value $0.01 each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Zhejiang Geely Holding Group</w:t>
              <w:br/>
              <w:t>No. 1760 Jiangling Road,, Binjiang District</w:t>
              <w:br/>
              <w:t>Hangzhou, F4, 3100 51</w:t>
              <w:br/>
              <w:t>86 (571) 2809 8282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8"/>
        <w:gridCol w:w="7707"/>
      </w:tblGrid>
      <w:tr>
        <w:trPr/>
        <w:tc>
          <w:tcPr>
            <w:tcW w:w="2498" w:type="dxa"/>
            <w:tcBorders/>
            <w:vAlign w:val="center"/>
          </w:tcPr>
          <w:p>
            <w:pPr>
              <w:pStyle w:val="TableContents"/>
              <w:bidi w:val="0"/>
              <w:spacing w:before="0" w:after="283"/>
              <w:jc w:val="left"/>
              <w:rPr/>
            </w:pPr>
            <w:r>
              <w:rPr/>
              <w:t>1</w:t>
            </w:r>
          </w:p>
        </w:tc>
        <w:tc>
          <w:tcPr>
            <w:tcW w:w="770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Eric Li</w:t>
            </w:r>
          </w:p>
        </w:tc>
      </w:tr>
      <w:tr>
        <w:trPr/>
        <w:tc>
          <w:tcPr>
            <w:tcW w:w="2498" w:type="dxa"/>
            <w:tcBorders/>
            <w:vAlign w:val="center"/>
          </w:tcPr>
          <w:p>
            <w:pPr>
              <w:pStyle w:val="TableContents"/>
              <w:bidi w:val="0"/>
              <w:spacing w:before="0" w:after="283"/>
              <w:jc w:val="left"/>
              <w:rPr/>
            </w:pPr>
            <w:r>
              <w:rPr/>
              <w:t>2</w:t>
            </w:r>
          </w:p>
        </w:tc>
        <w:tc>
          <w:tcPr>
            <w:tcW w:w="770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8" w:type="dxa"/>
            <w:tcBorders/>
            <w:vAlign w:val="center"/>
          </w:tcPr>
          <w:p>
            <w:pPr>
              <w:pStyle w:val="TableContents"/>
              <w:bidi w:val="0"/>
              <w:spacing w:before="0" w:after="283"/>
              <w:jc w:val="left"/>
              <w:rPr/>
            </w:pPr>
            <w:r>
              <w:rPr/>
              <w:t>3</w:t>
            </w:r>
          </w:p>
        </w:tc>
        <w:tc>
          <w:tcPr>
            <w:tcW w:w="7707" w:type="dxa"/>
            <w:tcBorders/>
            <w:vAlign w:val="center"/>
          </w:tcPr>
          <w:p>
            <w:pPr>
              <w:pStyle w:val="TableContents"/>
              <w:bidi w:val="0"/>
              <w:spacing w:before="0" w:after="283"/>
              <w:jc w:val="left"/>
              <w:rPr/>
            </w:pPr>
            <w:r>
              <w:rPr/>
              <w:t>SEC use only</w:t>
            </w:r>
          </w:p>
        </w:tc>
      </w:tr>
      <w:tr>
        <w:trPr/>
        <w:tc>
          <w:tcPr>
            <w:tcW w:w="2498" w:type="dxa"/>
            <w:tcBorders/>
            <w:vAlign w:val="center"/>
          </w:tcPr>
          <w:p>
            <w:pPr>
              <w:pStyle w:val="TableContents"/>
              <w:bidi w:val="0"/>
              <w:spacing w:before="0" w:after="283"/>
              <w:jc w:val="left"/>
              <w:rPr/>
            </w:pPr>
            <w:r>
              <w:rPr/>
              <w:t>4</w:t>
            </w:r>
          </w:p>
        </w:tc>
        <w:tc>
          <w:tcPr>
            <w:tcW w:w="770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498" w:type="dxa"/>
            <w:tcBorders/>
            <w:vAlign w:val="center"/>
          </w:tcPr>
          <w:p>
            <w:pPr>
              <w:pStyle w:val="TableContents"/>
              <w:bidi w:val="0"/>
              <w:spacing w:before="0" w:after="283"/>
              <w:jc w:val="left"/>
              <w:rPr/>
            </w:pPr>
            <w:r>
              <w:rPr/>
              <w:t>5</w:t>
            </w:r>
          </w:p>
        </w:tc>
        <w:tc>
          <w:tcPr>
            <w:tcW w:w="770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8" w:type="dxa"/>
            <w:tcBorders/>
            <w:vAlign w:val="center"/>
          </w:tcPr>
          <w:p>
            <w:pPr>
              <w:pStyle w:val="TableContents"/>
              <w:bidi w:val="0"/>
              <w:spacing w:before="0" w:after="283"/>
              <w:jc w:val="left"/>
              <w:rPr/>
            </w:pPr>
            <w:r>
              <w:rPr/>
              <w:t>6</w:t>
            </w:r>
          </w:p>
        </w:tc>
        <w:tc>
          <w:tcPr>
            <w:tcW w:w="770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49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108,325,939.00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99,358,168.00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07" w:type="dxa"/>
            <w:tcBorders/>
            <w:vAlign w:val="center"/>
          </w:tcPr>
          <w:p>
            <w:pPr>
              <w:pStyle w:val="TableContents"/>
              <w:bidi w:val="0"/>
              <w:spacing w:before="0" w:after="283"/>
              <w:jc w:val="left"/>
              <w:rPr>
                <w:sz w:val="4"/>
                <w:szCs w:val="4"/>
              </w:rPr>
            </w:pPr>
            <w:r>
              <w:rPr>
                <w:sz w:val="4"/>
                <w:szCs w:val="4"/>
              </w:rPr>
            </w:r>
          </w:p>
        </w:tc>
      </w:tr>
      <w:tr>
        <w:trPr/>
        <w:tc>
          <w:tcPr>
            <w:tcW w:w="2498" w:type="dxa"/>
            <w:tcBorders/>
            <w:vAlign w:val="center"/>
          </w:tcPr>
          <w:p>
            <w:pPr>
              <w:pStyle w:val="TableContents"/>
              <w:bidi w:val="0"/>
              <w:spacing w:before="0" w:after="283"/>
              <w:jc w:val="left"/>
              <w:rPr/>
            </w:pPr>
            <w:r>
              <w:rPr/>
              <w:t>11</w:t>
            </w:r>
          </w:p>
        </w:tc>
        <w:tc>
          <w:tcPr>
            <w:tcW w:w="770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99,358,168.00</w:t>
            </w:r>
          </w:p>
        </w:tc>
      </w:tr>
      <w:tr>
        <w:trPr/>
        <w:tc>
          <w:tcPr>
            <w:tcW w:w="2498" w:type="dxa"/>
            <w:tcBorders/>
            <w:vAlign w:val="center"/>
          </w:tcPr>
          <w:p>
            <w:pPr>
              <w:pStyle w:val="TableContents"/>
              <w:bidi w:val="0"/>
              <w:spacing w:before="0" w:after="283"/>
              <w:jc w:val="left"/>
              <w:rPr/>
            </w:pPr>
            <w:r>
              <w:rPr/>
              <w:t>12</w:t>
            </w:r>
          </w:p>
        </w:tc>
        <w:tc>
          <w:tcPr>
            <w:tcW w:w="770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8" w:type="dxa"/>
            <w:tcBorders/>
            <w:vAlign w:val="center"/>
          </w:tcPr>
          <w:p>
            <w:pPr>
              <w:pStyle w:val="TableContents"/>
              <w:bidi w:val="0"/>
              <w:spacing w:before="0" w:after="283"/>
              <w:jc w:val="left"/>
              <w:rPr/>
            </w:pPr>
            <w:r>
              <w:rPr/>
              <w:t>13</w:t>
            </w:r>
          </w:p>
        </w:tc>
        <w:tc>
          <w:tcPr>
            <w:tcW w:w="770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60.5 % </w:t>
            </w:r>
          </w:p>
        </w:tc>
      </w:tr>
      <w:tr>
        <w:trPr/>
        <w:tc>
          <w:tcPr>
            <w:tcW w:w="2498" w:type="dxa"/>
            <w:tcBorders/>
            <w:vAlign w:val="center"/>
          </w:tcPr>
          <w:p>
            <w:pPr>
              <w:pStyle w:val="TableContents"/>
              <w:bidi w:val="0"/>
              <w:spacing w:before="0" w:after="283"/>
              <w:jc w:val="left"/>
              <w:rPr/>
            </w:pPr>
            <w:r>
              <w:rPr/>
              <w:t>14</w:t>
            </w:r>
          </w:p>
        </w:tc>
        <w:tc>
          <w:tcPr>
            <w:tcW w:w="770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Volvo Car Corporation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32,691,731.00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PSD Investment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42,917,431.00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33,949,660.00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33,949,660.00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PSD Capital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42,917,431.00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33,949,660.00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33,949,660.00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Snita Holding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32,691,731.00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Volvo Car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32,691,731.00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32,691,731.00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32,691,731.00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Geely Sweden Holdings AB</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Shanghai Geely Zhaoyuan International Investment Co.,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Beijing Geely Wanyuan International Investment Co.,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Beijing Geely Kaisheng International Investment Co.,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Zhejiang Geely Holding Group Company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65,408,508.00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65,408,508.00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Geely Sweden Automotive Investment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32,250,434.00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32,250,434.00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32,250,434.00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item1to7"/>
      <w:bookmarkStart w:id="55" w:name="item1to7"/>
      <w:bookmarkEnd w:id="55"/>
    </w:p>
    <w:tbl>
      <w:tblPr>
        <w:tblW w:w="10205" w:type="dxa"/>
        <w:jc w:val="left"/>
        <w:tblInd w:w="0" w:type="dxa"/>
        <w:tblLayout w:type="fixed"/>
        <w:tblCellMar>
          <w:top w:w="28" w:type="dxa"/>
          <w:left w:w="28" w:type="dxa"/>
          <w:bottom w:w="28" w:type="dxa"/>
          <w:right w:w="28" w:type="dxa"/>
        </w:tblCellMar>
      </w:tblPr>
      <w:tblGrid>
        <w:gridCol w:w="1179"/>
        <w:gridCol w:w="8871"/>
        <w:gridCol w:w="155"/>
      </w:tblGrid>
      <w:tr>
        <w:trPr/>
        <w:tc>
          <w:tcPr>
            <w:tcW w:w="1179" w:type="dxa"/>
            <w:tcBorders/>
            <w:vAlign w:val="center"/>
          </w:tcPr>
          <w:p>
            <w:pPr>
              <w:pStyle w:val="TableContents"/>
              <w:bidi w:val="0"/>
              <w:spacing w:before="0" w:after="283"/>
              <w:jc w:val="left"/>
              <w:rPr/>
            </w:pPr>
            <w:r>
              <w:rPr/>
              <w:t>Item 1.</w:t>
            </w:r>
          </w:p>
        </w:tc>
        <w:tc>
          <w:tcPr>
            <w:tcW w:w="887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American Depositary Shares, Class A Ordinary Shares, par value $0.01 each</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jc w:val="left"/>
              <w:rPr/>
            </w:pPr>
            <w:r>
              <w:rPr/>
              <w:t xml:space="preserve">Name of Issuer: </w:t>
            </w:r>
          </w:p>
          <w:p>
            <w:pPr>
              <w:pStyle w:val="TableContents"/>
              <w:bidi w:val="0"/>
              <w:spacing w:before="0" w:after="0"/>
              <w:jc w:val="left"/>
              <w:rPr/>
            </w:pPr>
            <w:r>
              <w:rPr/>
              <w:t>Polestar Automotive Holding UK PLC</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Assar Gabrielssons Vag 9, Gothenburg, SWEDEN , 405 31.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16 to Schedule 13D ("Amendment No. 16") amends and supplements the Statement on Schedule 13D filed with the United States Securities and Exchange Commission on July 7, 2022 (as amended to date, the "Statement"), relating to Class A ordinary shares, par value $0.01 per share (the "Class A Shares"), of Polestar Automotive Holding UK PLC, a limited company incorporated under the laws of England and Wales (the "Issuer"). Capitalized terms used herein without definition shall have the meaning set forth in the Statement.</w:t>
            </w:r>
          </w:p>
        </w:tc>
      </w:tr>
      <w:tr>
        <w:trPr/>
        <w:tc>
          <w:tcPr>
            <w:tcW w:w="1179" w:type="dxa"/>
            <w:tcBorders/>
            <w:vAlign w:val="center"/>
          </w:tcPr>
          <w:p>
            <w:pPr>
              <w:pStyle w:val="TableContents"/>
              <w:bidi w:val="0"/>
              <w:spacing w:before="0" w:after="283"/>
              <w:jc w:val="left"/>
              <w:rPr/>
            </w:pPr>
            <w:r>
              <w:rPr/>
              <w:t>Item 4.</w:t>
            </w:r>
          </w:p>
        </w:tc>
        <w:tc>
          <w:tcPr>
            <w:tcW w:w="887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Item 4 of the Statement is hereby amended and supplemented by inserting the following: 2026 GSAI AB Term Loan Facility On September 3, 2026, the Issuer, as borrower, entered into a credit agreement in relation to a USD 400,000,000 term loan facility (the "Term Loan Facility") with Geely Sweden Automotive Investment AB, as original lender and agent ("GSAI AB"). GSAI AB is a wholly owned subsidiary of Geely Sweden Holdings AB ("Geely Sweden"), the parent company of Volvo Car AB. The Term Loan Facility comprises two tranches: (i) Tranche A, a USD term loan facility in an aggregate amount of USD 100,000,000, and (ii) Tranche B, a term loan facility in an aggregate amount equivalent to USD 300,000,000, to be disbursed in Chinese Renminbi ("RMB"). Any utilization above USD 100,000,000 or its equivalent is subject to lender consent. The Issuer shall apply all amounts borrowed under the Term Loan Facility solely for the purpose of repayment of certain outstanding loans and for no other purpose. The Issuer is required to provide GSAI AB with evidence reasonably satisfactory to GSAI AB within five Business Days of each utilization that the proceeds have been applied in full towards repayment of the certain outstanding loans. The Term Loan Facility is available for utilization until September 30, 2026 and is required to be repaid on the Termination Date (as defined in the Term Loan Facility) falling 365 days from the first Utilization Date (as defined in the Term Loan Facility), subject to GSAI AB exercising an option to convert all or part of the loan and accrued interest into shares of the Issuer at an equity conversion price calculated based on an average closing price as reported by NASDAQ for the Class A American Depositary Shares of the Borrower over the 5 trading days immediately preceding the date of the Equity Conversion Exercise Notice (as defined in the Term Loan Facility). GSAI AB's right to utilize the option to convert the Term Loan Facility is subject to various regulatory approvals. As such, neither GSAI AB nor any other Reporting Person is presently deemed to beneficially own the shares issuable upon conversion of the Term Loan Facility. The Issuer's obligations under the Term Loan Facility are not guaranteed or secured. The Term Loan Facility contains customary negative covenants, including, but not limited to, restrictions on the Issuer's ability to make certain acquisitions, loans and guarantees. The Term Loan Facility also contains certain affirmative covenants, including, but not limited to, certain information undertakings and access to senior management. As promptly as practicable following the Equity Conversion Date (as defined in the Term Loan Facility), the Issuer and GSAI AB will enter into a registration rights agreement that is, in form and substance, similar to the registration rights agreement dated September 27, 2021, as later amended, among the Issuer and other parties (the "Registration Rights Agreement"). The Issuer has agreed to include any Conversion Shares issued to GSAI AB pursuant to exercise of the Conversion Right pursuant to the Term Loan Facility in the definition of "Registrable Securities" in the Registration Rights Agreement. The Issuer has agreed, within 90 days following the Equity Conversion Date, to file a new shelf registration statement on Form F-3 in view of registering the resale of any Conversion Shares and cause such registration statement to become effective as soon as practicable after such filing. The foregoing description of the Term Loan Facility does not purport to be complete, and is qualified in its entirety by reference to the Term Loan Facility, which is attached as an exhibit to this Statement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5.</w:t>
            </w:r>
          </w:p>
        </w:tc>
        <w:tc>
          <w:tcPr>
            <w:tcW w:w="887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(a)</w:t>
            </w:r>
          </w:p>
        </w:tc>
        <w:tc>
          <w:tcPr>
            <w:tcW w:w="8871" w:type="dxa"/>
            <w:tcBorders/>
            <w:vAlign w:val="center"/>
          </w:tcPr>
          <w:p>
            <w:pPr>
              <w:pStyle w:val="TableContents"/>
              <w:bidi w:val="0"/>
              <w:spacing w:before="0" w:after="0"/>
              <w:jc w:val="left"/>
              <w:rPr/>
            </w:pPr>
            <w:r>
              <w:rPr/>
              <w:t>Item 5(a) of the Statement is hereby amended and restated in its entirety as follows: The information contained on the cover pages to this Statement is incorporated herein by reference. The percentages of beneficial ownership set forth herein are based on (i) 163,283,710 Class A ADSs and (ii) 996,419 Class B ADSs, issued and outstanding as disclosed by the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(b)</w:t>
            </w:r>
          </w:p>
        </w:tc>
        <w:tc>
          <w:tcPr>
            <w:tcW w:w="8871" w:type="dxa"/>
            <w:tcBorders/>
            <w:vAlign w:val="center"/>
          </w:tcPr>
          <w:p>
            <w:pPr>
              <w:pStyle w:val="TableContents"/>
              <w:bidi w:val="0"/>
              <w:spacing w:before="0" w:after="0"/>
              <w:jc w:val="left"/>
              <w:rPr/>
            </w:pPr>
            <w:r>
              <w:rPr/>
              <w:t>Item 5(b) of the Statement is hereby amended and restated in its entirety as follows: The information contained on the cover pages to this Statement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(c)</w:t>
            </w:r>
          </w:p>
        </w:tc>
        <w:tc>
          <w:tcPr>
            <w:tcW w:w="8871" w:type="dxa"/>
            <w:tcBorders/>
            <w:vAlign w:val="center"/>
          </w:tcPr>
          <w:p>
            <w:pPr>
              <w:pStyle w:val="TableContents"/>
              <w:bidi w:val="0"/>
              <w:spacing w:before="0" w:after="0"/>
              <w:jc w:val="left"/>
              <w:rPr/>
            </w:pPr>
            <w:r>
              <w:rPr/>
              <w:t>Item 5(c) of the Statement is hereby amended and supplemented as follows: The Reporting Persons have not effected any transactions in the Issuer's Shares in the last 60 days.</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(d)</w:t>
            </w:r>
          </w:p>
        </w:tc>
        <w:tc>
          <w:tcPr>
            <w:tcW w:w="8871"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(e)</w:t>
            </w:r>
          </w:p>
        </w:tc>
        <w:tc>
          <w:tcPr>
            <w:tcW w:w="887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6.</w:t>
            </w:r>
          </w:p>
        </w:tc>
        <w:tc>
          <w:tcPr>
            <w:tcW w:w="887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Item 6 of the Statement is hereby amended and supplemented by inserting the following: Item 4 above summarizes certain provisions of the Term Loan Facility, and is incorporated herein by reference. A copy of the Term Loan Facility is filed as an exhibit to this Statement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Item 7.</w:t>
            </w:r>
          </w:p>
        </w:tc>
        <w:tc>
          <w:tcPr>
            <w:tcW w:w="887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9"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0"/>
              <w:jc w:val="left"/>
              <w:rPr/>
            </w:pPr>
            <w:r>
              <w:rPr/>
              <w:t>Item 7 of the Statement is hereby amended and supplemented by inserting the following: Exhibit 10: GSAI AB Polestar Facilities Agreement dated September 3, 2026 (incorporated by reference to Exhibit 10.1 to the Issuer's Form 6-K filed with the Securities and Exchange Commission on September 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signatureInfo"/>
      <w:bookmarkStart w:id="57" w:name="signatureInfo"/>
      <w:bookmarkEnd w:id="5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862" w:type="dxa"/>
        <w:jc w:val="left"/>
        <w:tblInd w:w="0" w:type="dxa"/>
        <w:tblLayout w:type="fixed"/>
        <w:tblCellMar>
          <w:top w:w="28" w:type="dxa"/>
          <w:left w:w="28" w:type="dxa"/>
          <w:bottom w:w="28" w:type="dxa"/>
          <w:right w:w="28" w:type="dxa"/>
        </w:tblCellMar>
      </w:tblPr>
      <w:tblGrid>
        <w:gridCol w:w="931"/>
        <w:gridCol w:w="931"/>
      </w:tblGrid>
      <w:tr>
        <w:trPr/>
        <w:tc>
          <w:tcPr>
            <w:tcW w:w="931" w:type="dxa"/>
            <w:tcBorders/>
            <w:vAlign w:val="center"/>
          </w:tcPr>
          <w:p>
            <w:pPr>
              <w:pStyle w:val="TableContents"/>
              <w:bidi w:val="0"/>
              <w:spacing w:before="0" w:after="0"/>
              <w:jc w:val="left"/>
              <w:rPr/>
            </w:pPr>
            <w:r>
              <w:rPr/>
              <w:t> </w:t>
            </w:r>
          </w:p>
          <w:tbl>
            <w:tblPr>
              <w:tblW w:w="826" w:type="dxa"/>
              <w:jc w:val="left"/>
              <w:tblInd w:w="0" w:type="dxa"/>
              <w:tblLayout w:type="fixed"/>
              <w:tblCellMar>
                <w:top w:w="28" w:type="dxa"/>
                <w:left w:w="28" w:type="dxa"/>
                <w:bottom w:w="28" w:type="dxa"/>
                <w:right w:w="28" w:type="dxa"/>
              </w:tblCellMar>
            </w:tblPr>
            <w:tblGrid>
              <w:gridCol w:w="826"/>
            </w:tblGrid>
            <w:tr>
              <w:trPr/>
              <w:tc>
                <w:tcPr>
                  <w:tcW w:w="826" w:type="dxa"/>
                  <w:tcBorders/>
                  <w:vAlign w:val="center"/>
                </w:tcPr>
                <w:p>
                  <w:pPr>
                    <w:pStyle w:val="TableContents"/>
                    <w:bidi w:val="0"/>
                    <w:spacing w:before="0" w:after="0"/>
                    <w:jc w:val="left"/>
                    <w:rPr/>
                  </w:pPr>
                  <w:r>
                    <w:rPr/>
                    <w:t>Eric Li</w:t>
                  </w:r>
                </w:p>
              </w:tc>
            </w:tr>
          </w:tbl>
          <w:p>
            <w:pPr>
              <w:pStyle w:val="TableContents"/>
              <w:bidi w:val="0"/>
              <w:spacing w:before="0" w:after="283"/>
              <w:jc w:val="left"/>
              <w:rPr/>
            </w:pPr>
            <w:r>
              <w:rPr/>
            </w:r>
          </w:p>
        </w:tc>
        <w:tc>
          <w:tcPr>
            <w:tcW w:w="9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/s/ Eric Li</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Eric Li (Shufu Li)</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Volvo Car Corporation</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Fredrik Hansson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Fredrik Hansson, Director &amp;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Helen Hu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Helen Hu, Director &amp;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PSD Investment Limited</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Shufu Li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Shufu Li, Sole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PSD Capital Limited</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Shufu Li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Shufu Li, Sole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Snita Holding B.V.</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Fredrik Hansson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Fredrik Hansson, Director &amp;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Helen Hu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Helen Hu, Director &amp;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Volvo Car AB</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Fredrik Hansson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Fredrik Hansson,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Helen Hu</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Helen Hu,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Geely Sweden Holdings AB</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Shufu Li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Shufu Li,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Donghui Li</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Donghui Li, 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17"/>
        <w:gridCol w:w="4988"/>
      </w:tblGrid>
      <w:tr>
        <w:trPr/>
        <w:tc>
          <w:tcPr>
            <w:tcW w:w="5217" w:type="dxa"/>
            <w:tcBorders/>
            <w:vAlign w:val="center"/>
          </w:tcPr>
          <w:p>
            <w:pPr>
              <w:pStyle w:val="TableContents"/>
              <w:bidi w:val="0"/>
              <w:spacing w:before="0" w:after="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0"/>
                    <w:jc w:val="left"/>
                    <w:rPr/>
                  </w:pPr>
                  <w:r>
                    <w:rPr/>
                    <w:t>Shanghai Geely Zhaoyuan International Investment Co., Ltd</w:t>
                  </w:r>
                </w:p>
              </w:tc>
            </w:tr>
          </w:tbl>
          <w:p>
            <w:pPr>
              <w:pStyle w:val="TableContents"/>
              <w:bidi w:val="0"/>
              <w:spacing w:before="0" w:after="283"/>
              <w:jc w:val="left"/>
              <w:rPr/>
            </w:pPr>
            <w:r>
              <w:rPr/>
            </w:r>
          </w:p>
        </w:tc>
        <w:tc>
          <w:tcPr>
            <w:tcW w:w="49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Quang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2"/>
        <w:gridCol w:w="5013"/>
      </w:tblGrid>
      <w:tr>
        <w:trPr/>
        <w:tc>
          <w:tcPr>
            <w:tcW w:w="5192" w:type="dxa"/>
            <w:tcBorders/>
            <w:vAlign w:val="center"/>
          </w:tcPr>
          <w:p>
            <w:pPr>
              <w:pStyle w:val="TableContents"/>
              <w:bidi w:val="0"/>
              <w:spacing w:before="0" w:after="0"/>
              <w:jc w:val="left"/>
              <w:rPr/>
            </w:pPr>
            <w:r>
              <w:rPr/>
              <w:t> </w:t>
            </w:r>
          </w:p>
          <w:tbl>
            <w:tblPr>
              <w:tblW w:w="5656" w:type="dxa"/>
              <w:jc w:val="left"/>
              <w:tblInd w:w="0" w:type="dxa"/>
              <w:tblLayout w:type="fixed"/>
              <w:tblCellMar>
                <w:top w:w="28" w:type="dxa"/>
                <w:left w:w="28" w:type="dxa"/>
                <w:bottom w:w="28" w:type="dxa"/>
                <w:right w:w="28" w:type="dxa"/>
              </w:tblCellMar>
            </w:tblPr>
            <w:tblGrid>
              <w:gridCol w:w="5656"/>
            </w:tblGrid>
            <w:tr>
              <w:trPr/>
              <w:tc>
                <w:tcPr>
                  <w:tcW w:w="5656" w:type="dxa"/>
                  <w:tcBorders/>
                  <w:vAlign w:val="center"/>
                </w:tcPr>
                <w:p>
                  <w:pPr>
                    <w:pStyle w:val="TableContents"/>
                    <w:bidi w:val="0"/>
                    <w:spacing w:before="0" w:after="0"/>
                    <w:jc w:val="left"/>
                    <w:rPr/>
                  </w:pPr>
                  <w:r>
                    <w:rPr/>
                    <w:t>Beijing Geely Wanyuan International Investment Co., Ltd</w:t>
                  </w:r>
                </w:p>
              </w:tc>
            </w:tr>
          </w:tbl>
          <w:p>
            <w:pPr>
              <w:pStyle w:val="TableContents"/>
              <w:bidi w:val="0"/>
              <w:spacing w:before="0" w:after="283"/>
              <w:jc w:val="left"/>
              <w:rPr/>
            </w:pPr>
            <w:r>
              <w:rPr/>
            </w:r>
          </w:p>
        </w:tc>
        <w:tc>
          <w:tcPr>
            <w:tcW w:w="50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0"/>
        <w:gridCol w:w="5015"/>
      </w:tblGrid>
      <w:tr>
        <w:trPr/>
        <w:tc>
          <w:tcPr>
            <w:tcW w:w="5190" w:type="dxa"/>
            <w:tcBorders/>
            <w:vAlign w:val="center"/>
          </w:tcPr>
          <w:p>
            <w:pPr>
              <w:pStyle w:val="TableContents"/>
              <w:bidi w:val="0"/>
              <w:spacing w:before="0" w:after="0"/>
              <w:jc w:val="left"/>
              <w:rPr/>
            </w:pPr>
            <w:r>
              <w:rPr/>
              <w:t> </w:t>
            </w:r>
          </w:p>
          <w:tbl>
            <w:tblPr>
              <w:tblW w:w="5641" w:type="dxa"/>
              <w:jc w:val="left"/>
              <w:tblInd w:w="0" w:type="dxa"/>
              <w:tblLayout w:type="fixed"/>
              <w:tblCellMar>
                <w:top w:w="28" w:type="dxa"/>
                <w:left w:w="28" w:type="dxa"/>
                <w:bottom w:w="28" w:type="dxa"/>
                <w:right w:w="28" w:type="dxa"/>
              </w:tblCellMar>
            </w:tblPr>
            <w:tblGrid>
              <w:gridCol w:w="5641"/>
            </w:tblGrid>
            <w:tr>
              <w:trPr/>
              <w:tc>
                <w:tcPr>
                  <w:tcW w:w="5641" w:type="dxa"/>
                  <w:tcBorders/>
                  <w:vAlign w:val="center"/>
                </w:tcPr>
                <w:p>
                  <w:pPr>
                    <w:pStyle w:val="TableContents"/>
                    <w:bidi w:val="0"/>
                    <w:spacing w:before="0" w:after="0"/>
                    <w:jc w:val="left"/>
                    <w:rPr/>
                  </w:pPr>
                  <w:r>
                    <w:rPr/>
                    <w:t>Beijing Geely Kaisheng International Investment Co., Ltd</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Zhejiang Geely Holding Group Company Limited</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8"/>
        <w:gridCol w:w="4167"/>
      </w:tblGrid>
      <w:tr>
        <w:trPr/>
        <w:tc>
          <w:tcPr>
            <w:tcW w:w="60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Conghui An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Conghui An, Legal Representative &amp; Director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67"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Geely Sweden Automotive Investment B.V.</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Per Ansgar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Per Ansgar,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Quan Zhang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Quan Zhang,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3177</Words>
  <Characters>16727</Characters>
  <CharactersWithSpaces>19597</CharactersWithSpaces>
  <Paragraphs>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