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by Polestar Automotive Holding UK PLC</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and deemed filed pursuant to 14a-12 under the</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Companies:</w:t>
      </w:r>
    </w:p>
    <w:p>
      <w:pPr>
        <w:spacing w:after="0" w:line="9" w:lineRule="exact"/>
        <w:rPr>
          <w:sz w:val="24"/>
          <w:szCs w:val="24"/>
          <w:color w:val="auto"/>
        </w:rPr>
      </w:pPr>
    </w:p>
    <w:p>
      <w:pPr>
        <w:ind w:left="8060"/>
        <w:spacing w:after="0"/>
        <w:rPr>
          <w:sz w:val="20"/>
          <w:szCs w:val="20"/>
          <w:color w:val="auto"/>
        </w:rPr>
      </w:pPr>
      <w:r>
        <w:rPr>
          <w:rFonts w:ascii="Times New Roman" w:cs="Times New Roman" w:eastAsia="Times New Roman" w:hAnsi="Times New Roman"/>
          <w:sz w:val="17"/>
          <w:szCs w:val="17"/>
          <w:b w:val="1"/>
          <w:bCs w:val="1"/>
          <w:color w:val="auto"/>
        </w:rPr>
        <w:t>Polestar Automotive Holding UK PLC</w:t>
      </w:r>
    </w:p>
    <w:p>
      <w:pPr>
        <w:spacing w:after="0" w:line="21" w:lineRule="exact"/>
        <w:rPr>
          <w:sz w:val="24"/>
          <w:szCs w:val="24"/>
          <w:color w:val="auto"/>
        </w:rPr>
      </w:pPr>
    </w:p>
    <w:p>
      <w:pPr>
        <w:ind w:left="9140"/>
        <w:spacing w:after="0"/>
        <w:rPr>
          <w:sz w:val="20"/>
          <w:szCs w:val="20"/>
          <w:color w:val="auto"/>
        </w:rPr>
      </w:pPr>
      <w:r>
        <w:rPr>
          <w:rFonts w:ascii="Times New Roman" w:cs="Times New Roman" w:eastAsia="Times New Roman" w:hAnsi="Times New Roman"/>
          <w:sz w:val="18"/>
          <w:szCs w:val="18"/>
          <w:b w:val="1"/>
          <w:bCs w:val="1"/>
          <w:color w:val="auto"/>
        </w:rPr>
        <w:t>Gores Guggenheim, Inc.</w:t>
      </w:r>
    </w:p>
    <w:p>
      <w:pPr>
        <w:spacing w:after="0" w:line="9" w:lineRule="exact"/>
        <w:rPr>
          <w:sz w:val="24"/>
          <w:szCs w:val="24"/>
          <w:color w:val="auto"/>
        </w:rPr>
      </w:pPr>
    </w:p>
    <w:p>
      <w:pPr>
        <w:ind w:left="8480"/>
        <w:spacing w:after="0"/>
        <w:rPr>
          <w:sz w:val="20"/>
          <w:szCs w:val="20"/>
          <w:color w:val="auto"/>
        </w:rPr>
      </w:pPr>
      <w:r>
        <w:rPr>
          <w:rFonts w:ascii="Times New Roman" w:cs="Times New Roman" w:eastAsia="Times New Roman" w:hAnsi="Times New Roman"/>
          <w:sz w:val="17"/>
          <w:szCs w:val="17"/>
          <w:b w:val="1"/>
          <w:bCs w:val="1"/>
          <w:color w:val="auto"/>
        </w:rPr>
        <w:t>(Commission File No. 001-40265)</w:t>
      </w: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June 15, 2022, the following communication was made available by Polestar on Facebook: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2417445" cy="41230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17445" cy="41230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4"/>
          <w:szCs w:val="24"/>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Certain statements in this communication (“Communication”) may be considered “forward-looking statements” as defined in the Private Securities Litigation Reform Act of 1995. Forward-looking statements generally relate to future events or the future financial or operating performance of Gores Guggenheim, Inc. (“Gores Guggenheim”), Polestar Performance AB and/or its affiliates (the “Company”) and Polestar Automotive Holding UK PLC (“ListCo”). For example, projections of future Adjusted EBITDA or revenue and other 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ectPr>
          <w:pgSz w:w="11900" w:h="16838" w:orient="portrait"/>
          <w:cols w:equalWidth="0" w:num="1">
            <w:col w:w="11020"/>
          </w:cols>
          <w:pgMar w:left="440" w:top="225" w:right="439" w:bottom="1440" w:gutter="0" w:footer="0" w:header="0"/>
        </w:sectPr>
      </w:pPr>
    </w:p>
    <w:bookmarkStart w:id="1" w:name="page2"/>
    <w:bookmarkEnd w:id="1"/>
    <w:p>
      <w:pPr>
        <w:ind w:left="4"/>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These forward-looking statements are based upon estimates and assumptions that, while considered reasonable by Gores Guggenheim and its management, and the Company and its management, as the case may be, are inherently uncertain. Factors that may cause actual results to differ materially from current expectations include, but are not limited to: (1) the occurrence of any event, change or other circumstances that could give rise to the termination of definitive agreements with respect to the proposed business combination between the Company and Gores Guggenheim (the “Business Combination”); (2) the outcome of any legal proceedings that may be instituted against Gores Guggenheim, the combined company or others following the announcement of the Business Combination and any definitive agreements with respect thereto; (3) the inability to complete the Business Combination due to the failure to obtain approval of the stockholders of Gores Guggenheim, to obtain financing to complete the Business Combination or to satisfy other conditions to closing; (4) changes to the proposed structure of the Business Combination that may be required or appropriate as a result of applicable laws or regulations or as a condition to obtaining regulatory approval of the Business Combination; (5) the ability to meet stock exchange listing standards following the consummation of the Business Combination; (6) the risk that the Business Combination disrupts current plans and operations of the Company as a result of the announcement and consummation of the Business Combination; (7) the ability to recognize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(8) costs related to the Business Combination; (9) risks associated with changes in applicable laws or regulations and the Company’s international operations; (10) the possibility that the Company or the combined company may be adversely affected by other economic, business, and/or competitive factors; (11) the Company’s estimates of expenses and profitability; (12) the Company’s ability to maintain agreements or partnerships with its strategic partners Volvo Cars and Geely and to develop new agreements or partnerships; (13) the Company’s ability to maintain relationships with its existing suppliers and strategic partners, and source new suppliers for its critical components, and to complete building out its supply chain, while effectively managing the risks due to such relationships; (14) the Company’s reliance on its partnerships with vehicle charging networks to provide charging solutions for its vehicles and its strategic partners for servicing its vehicles and their integrated software; (15) the Company’s ability to establish its brand and capture additional market share, and the risks associated with negative press or reputational harm, including from lithium-ion battery cells catching fire or venting smoke; (16) delays in the design, manufacture, launch and financing of the Company’s vehicles and the Company’s reliance on a limited number of vehicle models to generate revenues; (17) the Company’s ability to continuously and rapidly innovate, develop and market new products; (18) risks related to future market adoption of the Company’s offerings; (19) increases in costs, disruption of supply or shortage of materials, in particular</w:t>
      </w:r>
    </w:p>
    <w:p>
      <w:pPr>
        <w:spacing w:after="0" w:line="200" w:lineRule="exact"/>
        <w:rPr>
          <w:sz w:val="20"/>
          <w:szCs w:val="20"/>
          <w:color w:val="auto"/>
        </w:rPr>
      </w:pPr>
    </w:p>
    <w:p>
      <w:pPr>
        <w:ind w:left="4"/>
        <w:spacing w:after="0" w:line="265" w:lineRule="auto"/>
        <w:rPr>
          <w:sz w:val="20"/>
          <w:szCs w:val="20"/>
          <w:color w:val="auto"/>
        </w:rPr>
      </w:pPr>
      <w:r>
        <w:rPr>
          <w:rFonts w:ascii="Times New Roman" w:cs="Times New Roman" w:eastAsia="Times New Roman" w:hAnsi="Times New Roman"/>
          <w:sz w:val="17"/>
          <w:szCs w:val="17"/>
          <w:color w:val="auto"/>
        </w:rPr>
        <w:t>for lithium-ion cells or semiconductors; (20) the Company’s reliance on its partners to manufacture vehicles at a high volume, some of which have limited experience in producing electric vehicles, and on the allocation of sufficient production capacity to the Company by its partners in order for the Company to be able to increase its vehicle production capacities; (21) risks related to the Company’s distribution model; (22) the effects of competition and the high barriers to entry in the automotive industry, and the pace and depth of electric vehicle adoption generally on the Company’s future business;</w:t>
      </w:r>
    </w:p>
    <w:p>
      <w:pPr>
        <w:spacing w:after="0" w:line="1" w:lineRule="exact"/>
        <w:rPr>
          <w:sz w:val="20"/>
          <w:szCs w:val="20"/>
          <w:color w:val="auto"/>
        </w:rPr>
      </w:pPr>
    </w:p>
    <w:p>
      <w:pPr>
        <w:ind w:left="4" w:hanging="4"/>
        <w:spacing w:after="0" w:line="251" w:lineRule="auto"/>
        <w:tabs>
          <w:tab w:leader="none" w:pos="34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governmental incentives and fuel and energy prices; (24) the impact of the global COVID-19 pandemic, inflation, interest rate changes, the ongoing conflict between Ukraine and Russia, supply chain disruptions and logistical constraints on Gores Guggenheim, the Company, the Company’s post business combination’s projected results of operations, financial performance or other financial metrics, or on any of the foregoing risks; and (25) other risks and uncertainties set forth in the section entitled “Risk Factors” and “Cautionary Note Regarding Forward-Looking Statements” in Gores Guggenheim’s final prospectus relating to its initial public offering (File No. 333-253338) declared effective by the SEC on March 22, 2021, and other documents filed, or to be filed, with the SEC by Gores Guggenheim or ListCo, including the Definitive Proxy Statement. There may be additional risks that neither Gores Guggenheim, the Company nor ListCo presently know or that Gores Guggenheim, the Company or ListCo currently believe are immaterial that could also cause actual results to differ from those contained in the forward-looking statements.</w:t>
      </w:r>
    </w:p>
    <w:p>
      <w:pPr>
        <w:spacing w:after="0" w:line="193" w:lineRule="exact"/>
        <w:rPr>
          <w:sz w:val="20"/>
          <w:szCs w:val="20"/>
          <w:color w:val="auto"/>
        </w:rPr>
      </w:pPr>
    </w:p>
    <w:p>
      <w:pPr>
        <w:ind w:left="4" w:right="100"/>
        <w:spacing w:after="0" w:line="261" w:lineRule="auto"/>
        <w:rPr>
          <w:sz w:val="20"/>
          <w:szCs w:val="20"/>
          <w:color w:val="auto"/>
        </w:rPr>
      </w:pPr>
      <w:r>
        <w:rPr>
          <w:rFonts w:ascii="Times New Roman" w:cs="Times New Roman" w:eastAsia="Times New Roman" w:hAnsi="Times New Roman"/>
          <w:sz w:val="18"/>
          <w:szCs w:val="18"/>
          <w:color w:val="auto"/>
        </w:rPr>
        <w:t>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Neither Gores Guggenheim, the Company nor ListCo undertakes any duty to update these forward-looking statements.</w:t>
      </w:r>
    </w:p>
    <w:p>
      <w:pPr>
        <w:sectPr>
          <w:pgSz w:w="11900" w:h="16838" w:orient="portrait"/>
          <w:cols w:equalWidth="0" w:num="1">
            <w:col w:w="11004"/>
          </w:cols>
          <w:pgMar w:left="436" w:top="270"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Information</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(a) ListCo has filed with the SEC a registration statement on Form F-4 containing a proxy statement of the Gores Guggenheim and a prospectus, which the SEC declared effective on May 25, 2022 and (b) Gores Guggenheim has filed a definitive proxy statement relating to the Business Combination (the “Definitive Proxy Statement”) and has mailed the Definitive Proxy Statement and other relevant materials to its stockholders and warrant holders, each as of May 18, 2022, the record date established for voting on the Business Combination and the other matters to be voted upon at the Special Meeting and Warrant Holder Meeting. The Definitive Proxy Statement contains important information about the Business Combination and the other matters to be voted upon at the meetings of Gores Guggenheim’s stockholders and warrant holders. This communication does not contain all the information that should be considered concerning the Business Combination and is not intended to form the basis of any investment decision or any other decision in respect of the Business Combination. Before making any voting or other investment decisions, securityholders of Gores Guggenheim and other interested persons are advised to read the Definitive Proxy Statement and other documents filed or to be filed in connection with the Business Combination, as these materials will contain important information about Gores Guggenheim, Polestar, ListCo and the Business Combination. Stockholders will also be able to obtain copies of the Definitive Proxy Statement and other documents filed with the SEC, without charge, once available, at the SEC’s website at www.sec.gov, or by directing a request to: Gores Guggenheim, Inc., 6260 Lookout Rd., Boulder, CO 80301, attention: Jennifer Kwon Chou.</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Gores Guggenheim and certain of its directors and executive officers may be deemed participants in the solicitation of proxies from Gores Guggenheim’s stockholders with respect to the Business Combination. A list of the names of those directors and executive officers and a description of their interests in Gores Guggenheim is set forth in Gores Guggenheim’s filings with the SEC (including Gores Guggenheim’s final prospectus related to its initial public offering (File No. 333-253338) declared effective by the SEC on March 22, 2021), and are available free of charge at the SEC’s website at www.sec.gov, or by directing a request to Gores Guggenheim, Inc., 6260 Lookout Rd., Boulder, CO 80301, attention: Jennifer Kwon Chou. Additional information regarding the interests of such participants is contained in the Definitive Proxy Statement.</w:t>
      </w:r>
    </w:p>
    <w:p>
      <w:pPr>
        <w:spacing w:after="0" w:line="18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and ListCo, and certain of their directors and executive officers may also be deemed to be participants in the solicitation of proxies from the stockholders of Gores Guggenheim in connection with the Business Combination. A list of the names of such directors and executive officers and information regarding their interests in the Business Combination is included in the Definitive Proxy Statement.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and Non-Solicitation</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This Communication is not a proxy statement or solicitation of a proxy, consent or authorization with respect to any securities or in respect of the potential transaction and shall not constitute an offer to sell or a solicitation of an offer to buy the securities of Gores Guggenheim, the Company or ListCo,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of 1933, as amended.</w:t>
      </w:r>
    </w:p>
    <w:sectPr>
      <w:pgSz w:w="11900" w:h="16838" w:orient="portrait"/>
      <w:cols w:equalWidth="0" w:num="1">
        <w:col w:w="10980"/>
      </w:cols>
      <w:pgMar w:left="440"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2022-06-16T15:35:30Z</dcterms:created>
  <dcterms:modified xsi:type="dcterms:W3CDTF">2022-06-16T15:35:30Z</dcterms:modified>
</cp:coreProperties>
</file>