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American Depositary Shares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731105201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Zhejiang Geely Holding Group Company Limited</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 1760 Jiangling Road, Binjiang District, Hangzhou, Zhejiang, China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 (571) 2809 8282</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Rosmarie Söderbom</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Volvo Car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Avd 50090, HB3S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405 31 Göteborg, Sweden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 (0)766 210020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 copies to,</w:t>
      </w:r>
    </w:p>
    <w:p>
      <w:pPr>
        <w:spacing w:after="0" w:line="2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King &amp; Wood Mallesons LLP</w:t>
      </w:r>
    </w:p>
    <w:p>
      <w:pPr>
        <w:spacing w:after="0" w:line="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Laura Hua Luo Hemmann, Esq</w:t>
      </w:r>
    </w:p>
    <w:p>
      <w:pPr>
        <w:jc w:val="center"/>
        <w:ind w:right="-19"/>
        <w:spacing w:after="0" w:line="192" w:lineRule="auto"/>
        <w:rPr>
          <w:sz w:val="20"/>
          <w:szCs w:val="20"/>
          <w:color w:val="auto"/>
        </w:rPr>
      </w:pPr>
      <w:r>
        <w:rPr>
          <w:rFonts w:ascii="Times New Roman" w:cs="Times New Roman" w:eastAsia="Times New Roman" w:hAnsi="Times New Roman"/>
          <w:sz w:val="18"/>
          <w:szCs w:val="18"/>
          <w:color w:val="auto"/>
        </w:rPr>
        <w:t>500 5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10110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+1 212 319 4755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17145</wp:posOffset>
            </wp:positionV>
            <wp:extent cx="53492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Polestar Automotive Holding Limited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Hong Kong</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74"/>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right="6640" w:hanging="656"/>
        <w:spacing w:after="0" w:line="469" w:lineRule="auto"/>
        <w:tabs>
          <w:tab w:leader="none" w:pos="26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(1)</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On December 9, 2022, Polestar Automotive Holding Limited made a non-cash distribution (the “</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of all of the shares of the Issuer it directly held, consisting of (i) 294,877,349 Class A American Depository Shares (“</w:t>
      </w:r>
      <w:r>
        <w:rPr>
          <w:rFonts w:ascii="Times New Roman" w:cs="Times New Roman" w:eastAsia="Times New Roman" w:hAnsi="Times New Roman"/>
          <w:sz w:val="18"/>
          <w:szCs w:val="18"/>
          <w:b w:val="1"/>
          <w:bCs w:val="1"/>
          <w:color w:val="auto"/>
        </w:rPr>
        <w:t>Class A ADS</w:t>
      </w:r>
      <w:r>
        <w:rPr>
          <w:rFonts w:ascii="Times New Roman" w:cs="Times New Roman" w:eastAsia="Times New Roman" w:hAnsi="Times New Roman"/>
          <w:sz w:val="18"/>
          <w:szCs w:val="18"/>
          <w:color w:val="auto"/>
        </w:rPr>
        <w:t>”), and (ii) 1,642,233,575 Class B American Depositary Shares (“</w:t>
      </w:r>
      <w:r>
        <w:rPr>
          <w:rFonts w:ascii="Times New Roman" w:cs="Times New Roman" w:eastAsia="Times New Roman" w:hAnsi="Times New Roman"/>
          <w:sz w:val="18"/>
          <w:szCs w:val="18"/>
          <w:b w:val="1"/>
          <w:bCs w:val="1"/>
          <w:color w:val="auto"/>
        </w:rPr>
        <w:t>Class B ADS</w:t>
      </w:r>
      <w:r>
        <w:rPr>
          <w:rFonts w:ascii="Times New Roman" w:cs="Times New Roman" w:eastAsia="Times New Roman" w:hAnsi="Times New Roman"/>
          <w:sz w:val="18"/>
          <w:szCs w:val="18"/>
          <w:color w:val="auto"/>
        </w:rPr>
        <w:t>”) to its direct shareholders, including PSD Investment Limited, Snita Holding B.V., and certain other shareholders who are not Reporting Persons of this Schedule 13D. As a result of the Distribution, Polestar Automotive Holding Limited no longer directly or indirectly holds any shares of the Issuer, and the Reporting Persons who were reported to have shared the voting and dispositive power of all the shares of the Issuer held directly by Polestar Automotive Holding Limited no longer share such voting and dispositive power. Instead, such Reporting Persons will have sole voting and dispositive power with respect to the shares of the Issuer they directly hold respectively.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PSD Investment Limited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8,280,137,370 (1)</w:t>
            </w:r>
          </w:p>
        </w:tc>
        <w:tc>
          <w:tcPr>
            <w:tcW w:w="0" w:type="dxa"/>
            <w:vAlign w:val="bottom"/>
          </w:tcPr>
          <w:p>
            <w:pPr>
              <w:spacing w:after="0"/>
              <w:rPr>
                <w:sz w:val="1"/>
                <w:szCs w:val="1"/>
                <w:color w:val="auto"/>
              </w:rPr>
            </w:pPr>
          </w:p>
        </w:tc>
      </w:tr>
      <w:tr>
        <w:trPr>
          <w:trHeight w:val="74"/>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828,013,737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right="6640" w:hanging="656"/>
        <w:spacing w:after="0" w:line="469" w:lineRule="auto"/>
        <w:tabs>
          <w:tab w:leader="none" w:pos="26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828,013,737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39.3%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828,013,737 Class B ADSs transferred by Polestar Automotive Holding Limited to PSD Investment Limited in connection with the Distribution. Each Class A ADS represents one Class A Ordinary Share, par value $0.01 each (“</w:t>
      </w:r>
      <w:r>
        <w:rPr>
          <w:rFonts w:ascii="Times New Roman" w:cs="Times New Roman" w:eastAsia="Times New Roman" w:hAnsi="Times New Roman"/>
          <w:sz w:val="18"/>
          <w:szCs w:val="18"/>
          <w:b w:val="1"/>
          <w:bCs w:val="1"/>
          <w:color w:val="auto"/>
        </w:rPr>
        <w:t>Class A Share</w:t>
      </w:r>
      <w:r>
        <w:rPr>
          <w:rFonts w:ascii="Times New Roman" w:cs="Times New Roman" w:eastAsia="Times New Roman" w:hAnsi="Times New Roman"/>
          <w:sz w:val="18"/>
          <w:szCs w:val="18"/>
          <w:color w:val="auto"/>
        </w:rPr>
        <w:t>”). Each Class B ADS represents one Class B Ordinary Share (“</w:t>
      </w:r>
      <w:r>
        <w:rPr>
          <w:rFonts w:ascii="Times New Roman" w:cs="Times New Roman" w:eastAsia="Times New Roman" w:hAnsi="Times New Roman"/>
          <w:sz w:val="18"/>
          <w:szCs w:val="18"/>
          <w:b w:val="1"/>
          <w:bCs w:val="1"/>
          <w:color w:val="auto"/>
        </w:rPr>
        <w:t>Class B Share</w:t>
      </w:r>
      <w:r>
        <w:rPr>
          <w:rFonts w:ascii="Times New Roman" w:cs="Times New Roman" w:eastAsia="Times New Roman" w:hAnsi="Times New Roman"/>
          <w:sz w:val="18"/>
          <w:szCs w:val="18"/>
          <w:color w:val="auto"/>
        </w:rPr>
        <w:t>”).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852"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PSD Capital Limited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British Virgin Islands</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8,280,137,370 (1)</w:t>
            </w:r>
          </w:p>
        </w:tc>
        <w:tc>
          <w:tcPr>
            <w:tcW w:w="0" w:type="dxa"/>
            <w:vAlign w:val="bottom"/>
          </w:tcPr>
          <w:p>
            <w:pPr>
              <w:spacing w:after="0"/>
              <w:rPr>
                <w:sz w:val="1"/>
                <w:szCs w:val="1"/>
                <w:color w:val="auto"/>
              </w:rPr>
            </w:pPr>
          </w:p>
        </w:tc>
      </w:tr>
      <w:tr>
        <w:trPr>
          <w:trHeight w:val="74"/>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828,013,737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right="6640" w:hanging="656"/>
        <w:spacing w:after="0" w:line="469" w:lineRule="auto"/>
        <w:tabs>
          <w:tab w:leader="none" w:pos="2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828,013,737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39.3%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828,013,737 Class B ADSs transferred by Polestar Automotive Holding Limited to PSD Investment Limited in connection with the Distribution.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82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9"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PSINV AB</w:t>
      </w:r>
    </w:p>
    <w:p>
      <w:pPr>
        <w:spacing w:after="0" w:line="150"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4"/>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 (1)</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hanging="656"/>
        <w:spacing w:after="0"/>
        <w:tabs>
          <w:tab w:leader="none" w:pos="2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25" w:lineRule="exact"/>
        <w:rPr>
          <w:rFonts w:ascii="Times New Roman" w:cs="Times New Roman" w:eastAsia="Times New Roman" w:hAnsi="Times New Roman"/>
          <w:sz w:val="18"/>
          <w:szCs w:val="18"/>
          <w:color w:val="auto"/>
        </w:rPr>
      </w:pPr>
    </w:p>
    <w:p>
      <w:pPr>
        <w:ind w:left="2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(1)</w:t>
      </w:r>
    </w:p>
    <w:p>
      <w:pPr>
        <w:spacing w:after="0" w:line="17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0</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(1)</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On November 22, 2022, PSINV AB transferred all of its equity interests in Polestar Automotive Holding Limited to Snita Holding B.V. and ceased to directly or indirectly hold any shares of the Issuer.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Snita Holding B.V.</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AF</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Netherlands</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8,346,771,004 (1)</w:t>
            </w:r>
          </w:p>
        </w:tc>
        <w:tc>
          <w:tcPr>
            <w:tcW w:w="0" w:type="dxa"/>
            <w:vAlign w:val="bottom"/>
          </w:tcPr>
          <w:p>
            <w:pPr>
              <w:spacing w:after="0"/>
              <w:rPr>
                <w:sz w:val="1"/>
                <w:szCs w:val="1"/>
                <w:color w:val="auto"/>
              </w:rPr>
            </w:pPr>
          </w:p>
        </w:tc>
      </w:tr>
      <w:tr>
        <w:trPr>
          <w:trHeight w:val="75"/>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1,018,792,462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right="6640" w:hanging="656"/>
        <w:spacing w:after="0" w:line="469" w:lineRule="auto"/>
        <w:tabs>
          <w:tab w:leader="none" w:pos="2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1,018,792,462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48.3%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and (ii) 144,572,624 Class A ADSs and 814,219,838 Class B ADSs transferred by Polestar Automotive Holding Limited to Snita Holding B.V. in connection with the Distribution.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609"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5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98-0626415 Volvo Car Corporation</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8,346,771,004 (1)</w:t>
            </w:r>
          </w:p>
        </w:tc>
        <w:tc>
          <w:tcPr>
            <w:tcW w:w="0" w:type="dxa"/>
            <w:vAlign w:val="bottom"/>
          </w:tcPr>
          <w:p>
            <w:pPr>
              <w:spacing w:after="0"/>
              <w:rPr>
                <w:sz w:val="1"/>
                <w:szCs w:val="1"/>
                <w:color w:val="auto"/>
              </w:rPr>
            </w:pPr>
          </w:p>
        </w:tc>
      </w:tr>
      <w:tr>
        <w:trPr>
          <w:trHeight w:val="75"/>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1,018,792,462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right="6640" w:hanging="656"/>
        <w:spacing w:after="0" w:line="469" w:lineRule="auto"/>
        <w:tabs>
          <w:tab w:leader="none" w:pos="26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1,018,792,462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48.3% (1)(2)</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and (ii) 144,572,624 Class A ADSs and 814,219,838 Class B ADSs transferred by Polestar Automotive Holding Limited to Snita Holding B.V. in connection with the Distribution.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609"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94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6694805"/>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Volvo Car AB</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8,346,771,004 (1)</w:t>
            </w:r>
          </w:p>
        </w:tc>
        <w:tc>
          <w:tcPr>
            <w:tcW w:w="0" w:type="dxa"/>
            <w:vAlign w:val="bottom"/>
          </w:tcPr>
          <w:p>
            <w:pPr>
              <w:spacing w:after="0"/>
              <w:rPr>
                <w:sz w:val="1"/>
                <w:szCs w:val="1"/>
                <w:color w:val="auto"/>
              </w:rPr>
            </w:pPr>
          </w:p>
        </w:tc>
      </w:tr>
      <w:tr>
        <w:trPr>
          <w:trHeight w:val="75"/>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400" w:type="dxa"/>
            <w:vAlign w:val="bottom"/>
            <w:vMerge w:val="continue"/>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Beneficially</w:t>
            </w:r>
          </w:p>
        </w:tc>
        <w:tc>
          <w:tcPr>
            <w:tcW w:w="500" w:type="dxa"/>
            <w:vAlign w:val="bottom"/>
          </w:tcPr>
          <w:p>
            <w:pPr>
              <w:spacing w:after="0"/>
              <w:rPr>
                <w:sz w:val="18"/>
                <w:szCs w:val="18"/>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1400" w:type="dxa"/>
            <w:vAlign w:val="bottom"/>
            <w:vMerge w:val="restart"/>
          </w:tcPr>
          <w:p>
            <w:pPr>
              <w:jc w:val="center"/>
              <w:ind w:right="450"/>
              <w:spacing w:after="0"/>
              <w:rPr>
                <w:sz w:val="20"/>
                <w:szCs w:val="20"/>
                <w:color w:val="auto"/>
              </w:rPr>
            </w:pPr>
            <w:r>
              <w:rPr>
                <w:rFonts w:ascii="Times New Roman" w:cs="Times New Roman" w:eastAsia="Times New Roman" w:hAnsi="Times New Roman"/>
                <w:sz w:val="18"/>
                <w:szCs w:val="18"/>
                <w:color w:val="auto"/>
                <w:w w:val="99"/>
              </w:rPr>
              <w:t>by Owned</w:t>
            </w:r>
          </w:p>
        </w:tc>
        <w:tc>
          <w:tcPr>
            <w:tcW w:w="50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400" w:type="dxa"/>
            <w:vAlign w:val="bottom"/>
            <w:vMerge w:val="continue"/>
          </w:tcPr>
          <w:p>
            <w:pPr>
              <w:spacing w:after="0"/>
              <w:rPr>
                <w:sz w:val="6"/>
                <w:szCs w:val="6"/>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continue"/>
          </w:tcPr>
          <w:p>
            <w:pPr>
              <w:spacing w:after="0"/>
              <w:rPr>
                <w:sz w:val="18"/>
                <w:szCs w:val="18"/>
                <w:color w:val="auto"/>
              </w:rPr>
            </w:pPr>
          </w:p>
        </w:tc>
        <w:tc>
          <w:tcPr>
            <w:tcW w:w="8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Reporting</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1,018,792,462 (1)</w:t>
            </w: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500" w:type="dxa"/>
            <w:vAlign w:val="bottom"/>
          </w:tcPr>
          <w:p>
            <w:pPr>
              <w:spacing w:after="0"/>
              <w:rPr>
                <w:sz w:val="20"/>
                <w:szCs w:val="20"/>
                <w:color w:val="auto"/>
              </w:rPr>
            </w:pPr>
          </w:p>
        </w:tc>
        <w:tc>
          <w:tcPr>
            <w:tcW w:w="8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2680" w:right="6640" w:hanging="656"/>
        <w:spacing w:after="0" w:line="469" w:lineRule="auto"/>
        <w:tabs>
          <w:tab w:leader="none" w:pos="2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1,018,792,462 (1)</w:t>
      </w:r>
    </w:p>
    <w:p>
      <w:pPr>
        <w:spacing w:after="0" w:line="1" w:lineRule="exact"/>
        <w:rPr>
          <w:rFonts w:ascii="Times New Roman" w:cs="Times New Roman" w:eastAsia="Times New Roman" w:hAnsi="Times New Roman"/>
          <w:sz w:val="18"/>
          <w:szCs w:val="18"/>
          <w:color w:val="auto"/>
        </w:rPr>
      </w:pPr>
    </w:p>
    <w:p>
      <w:pPr>
        <w:ind w:left="780" w:right="5600" w:hanging="673"/>
        <w:spacing w:after="0" w:line="452"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1,018,792,462 (1)</w:t>
      </w:r>
    </w:p>
    <w:p>
      <w:pPr>
        <w:spacing w:after="0" w:line="2"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7"/>
              </w:rPr>
              <w:t>12.</w:t>
            </w:r>
          </w:p>
        </w:tc>
        <w:tc>
          <w:tcPr>
            <w:tcW w:w="70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r>
    </w:tbl>
    <w:p>
      <w:pPr>
        <w:spacing w:after="0" w:line="340" w:lineRule="exact"/>
        <w:rPr>
          <w:sz w:val="20"/>
          <w:szCs w:val="20"/>
          <w:color w:val="auto"/>
        </w:rPr>
      </w:pPr>
    </w:p>
    <w:p>
      <w:pPr>
        <w:ind w:left="780" w:hanging="673"/>
        <w:spacing w:after="0"/>
        <w:tabs>
          <w:tab w:leader="none" w:pos="7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48.3% (1)(2)</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and (ii) 144,572,624 Class A ADSs and 814,219,838 Class B ADSs transferred by Polestar Automotive Holding Limited to Snita Holding B.V. in connection with the Distribution.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609"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Geely Sweden Holdings AB</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8,383,462,615 (1)</w:t>
            </w:r>
          </w:p>
        </w:tc>
        <w:tc>
          <w:tcPr>
            <w:tcW w:w="0" w:type="dxa"/>
            <w:vAlign w:val="bottom"/>
          </w:tcPr>
          <w:p>
            <w:pPr>
              <w:spacing w:after="0"/>
              <w:rPr>
                <w:sz w:val="1"/>
                <w:szCs w:val="1"/>
                <w:color w:val="auto"/>
              </w:rPr>
            </w:pPr>
          </w:p>
        </w:tc>
      </w:tr>
      <w:tr>
        <w:trPr>
          <w:trHeight w:val="75"/>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1,055,484,073 (1)</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right="6640" w:hanging="656"/>
        <w:spacing w:after="0" w:line="458" w:lineRule="auto"/>
        <w:tabs>
          <w:tab w:leader="none" w:pos="2680"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780" w:hanging="673"/>
        <w:spacing w:after="0"/>
        <w:tabs>
          <w:tab w:leader="none" w:pos="7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1,055,484,073 (1)</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(ii) 144,572,624 Class A ADSs and 814,219,838 Class B ADSs transferred by Polestar Automotive Holding Limited to Snita Holding B.V. in connection with the Distribution; (iii) 13,664,063 Class A ADSs transferred by Polestar Automotive Holding Limited to GLY New Mobility 1. LP in connection with the Distribution; (iv) 21,862,507 Class A ADSs transferred by Polestar Automotive Holding Limited to Northpole GLY 1 LP in connection with the Distribution; and (v) 168,167 Class A ADSs directly held by Northpole GLY 2 LP as of December 19, 2022, which entity has made and will further make distributions in species of the Issuer’s securities to its limited partners from time to time.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190"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w:t>
      </w:r>
    </w:p>
    <w:p>
      <w:pPr>
        <w:spacing w:after="0" w:line="27" w:lineRule="exact"/>
        <w:rPr>
          <w:rFonts w:ascii="Times New Roman" w:cs="Times New Roman" w:eastAsia="Times New Roman" w:hAnsi="Times New Roman"/>
          <w:sz w:val="18"/>
          <w:szCs w:val="18"/>
          <w:color w:val="auto"/>
        </w:rPr>
      </w:pPr>
    </w:p>
    <w:p>
      <w:pPr>
        <w:ind w:left="340" w:hanging="8"/>
        <w:spacing w:after="0" w:line="260" w:lineRule="auto"/>
        <w:tabs>
          <w:tab w:leader="none" w:pos="613"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preferred shares in the form of Class C-2 American Depositary Shares of the Issuer, which shares may not be converted into Class A ADSs within 60 days following the date 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326"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Shanghai Geely Zhaoyuan International Investment Co., Ltd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8,383,462,615 (1)</w:t>
            </w:r>
          </w:p>
        </w:tc>
        <w:tc>
          <w:tcPr>
            <w:tcW w:w="0" w:type="dxa"/>
            <w:vAlign w:val="bottom"/>
          </w:tcPr>
          <w:p>
            <w:pPr>
              <w:spacing w:after="0"/>
              <w:rPr>
                <w:sz w:val="1"/>
                <w:szCs w:val="1"/>
                <w:color w:val="auto"/>
              </w:rPr>
            </w:pPr>
          </w:p>
        </w:tc>
      </w:tr>
      <w:tr>
        <w:trPr>
          <w:trHeight w:val="75"/>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1,055,484,073 (1)</w:t>
            </w:r>
          </w:p>
        </w:tc>
        <w:tc>
          <w:tcPr>
            <w:tcW w:w="0" w:type="dxa"/>
            <w:vAlign w:val="bottom"/>
          </w:tcPr>
          <w:p>
            <w:pPr>
              <w:spacing w:after="0"/>
              <w:rPr>
                <w:sz w:val="1"/>
                <w:szCs w:val="1"/>
                <w:color w:val="auto"/>
              </w:rPr>
            </w:pPr>
          </w:p>
        </w:tc>
      </w:tr>
      <w:tr>
        <w:trPr>
          <w:trHeight w:val="128"/>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right="6640" w:hanging="656"/>
        <w:spacing w:after="0" w:line="458" w:lineRule="auto"/>
        <w:tabs>
          <w:tab w:leader="none" w:pos="2680" w:val="left"/>
        </w:tabs>
        <w:numPr>
          <w:ilvl w:val="3"/>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780" w:hanging="673"/>
        <w:spacing w:after="0"/>
        <w:tabs>
          <w:tab w:leader="none" w:pos="7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1,055,484,073 (1)</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(ii) 144,572,624 Class A ADSs and 814,219,838 Class B ADSs transferred by Polestar Automotive Holding Limited to Snita Holding B.V. in connection with the Distribution; (iii) 13,664,063 Class A ADSs transferred by Polestar Automotive Holding Limited to GLY New Mobility 1. LP in connection with the Distribution; (iv) 21,862,507 Class A ADSs transferred by Polestar Automotive Holding Limited to Northpole GLY 1 LP in connection with the Distribution; and (v) 168,167 Class A ADSs directly held by Northpole GLY 2 LP as of December 19, 2022, which entity has made and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w:t>
      </w:r>
    </w:p>
    <w:p>
      <w:pPr>
        <w:spacing w:after="0" w:line="27" w:lineRule="exact"/>
        <w:rPr>
          <w:rFonts w:ascii="Times New Roman" w:cs="Times New Roman" w:eastAsia="Times New Roman" w:hAnsi="Times New Roman"/>
          <w:sz w:val="18"/>
          <w:szCs w:val="18"/>
          <w:color w:val="auto"/>
        </w:rPr>
      </w:pPr>
    </w:p>
    <w:p>
      <w:pPr>
        <w:ind w:left="340" w:hanging="8"/>
        <w:spacing w:after="0" w:line="260" w:lineRule="auto"/>
        <w:tabs>
          <w:tab w:leader="none" w:pos="613"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preferred shares in the form of Class C-2 American Depositary Shares of the Issuer, which shares may not be converted into Class A ADSs within 60 days following the date 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56"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jc w:val="both"/>
        <w:ind w:left="780" w:right="62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I.R.S. Identification Nos. of above persons (entities only): Beijing Geely Wanyuan International Investment Co., Ltd</w:t>
      </w:r>
    </w:p>
    <w:p>
      <w:pPr>
        <w:spacing w:after="0" w:line="10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4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8,383,462,615 (1)</w:t>
            </w:r>
          </w:p>
        </w:tc>
        <w:tc>
          <w:tcPr>
            <w:tcW w:w="0" w:type="dxa"/>
            <w:vAlign w:val="bottom"/>
          </w:tcPr>
          <w:p>
            <w:pPr>
              <w:spacing w:after="0"/>
              <w:rPr>
                <w:sz w:val="1"/>
                <w:szCs w:val="1"/>
                <w:color w:val="auto"/>
              </w:rPr>
            </w:pPr>
          </w:p>
        </w:tc>
      </w:tr>
      <w:tr>
        <w:trPr>
          <w:trHeight w:val="74"/>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1,055,484,073 (1)</w:t>
            </w:r>
          </w:p>
        </w:tc>
        <w:tc>
          <w:tcPr>
            <w:tcW w:w="0" w:type="dxa"/>
            <w:vAlign w:val="bottom"/>
          </w:tcPr>
          <w:p>
            <w:pPr>
              <w:spacing w:after="0"/>
              <w:rPr>
                <w:sz w:val="1"/>
                <w:szCs w:val="1"/>
                <w:color w:val="auto"/>
              </w:rPr>
            </w:pPr>
          </w:p>
        </w:tc>
      </w:tr>
      <w:tr>
        <w:trPr>
          <w:trHeight w:val="129"/>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right="6640" w:hanging="656"/>
        <w:spacing w:after="0" w:line="458" w:lineRule="auto"/>
        <w:tabs>
          <w:tab w:leader="none" w:pos="2680" w:val="left"/>
        </w:tabs>
        <w:numPr>
          <w:ilvl w:val="3"/>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780" w:hanging="673"/>
        <w:spacing w:after="0"/>
        <w:tabs>
          <w:tab w:leader="none" w:pos="7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1,055,484,073 (1)</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(ii) 144,572,624 Class A ADSs and 814,219,838 Class B ADSs transferred by Polestar Automotive Holding Limited to Snita Holding B.V. in connection with the Distribution; (iii) 13,664,063 Class A ADSs transferred by Polestar Automotive Holding Limited to GLY New Mobility 1. LP in connection with the Distribution; (iv) 21,862,507 Class A ADSs transferred by Polestar Automotive Holding Limited to Northpole GLY 1 LP in connection with the Distribution; and (v) 168,167 Class A ADSs directly held by Northpole GLY 2 LP as of December 19, 2022, which entity has made and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w:t>
      </w:r>
    </w:p>
    <w:p>
      <w:pPr>
        <w:spacing w:after="0" w:line="27" w:lineRule="exact"/>
        <w:rPr>
          <w:rFonts w:ascii="Times New Roman" w:cs="Times New Roman" w:eastAsia="Times New Roman" w:hAnsi="Times New Roman"/>
          <w:sz w:val="18"/>
          <w:szCs w:val="18"/>
          <w:color w:val="auto"/>
        </w:rPr>
      </w:pPr>
    </w:p>
    <w:p>
      <w:pPr>
        <w:ind w:left="340" w:hanging="8"/>
        <w:spacing w:after="0" w:line="260" w:lineRule="auto"/>
        <w:tabs>
          <w:tab w:leader="none" w:pos="613"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preferred shares in the form of Class C-2 American Depositary Shares of the Issuer, which shares may not be converted into Class A ADSs within 60 days following the date 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56"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jc w:val="both"/>
        <w:ind w:left="780" w:right="62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I.R.S. Identification Nos. of above persons (entities only): Beijing Geely Kaisheng International Investment Co., Ltd</w:t>
      </w:r>
    </w:p>
    <w:p>
      <w:pPr>
        <w:spacing w:after="0" w:line="10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4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4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8,383,462,615 (1)</w:t>
            </w:r>
          </w:p>
        </w:tc>
        <w:tc>
          <w:tcPr>
            <w:tcW w:w="0" w:type="dxa"/>
            <w:vAlign w:val="bottom"/>
          </w:tcPr>
          <w:p>
            <w:pPr>
              <w:spacing w:after="0"/>
              <w:rPr>
                <w:sz w:val="1"/>
                <w:szCs w:val="1"/>
                <w:color w:val="auto"/>
              </w:rPr>
            </w:pPr>
          </w:p>
        </w:tc>
      </w:tr>
      <w:tr>
        <w:trPr>
          <w:trHeight w:val="74"/>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1,055,484,073 (1)</w:t>
            </w:r>
          </w:p>
        </w:tc>
        <w:tc>
          <w:tcPr>
            <w:tcW w:w="0" w:type="dxa"/>
            <w:vAlign w:val="bottom"/>
          </w:tcPr>
          <w:p>
            <w:pPr>
              <w:spacing w:after="0"/>
              <w:rPr>
                <w:sz w:val="1"/>
                <w:szCs w:val="1"/>
                <w:color w:val="auto"/>
              </w:rPr>
            </w:pPr>
          </w:p>
        </w:tc>
      </w:tr>
      <w:tr>
        <w:trPr>
          <w:trHeight w:val="129"/>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right="6640" w:hanging="656"/>
        <w:spacing w:after="0" w:line="458" w:lineRule="auto"/>
        <w:tabs>
          <w:tab w:leader="none" w:pos="2680" w:val="left"/>
        </w:tabs>
        <w:numPr>
          <w:ilvl w:val="3"/>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780" w:hanging="673"/>
        <w:spacing w:after="0"/>
        <w:tabs>
          <w:tab w:leader="none" w:pos="7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1,055,484,073 (1)</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(ii) 144,572,624 Class A ADSs and 814,219,838 Class B ADSs transferred by Polestar Automotive Holding Limited to Snita Holding B.V. in connection with the Distribution; (iii) 13,664,063 Class A ADSs transferred by Polestar Automotive Holding Limited to GLY New Mobility 1. LP in connection with the Distribution; (iv) 21,862,507 Class A ADSs transferred by Polestar Automotive Holding Limited to Northpole GLY 1 LP in connection with the Distribution; and (v) 168,167 Class A ADSs directly held by Northpole GLY 2 LP as of December 19, 2022, which entity has made and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w:t>
      </w:r>
    </w:p>
    <w:p>
      <w:pPr>
        <w:spacing w:after="0" w:line="27" w:lineRule="exact"/>
        <w:rPr>
          <w:rFonts w:ascii="Times New Roman" w:cs="Times New Roman" w:eastAsia="Times New Roman" w:hAnsi="Times New Roman"/>
          <w:sz w:val="18"/>
          <w:szCs w:val="18"/>
          <w:color w:val="auto"/>
        </w:rPr>
      </w:pPr>
    </w:p>
    <w:p>
      <w:pPr>
        <w:ind w:left="340" w:hanging="8"/>
        <w:spacing w:after="0" w:line="260" w:lineRule="auto"/>
        <w:tabs>
          <w:tab w:leader="none" w:pos="613"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preferred shares in the form of Class C-2 American Depositary Shares of the Issuer, which shares may not be converted into Class A ADSs within 60 days following the date 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56"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Zhejiang Geely Holding Group Company Limited</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5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8,383,462,615 (1)</w:t>
            </w:r>
          </w:p>
        </w:tc>
        <w:tc>
          <w:tcPr>
            <w:tcW w:w="0" w:type="dxa"/>
            <w:vAlign w:val="bottom"/>
          </w:tcPr>
          <w:p>
            <w:pPr>
              <w:spacing w:after="0"/>
              <w:rPr>
                <w:sz w:val="1"/>
                <w:szCs w:val="1"/>
                <w:color w:val="auto"/>
              </w:rPr>
            </w:pPr>
          </w:p>
        </w:tc>
      </w:tr>
      <w:tr>
        <w:trPr>
          <w:trHeight w:val="74"/>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380" w:type="dxa"/>
            <w:vAlign w:val="bottom"/>
            <w:vMerge w:val="continue"/>
          </w:tcPr>
          <w:p>
            <w:pPr>
              <w:spacing w:after="0"/>
              <w:rPr>
                <w:sz w:val="13"/>
                <w:szCs w:val="13"/>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3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8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380" w:type="dxa"/>
            <w:vAlign w:val="bottom"/>
            <w:vMerge w:val="restart"/>
          </w:tcPr>
          <w:p>
            <w:pPr>
              <w:jc w:val="center"/>
              <w:ind w:right="410"/>
              <w:spacing w:after="0" w:line="194" w:lineRule="exact"/>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0"/>
                <w:szCs w:val="10"/>
                <w:color w:val="auto"/>
              </w:rPr>
            </w:pPr>
          </w:p>
        </w:tc>
        <w:tc>
          <w:tcPr>
            <w:tcW w:w="8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by Each</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98"/>
        </w:trPr>
        <w:tc>
          <w:tcPr>
            <w:tcW w:w="138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Reporting</w:t>
            </w:r>
          </w:p>
        </w:tc>
        <w:tc>
          <w:tcPr>
            <w:tcW w:w="500" w:type="dxa"/>
            <w:vAlign w:val="bottom"/>
          </w:tcPr>
          <w:p>
            <w:pPr>
              <w:spacing w:after="0"/>
              <w:rPr>
                <w:sz w:val="17"/>
                <w:szCs w:val="17"/>
                <w:color w:val="auto"/>
              </w:rPr>
            </w:pPr>
          </w:p>
        </w:tc>
        <w:tc>
          <w:tcPr>
            <w:tcW w:w="8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1,055,484,073 (1)</w:t>
            </w:r>
          </w:p>
        </w:tc>
        <w:tc>
          <w:tcPr>
            <w:tcW w:w="0" w:type="dxa"/>
            <w:vAlign w:val="bottom"/>
          </w:tcPr>
          <w:p>
            <w:pPr>
              <w:spacing w:after="0"/>
              <w:rPr>
                <w:sz w:val="1"/>
                <w:szCs w:val="1"/>
                <w:color w:val="auto"/>
              </w:rPr>
            </w:pPr>
          </w:p>
        </w:tc>
      </w:tr>
      <w:tr>
        <w:trPr>
          <w:trHeight w:val="129"/>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13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88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2680" w:right="6640" w:hanging="656"/>
        <w:spacing w:after="0" w:line="458" w:lineRule="auto"/>
        <w:tabs>
          <w:tab w:leader="none" w:pos="2680" w:val="left"/>
        </w:tabs>
        <w:numPr>
          <w:ilvl w:val="3"/>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780" w:hanging="673"/>
        <w:spacing w:after="0"/>
        <w:tabs>
          <w:tab w:leader="none" w:pos="7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1,055,484,073 (1)</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(ii) 144,572,624 Class A ADSs and 814,219,838 Class B ADSs transferred by Polestar Automotive Holding Limited to Snita Holding B.V. in connection with the Distribution; (iii) 13,664,063 Class A ADSs transferred by Polestar Automotive Holding Limited to GLY New Mobility 1. LP in connection with the Distribution; (iv) 21,862,507 Class A ADSs transferred by Polestar Automotive Holding Limited to Northpole GLY 1 LP in connection with the Distribution; and (v) 168,167 Class A ADSs directly held by Northpole GLY 2 LP as of December 19, 2022, which entity has made and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21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20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w:t>
      </w:r>
    </w:p>
    <w:p>
      <w:pPr>
        <w:spacing w:after="0" w:line="27" w:lineRule="exact"/>
        <w:rPr>
          <w:rFonts w:ascii="Times New Roman" w:cs="Times New Roman" w:eastAsia="Times New Roman" w:hAnsi="Times New Roman"/>
          <w:sz w:val="18"/>
          <w:szCs w:val="18"/>
          <w:color w:val="auto"/>
        </w:rPr>
      </w:pPr>
    </w:p>
    <w:p>
      <w:pPr>
        <w:ind w:left="340" w:hanging="8"/>
        <w:spacing w:after="0" w:line="260" w:lineRule="auto"/>
        <w:tabs>
          <w:tab w:leader="none" w:pos="613"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preferred shares in the form of Class C-2 American Depositary Shares of the Issuer, which shares may not be converted into Class A ADSs within 60 days following the date hereof.</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56"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731105201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6652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6652260"/>
                    </a:xfrm>
                    <a:prstGeom prst="rect">
                      <a:avLst/>
                    </a:prstGeom>
                    <a:noFill/>
                  </pic:spPr>
                </pic:pic>
              </a:graphicData>
            </a:graphic>
          </wp:anchor>
        </w:drawing>
      </w:r>
    </w:p>
    <w:p>
      <w:pPr>
        <w:spacing w:after="0" w:line="340" w:lineRule="exact"/>
        <w:rPr>
          <w:sz w:val="20"/>
          <w:szCs w:val="20"/>
          <w:color w:val="auto"/>
        </w:rPr>
      </w:pPr>
    </w:p>
    <w:p>
      <w:pPr>
        <w:ind w:left="780" w:hanging="67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7" w:lineRule="exact"/>
        <w:rPr>
          <w:rFonts w:ascii="Times New Roman" w:cs="Times New Roman" w:eastAsia="Times New Roman" w:hAnsi="Times New Roman"/>
          <w:sz w:val="18"/>
          <w:szCs w:val="18"/>
          <w:color w:val="auto"/>
        </w:rPr>
      </w:pPr>
    </w:p>
    <w:p>
      <w:pPr>
        <w:ind w:left="780" w:right="6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Shufu Li</w:t>
      </w:r>
    </w:p>
    <w:p>
      <w:pPr>
        <w:spacing w:after="0" w:line="12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9" w:lineRule="exact"/>
        <w:rPr>
          <w:rFonts w:ascii="Times New Roman" w:cs="Times New Roman" w:eastAsia="Times New Roman" w:hAnsi="Times New Roman"/>
          <w:sz w:val="18"/>
          <w:szCs w:val="18"/>
          <w:color w:val="auto"/>
        </w:rPr>
      </w:pPr>
    </w:p>
    <w:p>
      <w:pPr>
        <w:ind w:left="1020" w:hanging="238"/>
        <w:spacing w:after="0" w:line="207" w:lineRule="exact"/>
        <w:tabs>
          <w:tab w:leader="none" w:pos="1020" w:val="left"/>
        </w:tabs>
        <w:numPr>
          <w:ilvl w:val="1"/>
          <w:numId w:val="5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1040" w:hanging="258"/>
        <w:spacing w:after="0" w:line="207" w:lineRule="exact"/>
        <w:tabs>
          <w:tab w:leader="none" w:pos="1040" w:val="left"/>
        </w:tabs>
        <w:numPr>
          <w:ilvl w:val="1"/>
          <w:numId w:val="5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5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3"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 OO, WC</w:t>
      </w:r>
    </w:p>
    <w:p>
      <w:pPr>
        <w:spacing w:after="0" w:line="358"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(e):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right="7780" w:hanging="673"/>
        <w:spacing w:after="0" w:line="469" w:lineRule="auto"/>
        <w:tabs>
          <w:tab w:leader="none" w:pos="7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China</w:t>
      </w:r>
    </w:p>
    <w:p>
      <w:pPr>
        <w:spacing w:after="0" w:line="1" w:lineRule="exact"/>
        <w:rPr>
          <w:rFonts w:ascii="Times New Roman" w:cs="Times New Roman" w:eastAsia="Times New Roman" w:hAnsi="Times New Roman"/>
          <w:sz w:val="18"/>
          <w:szCs w:val="18"/>
          <w:color w:val="auto"/>
        </w:rPr>
      </w:pPr>
    </w:p>
    <w:p>
      <w:pPr>
        <w:ind w:left="2680" w:hanging="656"/>
        <w:spacing w:after="0"/>
        <w:tabs>
          <w:tab w:leader="none" w:pos="268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16,663,599,985 (1)</w:t>
            </w:r>
          </w:p>
        </w:tc>
        <w:tc>
          <w:tcPr>
            <w:tcW w:w="0" w:type="dxa"/>
            <w:vAlign w:val="bottom"/>
          </w:tcPr>
          <w:p>
            <w:pPr>
              <w:spacing w:after="0"/>
              <w:rPr>
                <w:sz w:val="1"/>
                <w:szCs w:val="1"/>
                <w:color w:val="auto"/>
              </w:rPr>
            </w:pPr>
          </w:p>
        </w:tc>
      </w:tr>
      <w:tr>
        <w:trPr>
          <w:trHeight w:val="75"/>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Number of</w:t>
            </w: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380" w:type="dxa"/>
            <w:vAlign w:val="bottom"/>
            <w:vMerge w:val="continue"/>
          </w:tcPr>
          <w:p>
            <w:pPr>
              <w:spacing w:after="0"/>
              <w:rPr>
                <w:sz w:val="11"/>
                <w:szCs w:val="11"/>
                <w:color w:val="auto"/>
              </w:rPr>
            </w:pP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53"/>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8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8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Beneficially</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3"/>
        </w:trPr>
        <w:tc>
          <w:tcPr>
            <w:tcW w:w="1380" w:type="dxa"/>
            <w:vAlign w:val="bottom"/>
            <w:vMerge w:val="restart"/>
          </w:tcPr>
          <w:p>
            <w:pPr>
              <w:jc w:val="center"/>
              <w:ind w:right="410"/>
              <w:spacing w:after="0"/>
              <w:rPr>
                <w:sz w:val="20"/>
                <w:szCs w:val="20"/>
                <w:color w:val="auto"/>
              </w:rPr>
            </w:pPr>
            <w:r>
              <w:rPr>
                <w:rFonts w:ascii="Times New Roman" w:cs="Times New Roman" w:eastAsia="Times New Roman" w:hAnsi="Times New Roman"/>
                <w:sz w:val="18"/>
                <w:szCs w:val="18"/>
                <w:color w:val="auto"/>
              </w:rPr>
              <w:t>by Owned</w:t>
            </w:r>
          </w:p>
        </w:tc>
        <w:tc>
          <w:tcPr>
            <w:tcW w:w="500" w:type="dxa"/>
            <w:vAlign w:val="bottom"/>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1380" w:type="dxa"/>
            <w:vAlign w:val="bottom"/>
          </w:tcPr>
          <w:p>
            <w:pPr>
              <w:jc w:val="center"/>
              <w:ind w:right="410"/>
              <w:spacing w:after="0" w:line="184" w:lineRule="exact"/>
              <w:rPr>
                <w:sz w:val="20"/>
                <w:szCs w:val="20"/>
                <w:color w:val="auto"/>
              </w:rPr>
            </w:pPr>
            <w:r>
              <w:rPr>
                <w:rFonts w:ascii="Times New Roman" w:cs="Times New Roman" w:eastAsia="Times New Roman" w:hAnsi="Times New Roman"/>
                <w:sz w:val="18"/>
                <w:szCs w:val="18"/>
                <w:color w:val="auto"/>
              </w:rPr>
              <w:t>by Each</w:t>
            </w:r>
          </w:p>
        </w:tc>
        <w:tc>
          <w:tcPr>
            <w:tcW w:w="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w:t>
            </w: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99"/>
        </w:trPr>
        <w:tc>
          <w:tcPr>
            <w:tcW w:w="13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Reporting</w:t>
            </w:r>
          </w:p>
        </w:tc>
        <w:tc>
          <w:tcPr>
            <w:tcW w:w="500" w:type="dxa"/>
            <w:vAlign w:val="bottom"/>
            <w:vMerge w:val="continue"/>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3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Person</w:t>
            </w:r>
          </w:p>
        </w:tc>
        <w:tc>
          <w:tcPr>
            <w:tcW w:w="500" w:type="dxa"/>
            <w:vAlign w:val="bottom"/>
          </w:tcPr>
          <w:p>
            <w:pPr>
              <w:spacing w:after="0"/>
              <w:rPr>
                <w:sz w:val="18"/>
                <w:szCs w:val="18"/>
                <w:color w:val="auto"/>
              </w:rPr>
            </w:pPr>
          </w:p>
        </w:tc>
        <w:tc>
          <w:tcPr>
            <w:tcW w:w="8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1,883,497,810 (1)</w:t>
            </w:r>
          </w:p>
        </w:tc>
        <w:tc>
          <w:tcPr>
            <w:tcW w:w="0" w:type="dxa"/>
            <w:vAlign w:val="bottom"/>
          </w:tcPr>
          <w:p>
            <w:pPr>
              <w:spacing w:after="0"/>
              <w:rPr>
                <w:sz w:val="1"/>
                <w:szCs w:val="1"/>
                <w:color w:val="auto"/>
              </w:rPr>
            </w:pPr>
          </w:p>
        </w:tc>
      </w:tr>
      <w:tr>
        <w:trPr>
          <w:trHeight w:val="99"/>
        </w:trPr>
        <w:tc>
          <w:tcPr>
            <w:tcW w:w="1380" w:type="dxa"/>
            <w:vAlign w:val="bottom"/>
            <w:vMerge w:val="restart"/>
          </w:tcPr>
          <w:p>
            <w:pPr>
              <w:jc w:val="center"/>
              <w:ind w:right="410"/>
              <w:spacing w:after="0" w:line="174" w:lineRule="exact"/>
              <w:rPr>
                <w:sz w:val="20"/>
                <w:szCs w:val="20"/>
                <w:color w:val="auto"/>
              </w:rPr>
            </w:pPr>
            <w:r>
              <w:rPr>
                <w:rFonts w:ascii="Times New Roman" w:cs="Times New Roman" w:eastAsia="Times New Roman" w:hAnsi="Times New Roman"/>
                <w:sz w:val="18"/>
                <w:szCs w:val="18"/>
                <w:color w:val="auto"/>
                <w:w w:val="97"/>
              </w:rPr>
              <w:t>With:</w:t>
            </w:r>
          </w:p>
        </w:tc>
        <w:tc>
          <w:tcPr>
            <w:tcW w:w="500" w:type="dxa"/>
            <w:vAlign w:val="bottom"/>
          </w:tcPr>
          <w:p>
            <w:pPr>
              <w:spacing w:after="0"/>
              <w:rPr>
                <w:sz w:val="8"/>
                <w:szCs w:val="8"/>
                <w:color w:val="auto"/>
              </w:rPr>
            </w:pPr>
          </w:p>
        </w:tc>
        <w:tc>
          <w:tcPr>
            <w:tcW w:w="8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380" w:type="dxa"/>
            <w:vAlign w:val="bottom"/>
            <w:vMerge w:val="continue"/>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680" w:right="6640" w:hanging="656"/>
        <w:spacing w:after="0" w:line="469" w:lineRule="auto"/>
        <w:tabs>
          <w:tab w:leader="none" w:pos="2680" w:val="left"/>
        </w:tabs>
        <w:numPr>
          <w:ilvl w:val="3"/>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1,883,497,810 (1)</w:t>
      </w:r>
    </w:p>
    <w:p>
      <w:pPr>
        <w:spacing w:after="0" w:line="142" w:lineRule="exact"/>
        <w:rPr>
          <w:rFonts w:ascii="Times New Roman" w:cs="Times New Roman" w:eastAsia="Times New Roman" w:hAnsi="Times New Roman"/>
          <w:sz w:val="18"/>
          <w:szCs w:val="18"/>
          <w:color w:val="auto"/>
        </w:rPr>
      </w:pPr>
    </w:p>
    <w:p>
      <w:pPr>
        <w:ind w:left="780" w:hanging="673"/>
        <w:spacing w:after="0" w:line="207" w:lineRule="exact"/>
        <w:tabs>
          <w:tab w:leader="none" w:pos="7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89.3% (2)(3)</w:t>
      </w:r>
    </w:p>
    <w:p>
      <w:pPr>
        <w:spacing w:after="0" w:line="171" w:lineRule="exact"/>
        <w:rPr>
          <w:rFonts w:ascii="Times New Roman" w:cs="Times New Roman" w:eastAsia="Times New Roman" w:hAnsi="Times New Roman"/>
          <w:sz w:val="18"/>
          <w:szCs w:val="18"/>
          <w:color w:val="auto"/>
        </w:rPr>
      </w:pPr>
    </w:p>
    <w:p>
      <w:pPr>
        <w:ind w:left="780" w:hanging="673"/>
        <w:spacing w:after="0"/>
        <w:tabs>
          <w:tab w:leader="none" w:pos="7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25" w:lineRule="exact"/>
        <w:rPr>
          <w:rFonts w:ascii="Times New Roman" w:cs="Times New Roman" w:eastAsia="Times New Roman" w:hAnsi="Times New Roman"/>
          <w:sz w:val="18"/>
          <w:szCs w:val="18"/>
          <w:color w:val="auto"/>
        </w:rPr>
      </w:pPr>
    </w:p>
    <w:p>
      <w:pPr>
        <w:ind w:left="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317"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Item 2 below under the subtitle </w:t>
      </w:r>
      <w:r>
        <w:rPr>
          <w:rFonts w:ascii="Times New Roman" w:cs="Times New Roman" w:eastAsia="Times New Roman" w:hAnsi="Times New Roman"/>
          <w:sz w:val="18"/>
          <w:szCs w:val="18"/>
          <w:i w:val="1"/>
          <w:iCs w:val="1"/>
          <w:color w:val="auto"/>
        </w:rPr>
        <w:t>Explanatory Note Regarding the Relationships of the Reporting Persons</w:t>
      </w:r>
      <w:r>
        <w:rPr>
          <w:rFonts w:ascii="Times New Roman" w:cs="Times New Roman" w:eastAsia="Times New Roman" w:hAnsi="Times New Roman"/>
          <w:sz w:val="18"/>
          <w:szCs w:val="18"/>
          <w:color w:val="auto"/>
        </w:rPr>
        <w:t xml:space="preserve"> for a description of the Reporting Persons’ shareholding structure, which determines their respective voting power. Includes (i) 60,000,000 Class A ADSs directly held by Snita Holding B.V. prior to the Distribution; (ii) 144,572,624 Class A ADSs and 814,219,838 Class B ADSs transferred by Polestar Automotive Holding Limited to Snita Holding B.V. in connection with the Distribution; (iii) 828,013,737 Class B ADSs transferred by Polestar Automotive Holding Limited to PSD Investment Limited in connection with the Distribution; (iv) 13,664,063 Class A ADSs transferred by Polestar Automotive Holding Limited to GLY New Mobility 1. LP in connection with the Distribution; (v) 21,862,507 Class A ADSs transferred by Polestar Automotive Holding Limited to Northpole GLY 1 LP in connection with the Distribution; and (vi) 168,167 Class A ADSs directly held by Northpole GLY 2 LP as of December 19, 2022, which entity has made and will further make distributions in species of the Issuer’s securities to its limited partners from time to time. Each Class A ADS represents one Class A Share. Each Class B ADS represents one Class B Share. Each Class A Share is entitled to one vote, while each Class B Share is entitled to ten votes. Each Class B Share is convertible into one Class A Share at any time at the option of the holder of such Class B Share. Assumes the conversion of the Class B Shares referred to above into Class A Shares.</w:t>
      </w:r>
    </w:p>
    <w:p>
      <w:pPr>
        <w:spacing w:after="0" w:line="7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item 11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the Class B Shares referred to in footnote 1 into Class A Shares.</w:t>
      </w:r>
    </w:p>
    <w:p>
      <w:pPr>
        <w:spacing w:after="0" w:line="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w:t>
      </w:r>
    </w:p>
    <w:p>
      <w:pPr>
        <w:spacing w:after="0" w:line="27" w:lineRule="exact"/>
        <w:rPr>
          <w:rFonts w:ascii="Times New Roman" w:cs="Times New Roman" w:eastAsia="Times New Roman" w:hAnsi="Times New Roman"/>
          <w:sz w:val="18"/>
          <w:szCs w:val="18"/>
          <w:color w:val="auto"/>
        </w:rPr>
      </w:pPr>
    </w:p>
    <w:p>
      <w:pPr>
        <w:ind w:left="340" w:hanging="8"/>
        <w:spacing w:after="0" w:line="260" w:lineRule="auto"/>
        <w:tabs>
          <w:tab w:leader="none" w:pos="613"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9,000,000 Class C-2 preferred shares in the form of Class C-2 American Depositary Shares of the Issuer, which shares may not be converted into Class A ADSs within 60 days following the date hereof.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9" w:right="339" w:bottom="353"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This Amendment No. 1 (this “Amendment”) amends the statement on the Schedule 13D originally filed on July 7, 2022 by Reporting Persons Polestar Automotive Holding Limited, PSD Investment Limited, PSD Capital Limited, PSINV AB, Snita Holding B.V., Volvo Car Corporation, Volvo Car AB, Geely Sweden Holdings AB, Shanghai Geely Zhaoyuan International Investment Co., Ltd, Beijing Geely Wanyuan International Investment Co., Ltd, Beijing Geely Kaisheng International Investment Co., Ltd, Zhejiang Geely Holding Group Company Limited, and Shufu Li. Capitalized terms used but not defined herein have the meanings given to such terms in the Schedule 13D. Except as otherwise provided herein, each Item of the Schedule 13D remains unchanged.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On November 22, 2022, PSINV AB transferred all of its equity interests in Polestar Automotive Holding Limited to Snita Holding B.V. Subsequently, on December 9, 2022, Polestar Automotive Holding Limited made a non-cash distribution (the “Distribution”) of (i) 294,877,349 Class A ADSs, and (ii) 1,642,233,575 Class B ADSs directly held by it to its direct shareholders, including PSD Investment Limited, Snita, and certain other shareholders who are not Reporting Persons of this Schedule 13D. As the result of the transactions described above, PSINV AB and Polestar Automotive Holding Limited no longer directly or indirectly hold any shares of the Issuer. This Amendment constitutes an exit filing for Polestar Automotive Holding Limited and PSINV AB.</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This Amendment is being filed to report the result of the foregoing transactions and that Polestar Automotive Holding Limited and PSINV AB have ceased to be the beneficial owners of more than five percent of the outstanding Class A ADSs and Class A Class A Shares of the Issuer.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of the Schedule 13D is hereby amended in its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 (c), (f)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 (“Parent”)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12/F, H Code, 45 Pottinger Street, Central, Hong Kong</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Hong Kong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Private Company Limited by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Snita Holding B.V. (“Snita”)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Stationsweg 2, Beesd, 4153 RD, Netherlands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Netherlands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Netherlands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Investment Limited (“PSD Investment”)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Craigmuir Chambers, Road Town, Tortola, VG 1110, British Virgin Islands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British Virgin Islands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British Virgin Islands Company Limited by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PSINV AB (“PSINV”)</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Avd. 50090 HB3S, 405 31 Göteborg, Sweden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Swedish Private Limited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Corporation (“Volvo Cars”)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Avd. 50090 HB3S, 405 31 Göteborg, Sweden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Swedish Private Limited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Capital Limited (“PSD Capital”)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Craigmuir Chambers, Road Town, Tortola, VG 1110, British Virgin Islands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British Virgin Islands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British Virgin Islands Company Limited by Shares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 (“VCAB”)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Avd. 50090 HB3S, 405 31 Göteborg, Sweden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Swedish Public Limited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474"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Geely Sweden Holdings AB (“Geely Sweden”)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Box 10038, 400 70 Göteborg, Sweden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Sweden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Swedish Private Limited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Shanghai Geely Zhaoyuan International Investment Co., Ltd (“Shanghai Geely”)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Room 1478, Building 10, No. 1630 Yecheng Road, Jiangding District, Shanghai, China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Chinese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 Co. Ltd (“Beijing Geely Wanyuan”)</w:t>
      </w:r>
    </w:p>
    <w:p>
      <w:pPr>
        <w:spacing w:after="0" w:line="22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Residence or business address: Room 409, Level 4, Building 4, Yard 4, Yongchang Zhong Road, Beijing Economic-Technological Development Area, Beijing, China</w:t>
      </w: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Chinese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 Co., Ltd. (“Beijing Geely Kaisheng”)</w:t>
      </w:r>
    </w:p>
    <w:p>
      <w:pPr>
        <w:spacing w:after="0" w:line="229"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Residence or business address: Room 409, Level 4, Building 4, Yard 4, Yongchang Zhong Road, Beijing Economic-Technological Development Area, Beijing, China</w:t>
      </w: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Chinese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 (“Zhejiang Geely”)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No. 1760 Jiangling Road, Binjiang District, Hangzhou, Zhejiang, China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of Incorporation/Organization/Citizenship: China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Entity Type: Chinese Limited Liability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Shufu Li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Residence or business address: Room 303, Building 12, No. 980 Mingzhou Road, Xinqi Street, Beilun District, Ningbo, Zhejiang, China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Citizenship: China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Parent, Snita, PSD Investment, PSINV, PSD Investment, PSD Capital, Geely Sweden, Shanghai Geely, Beijing Geely Wanyuan, and Beijing Geely Kaisheng are holding companies which, through their subsidiaries, operates premium electric performance car brands as well as designing related products, and hold shares in or on behalf of certain other entities and individuals.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businesses of Volvo Cars and VCAB are building, selling and marketing cars and other related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of Zhejiang Geely is automobile manufacturing.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Explanatory Note Regarding the Relationships of the Reporting Persons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Shareholders of Parent Prior to the Distribution (Snita, PSD Investment, and Certain Other Shareholders Who are Not Reporting Persons)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23, 2022, (i) Snita owns 48.75% of Parent, and controls 48.71% voting power of Parent, (ii) PSD Investment owns 42.74% of Parent, and controls 49.53% of voting power of Parent, (iii) PSINV owns 0.74% of Parent, and controls 0.86% voting power of Parent. Pursuant that certain Acknowledgement Agreement to the Shareholders Agreement dated September 27, 2021, as amended (the “</w:t>
      </w:r>
      <w:r>
        <w:rPr>
          <w:rFonts w:ascii="Times New Roman" w:cs="Times New Roman" w:eastAsia="Times New Roman" w:hAnsi="Times New Roman"/>
          <w:sz w:val="18"/>
          <w:szCs w:val="18"/>
          <w:b w:val="1"/>
          <w:bCs w:val="1"/>
          <w:color w:val="auto"/>
        </w:rPr>
        <w:t>Shareholder Acknowledgement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Parent, Snita, PSD Investment, PSINV, Issuer, and certain other parties thereto, each of the shareholders of Parent can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to exercise the proportion of its proportion of Parent’s voting rights in the Issuer that directly corresponds to the proportion of such shareholder’s voting rights in Parent, and that the Class A and Class B shares of Parent are deemed to have and be subject to the corresponding rights, privileges, entitlements, and obligations as each Class A Share and Class B Share of the Issuer, as set out under the Issuer’s Articles of Association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In addition, the Articles provides that decisions of the board of directors of the Issuer is determined by a majority of votes. Accordingly, the Shareholder Acknowledgement Agreement and Articles, taken collectively, indicates that Snita, PSD Investment, and PSINV collectively share the voting power and dispositive power with respect to 100% of the Class A Shares and Class B Shares of the Issuer directly held by Parent. The foregoing description is qualified by the Shareholder Acknowledgement Agreement and Articles, copied of which are attached hereto as Exhibits 3 and 4, respectively, and are hereby incorporated by reference in its entirety.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22, 2022, PSINV AB transferred all of its equity interests in Polestar Automotive Holding Limited to Snita Holding B.V. and ceased to directly or indirectly hold any shares of the Issuer.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9, 2022, Parent made a non-cash distribution of (i) 294,877,349 Class A ADSs, and (ii) 1,642,233,575 Class B ADSs directly held by it to its direct shareholders, including PSD Investment, Snita, and certain other shareholders who are not Reporting Persons of this Schedule 13D. As a result, PSD Investment and Snita, and such other shareholders of Parent became direct shareholders of the Issuer, including (x) GLY New Mobility 1. LP, and (y) Northpole GLY 1 LP, two funds directly controlled by certain Reporting Persons.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subtitle “</w:t>
      </w:r>
      <w:r>
        <w:rPr>
          <w:rFonts w:ascii="Times New Roman" w:cs="Times New Roman" w:eastAsia="Times New Roman" w:hAnsi="Times New Roman"/>
          <w:sz w:val="18"/>
          <w:szCs w:val="18"/>
          <w:u w:val="single" w:color="auto"/>
          <w:color w:val="auto"/>
        </w:rPr>
        <w:t>Non-Reporting Persons Indirectly Controlled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below for a description of such funds’ shareholding structure, which determines the beneficial ownership of the shares of the Issuer directly held by them.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and Indirect Shareholders of Snita</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23, 2022, (i) Snita is 100% owned by Volvo Cars, (ii) Volvo Cars is 100% owned by VCAB, (iii) VCAB is 82% owned by Geely Sweden and 18% owned by stock exchange investors, (iv) Geely Sweden is 100% owned by Shanghai Geely, (v) Shanghai Geely is 60.96% owned by Beijing Geely Wanyuan and 39,04% owned by Zhejiang Geely, (vi) Beijing Geely Wanyuan is 100% owned by Beijing Geely Kaisheng, (vii) Beijing Geely Kaisheng is 100% owned by Zhejiang Geely, and (viii) Zhejiang Geely is 91.9% owned by Shufu Li (including (x) 82.2% of the shares of Zhejiang Geely directly held by Shufu Li, and (y) 9.7% of the shares of Zhejiang Geely indirectly held by Shufu Li, over which he shares the voting and dispositive power with a person who is not a Reporting Person to this Schedule 13D).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9, 2022, the shareholding structure among Snita and its direct and indirect shareholders described above remain unchanged.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Therefore, Reporting Persons that are direct or indirect shareholders of Snita, including Volvo Cars, VCAB, Geely Sweden, Shanghai Geely, Beijing Geely Wanyuan, Beijing Geely Kaisheng, Zhejiang Geely, and Shufu Li have the sole voting and dispositive power with respect to 100% of the Class A Shares of the Issuer directly held by Snita.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 and Indirect Shareholders of PSD Investment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23, 2022, PSD Investment is 100% owned by PSD Capital, and PSD Capital is 100% owned by Shufu 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9, 2022, the shareholding structure among PSD Investment and its direct and indirect shareholders described above remain unchanged.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conclusion, Reporting Persons include Snita and PSD Investment, both of which directly hold more than five percent of the outstanding Class A ADSs and Class A Class A Shares of the Issuer. The other Reporting Persons are direct or indirect shareholders of Snita and PSD Investment, including PSD Capital, Volvo Cars, VCAB, Geely Sweden, Shanghai Geely, Beijing Geely Wanyuan, Beijing Geely Kaisheng, Zhejiang Geely, and Shufu Li.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Non-Reporting Persons Indirectly Controlled by the Reporting Persons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Shufu Li directly or indirectly owns approximately 91.9% of equity interests in Zhejiang Geely (includes (x) 82.2% of the shares of Zhejiang Geely directly held by Shufu Li, and (y) 9.7% of the shares of Zhejiang Geely indirectly held by Shufu Li, over which he shares the voting and dispositive power with a person who is not a Reporting Person to this Schedule 13D). Shufu Li, through Zhejiang Geely, Beijing Geely Kaisheng, Beijing Geely Wanyuan, Shanghai Geely, and Geely Sweden (all of the foregoing, collectively, the “</w:t>
      </w:r>
      <w:r>
        <w:rPr>
          <w:rFonts w:ascii="Times New Roman" w:cs="Times New Roman" w:eastAsia="Times New Roman" w:hAnsi="Times New Roman"/>
          <w:sz w:val="18"/>
          <w:szCs w:val="18"/>
          <w:b w:val="1"/>
          <w:bCs w:val="1"/>
          <w:color w:val="auto"/>
        </w:rPr>
        <w:t>Geely Reporting Persons</w:t>
      </w:r>
      <w:r>
        <w:rPr>
          <w:rFonts w:ascii="Times New Roman" w:cs="Times New Roman" w:eastAsia="Times New Roman" w:hAnsi="Times New Roman"/>
          <w:sz w:val="18"/>
          <w:szCs w:val="18"/>
          <w:color w:val="auto"/>
        </w:rPr>
        <w:t xml:space="preserve">”), owns approximately 86.0% of GLy Capital Management Partners (Cayman) Limited. GLy Capital Management Partners (Cayman) Limited controls (i) Northpole GLY GP1, the general partner of Northpole GLY 1 LP and Northpole GLY 2 LP, and (ii) GLY New Mobility GP1, the general partner of GLY New Mobility 1. LP.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subtitle “</w:t>
      </w:r>
      <w:r>
        <w:rPr>
          <w:rFonts w:ascii="Times New Roman" w:cs="Times New Roman" w:eastAsia="Times New Roman" w:hAnsi="Times New Roman"/>
          <w:sz w:val="18"/>
          <w:szCs w:val="18"/>
          <w:u w:val="single" w:color="auto"/>
          <w:color w:val="auto"/>
        </w:rPr>
        <w:t>Direct and Indirect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 of Snita</w:t>
      </w:r>
      <w:r>
        <w:rPr>
          <w:rFonts w:ascii="Times New Roman" w:cs="Times New Roman" w:eastAsia="Times New Roman" w:hAnsi="Times New Roman"/>
          <w:sz w:val="18"/>
          <w:szCs w:val="18"/>
          <w:color w:val="auto"/>
        </w:rPr>
        <w:t>” above for a description of the shareholding structure of the Geely Reporting Persons.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since voting and dispositive decisions with respect to the shares of the Issuer directly held by (x) GLY New Mobility 1. LP, (y) Northpole GLY 1 LP, and (z) Northpole GLY 2 LP (collectively, the “</w:t>
      </w:r>
      <w:r>
        <w:rPr>
          <w:rFonts w:ascii="Times New Roman" w:cs="Times New Roman" w:eastAsia="Times New Roman" w:hAnsi="Times New Roman"/>
          <w:sz w:val="18"/>
          <w:szCs w:val="18"/>
          <w:b w:val="1"/>
          <w:bCs w:val="1"/>
          <w:color w:val="auto"/>
        </w:rPr>
        <w:t>GLY Funds</w:t>
      </w:r>
      <w:r>
        <w:rPr>
          <w:rFonts w:ascii="Times New Roman" w:cs="Times New Roman" w:eastAsia="Times New Roman" w:hAnsi="Times New Roman"/>
          <w:sz w:val="18"/>
          <w:szCs w:val="18"/>
          <w:color w:val="auto"/>
        </w:rPr>
        <w:t>”) are ultimately made by Shufu Li, and the Geely Reporting Persons, they are deemed to have beneficial ownership over shares of the Issuer directly held by the GLY Funds for purposes of this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Reporting Persons have been charged or convicted in a criminal proceeding during the last five years.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Reporting Persons have been a party to a civil proceeding of a judicial or administrative body of competent jurisdiction during the last five years where such person, as result of such proceeding, was or became subject to a judgment, decree or final order enjoining future violations of, or prohibiting or mandating activities subject to, federal or state securities laws or finding any violation with respect to such law.</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in its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acquired the Shares covered by this Schedule 13D for investment purposes.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Reporting Persons will routinely monitor a wide variety of investment considerations, including, without limitation, current and anticipated future trading prices for the Shares, the Issuer’s operations, assets, prospects, business development, markets and capitalization, the Issuer’s management and personnel, Issuer-related competitive and strategic matters, general economic, financial market and industry conditions, as well as other investment considerations. The Reporting Persons expect to discuss their investment in the Issuer and the foregoing investment considerations with the Issuer’s Board of Directors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management, other investors, industry analysts and others. These considerations, these discussions and other factors may result in the Reporting Persons’ consideration of various alternatives with respect to their investment, including possible changes in the present Board of Directors and/or management of the Issuer or other alternatives to increase stockholder value. The Reporting Persons may also enter into confidentiality or similar agreements with the Issuer and, subject to such an agreement or otherwise, exchange information with the Issuer. In addition, the Reporting Persons may acquire additional Issuer securities in the public markets, in privately negotiated transactions or otherwise or may determine to sell, trade or otherwise dispose of all or some holdings in the Issuer in the public markets, in privately negotiated transactions or otherwise, or take any other lawful action they deem to be in their best interests.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GLY Funds, which are not Reporting Persons to this Schedule 13D but indirectly controlled by the Geely Reporting Persons and Shufu Li, may, from time to time, sell the securities of the Issuer the GLY Funds directly hold on the open market or make distributions in species to their respective limited partners who are not affiliated with the Reporting Persons. For purpose of this Schedule 13D, securities of the Issuer directly held by the GLY Funds are deemed to be beneficially owned by the Geely Reporting Persons and Shufu Li.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subtitle “</w:t>
      </w:r>
      <w:r>
        <w:rPr>
          <w:rFonts w:ascii="Times New Roman" w:cs="Times New Roman" w:eastAsia="Times New Roman" w:hAnsi="Times New Roman"/>
          <w:sz w:val="18"/>
          <w:szCs w:val="18"/>
          <w:u w:val="single" w:color="auto"/>
          <w:color w:val="auto"/>
        </w:rPr>
        <w:t>Non-Reporting Persons Indirectly Controlled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above for a description of the GLY Funds’ shareholding structure.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set forth in this Schedule 13D, no Reporting Person has any present plans or proposals that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assets of the Issuer or of any of its subsidiaries; (d) any change in the present board of directors or management of the Issuer, including any plans or proposals to change the number or term of such directors or to fill any existing vacancies on such board; (e) any material change in the present capitalization or dividend policy of the Issuer; (f) any other material change in the Issuer’s business or corporate structure; (g) changes in the Issuer’s charter, bylaws or instruments corresponding thereto or other actions that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Exchange Act; or (j) any action similar to any of those enumerated in subclauses (a)-(i) above. There is no assurance that the Reporting Persons will develop any plans or proposals with respect to any of these matters. However, the Reporting Persons reserve the right to formulate plans or proposals which would relate to or result in the transactions described in subclauses (a) through (j) of this Item 4.</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5(a)—(c) of the Schedule 13D are each hereby amended and restated in their entirety as follows: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(b) The responses of the Reporting Persons with respect to Rows 7 through 13 of the respective cover pages of the individual Reporting Persons to this Amendment are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PSD Investment and PSD Capital’s aggregate percentage of beneficial ownership is approximately 39.3% of the outstanding shares of the 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Snita, Volvo Cars, and VCAB’s aggregate percentage of beneficial ownership is approximately 48.3% of the outstanding shares of the Issuer.</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Geely Sweden, Shanghai Geely, Beijing Geely Wanyuan, Beijing Geely Kaisheng, and Zhejiang Geely’s aggregate percentage of beneficial ownership is approximately 50.0% of the outstanding shares of the Issuer.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Shufu Li’ s aggregate percentage of beneficial ownership is approximately 89.3% of the outstanding shares of the Issuer.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percentages of beneficial ownership above are calculated by dividing the Reporting Persons’ response in Row 11 of their respective cover pages by the sum of (i) 466,801,222 Class A Shares in the form of Class A ADSs and (ii) 1,642,233,575 Class B Shares in the form of Class B ADSs, issued and outstanding as of August 17, 2022, as reported in the Issuer’s Amendment No.1 to Form F-1 Registration Statement filed on August 17, 2022 with the SEC. Assumes the conversion of Class B Shares into Class A Shares.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 of this calculation, the above excludes (i) 15,999,965 Class C-1 preferred shares in the form of Class C-1 American Depositary Shares and (ii) 9,000,000 Class C-2 preferred shares in the form of Class C-2 American Depositary Shares of the Issuer, which shares may not be converted into Class A ADSs within 60 days following the date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POLESTAR AUTOMOTIVE HOLDING LIMITED</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Yaru Li</w:t>
            </w:r>
          </w:p>
        </w:tc>
        <w:tc>
          <w:tcPr>
            <w:tcW w:w="0" w:type="dxa"/>
            <w:vAlign w:val="bottom"/>
          </w:tcPr>
          <w:p>
            <w:pPr>
              <w:spacing w:after="0"/>
              <w:rPr>
                <w:sz w:val="1"/>
                <w:szCs w:val="1"/>
                <w:color w:val="auto"/>
              </w:rPr>
            </w:pPr>
          </w:p>
        </w:tc>
      </w:tr>
      <w:tr>
        <w:trPr>
          <w:trHeight w:val="225"/>
        </w:trPr>
        <w:tc>
          <w:tcPr>
            <w:tcW w:w="37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80" w:type="dxa"/>
            <w:vAlign w:val="bottom"/>
          </w:tcPr>
          <w:p>
            <w:pPr>
              <w:spacing w:after="0" w:line="219" w:lineRule="exact"/>
              <w:rPr>
                <w:sz w:val="20"/>
                <w:szCs w:val="20"/>
                <w:color w:val="auto"/>
              </w:rPr>
            </w:pPr>
            <w:r>
              <w:rPr>
                <w:rFonts w:ascii="Times New Roman" w:cs="Times New Roman" w:eastAsia="Times New Roman" w:hAnsi="Times New Roman"/>
                <w:sz w:val="18"/>
                <w:szCs w:val="18"/>
                <w:color w:val="auto"/>
              </w:rPr>
              <w:t xml:space="preserve">Name: </w:t>
            </w:r>
            <w:r>
              <w:rPr>
                <w:rFonts w:ascii="SimSun" w:cs="SimSun" w:eastAsia="SimSun" w:hAnsi="SimSun"/>
                <w:sz w:val="18"/>
                <w:szCs w:val="18"/>
                <w:color w:val="auto"/>
              </w:rPr>
              <w:t>李亚茹</w:t>
            </w:r>
            <w:r>
              <w:rPr>
                <w:rFonts w:ascii="Times New Roman" w:cs="Times New Roman" w:eastAsia="Times New Roman" w:hAnsi="Times New Roman"/>
                <w:sz w:val="18"/>
                <w:szCs w:val="18"/>
                <w:color w:val="auto"/>
              </w:rPr>
              <w:t xml:space="preserve"> (Yaru Li)</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SNITA HOLDING B.V.</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Lex Kerssemakers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Lex Kerssemakers</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Per Ansgar</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Per Ansgar</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2"/>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PSINV AB</w:t>
            </w:r>
          </w:p>
        </w:tc>
        <w:tc>
          <w:tcPr>
            <w:tcW w:w="0" w:type="dxa"/>
            <w:vAlign w:val="bottom"/>
          </w:tcPr>
          <w:p>
            <w:pPr>
              <w:spacing w:after="0"/>
              <w:rPr>
                <w:sz w:val="1"/>
                <w:szCs w:val="1"/>
                <w:color w:val="auto"/>
              </w:rPr>
            </w:pPr>
          </w:p>
        </w:tc>
      </w:tr>
      <w:tr>
        <w:trPr>
          <w:trHeight w:val="216"/>
        </w:trPr>
        <w:tc>
          <w:tcPr>
            <w:tcW w:w="3740" w:type="dxa"/>
            <w:vAlign w:val="bottom"/>
            <w:vMerge w:val="continue"/>
          </w:tcPr>
          <w:p>
            <w:pPr>
              <w:spacing w:after="0"/>
              <w:rPr>
                <w:sz w:val="18"/>
                <w:szCs w:val="18"/>
                <w:color w:val="auto"/>
              </w:rPr>
            </w:pPr>
          </w:p>
        </w:tc>
        <w:tc>
          <w:tcPr>
            <w:tcW w:w="3020" w:type="dxa"/>
            <w:vAlign w:val="bottom"/>
          </w:tcPr>
          <w:p>
            <w:pPr>
              <w:spacing w:after="0"/>
              <w:rPr>
                <w:sz w:val="18"/>
                <w:szCs w:val="18"/>
                <w:color w:val="auto"/>
              </w:rPr>
            </w:pPr>
          </w:p>
        </w:tc>
        <w:tc>
          <w:tcPr>
            <w:tcW w:w="4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 Fredrik Aaben</w:t>
            </w:r>
          </w:p>
        </w:tc>
        <w:tc>
          <w:tcPr>
            <w:tcW w:w="0" w:type="dxa"/>
            <w:vAlign w:val="bottom"/>
          </w:tcPr>
          <w:p>
            <w:pPr>
              <w:spacing w:after="0"/>
              <w:rPr>
                <w:sz w:val="1"/>
                <w:szCs w:val="1"/>
                <w:color w:val="auto"/>
              </w:rPr>
            </w:pPr>
          </w:p>
        </w:tc>
      </w:tr>
      <w:tr>
        <w:trPr>
          <w:trHeight w:val="228"/>
        </w:trPr>
        <w:tc>
          <w:tcPr>
            <w:tcW w:w="374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Fredrik Aaben</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Per Ansgar</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Per Ansgar</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VOLVO CAR CORPORATION</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Hanna Fager</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Hanna Fager</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Maria Hemberg</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Maria Hemberg</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 and Authorised Signatory</w:t>
            </w: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VOLVO CAR AB</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Hanna Fager</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Hanna Fager</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439"/>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Maria Hemberg</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Maria Hemberg</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Authorised Signatory</w:t>
            </w:r>
          </w:p>
        </w:tc>
        <w:tc>
          <w:tcPr>
            <w:tcW w:w="0" w:type="dxa"/>
            <w:vAlign w:val="bottom"/>
          </w:tcPr>
          <w:p>
            <w:pPr>
              <w:spacing w:after="0"/>
              <w:rPr>
                <w:sz w:val="1"/>
                <w:szCs w:val="1"/>
                <w:color w:val="auto"/>
              </w:rPr>
            </w:pPr>
          </w:p>
        </w:tc>
      </w:tr>
      <w:tr>
        <w:trPr>
          <w:trHeight w:val="682"/>
        </w:trPr>
        <w:tc>
          <w:tcPr>
            <w:tcW w:w="37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20</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GEELY SWEDEN HOLDINGS AB</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66"/>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SHANGHAI GEELY ZHAOYUAN INTERNATIONAL</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BEIJING GEELY WANYUAN INTERNATIONAL</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BEIJING GEELY KAISHENG INTERNATIONAL</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 LTD</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414"/>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ZHEJIANG GEELY HOLDING GROUP COMPANY</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LIMITED</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Donghui Li</w:t>
            </w: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Donghui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Legal Representative &amp; Director</w:t>
            </w:r>
          </w:p>
        </w:tc>
      </w:tr>
      <w:tr>
        <w:trPr>
          <w:trHeight w:val="432"/>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PSD INVESTMENT LIMITED</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Sole Director</w:t>
            </w:r>
          </w:p>
        </w:tc>
      </w:tr>
      <w:tr>
        <w:trPr>
          <w:trHeight w:val="432"/>
        </w:trPr>
        <w:tc>
          <w:tcPr>
            <w:tcW w:w="37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PSD CAPITAL LIMITED</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Shufu Li</w:t>
            </w:r>
          </w:p>
        </w:tc>
      </w:tr>
      <w:tr>
        <w:trPr>
          <w:trHeight w:val="198"/>
        </w:trPr>
        <w:tc>
          <w:tcPr>
            <w:tcW w:w="37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Shufu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Title: Sole Director</w:t>
            </w: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23, 2022</w:t>
            </w:r>
          </w:p>
        </w:tc>
        <w:tc>
          <w:tcPr>
            <w:tcW w:w="302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Shufu Li</w:t>
            </w:r>
          </w:p>
        </w:tc>
      </w:tr>
      <w:tr>
        <w:trPr>
          <w:trHeight w:val="234"/>
        </w:trPr>
        <w:tc>
          <w:tcPr>
            <w:tcW w:w="37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Name: Shufu Li</w:t>
            </w:r>
          </w:p>
        </w:tc>
      </w:tr>
      <w:tr>
        <w:trPr>
          <w:trHeight w:val="637"/>
        </w:trPr>
        <w:tc>
          <w:tcPr>
            <w:tcW w:w="37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21</w:t>
            </w: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SCHEDULE A-1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with Respect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 of the Undersigned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sets forth as to each of the executive officers (if any) and directors of the undersigned: his/her name; his/her business address; his/her present principal occupation or employment and the name, principal business and address of any corporation or other organization in which such employment is conducted.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Limited (“Parent”)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Parent. The business address of Parent is 27/F, Baiyulan Square, No. 501 Dong Da Ming Road, Shanghai,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Jan Mikael ALKMARK</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 Yaru</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Snita Holding B.V. (“Snita”)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Snita. The business address of Snita is Stationsweg 2, Beesd, 4153 RD, Netherlands.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Ansgar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Lex (Alexander) Kerssemakers</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Investment Limited (“PSD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Investment. The business address of PSD Investment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PSINV AB (“PSINV”)</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PSINV. The business address of PSINV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25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Fredrik Aaben</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 Ansgar</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r>
      <w:tr>
        <w:trPr>
          <w:trHeight w:val="649"/>
        </w:trPr>
        <w:tc>
          <w:tcPr>
            <w:tcW w:w="3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22</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Volvo Car Corporation (“Volvo Cars”)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Volvo Cars. The business address of Volvo Cars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Jim Rowan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Maria Hemberg</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Johan Ekdahl</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PSD Capital Limited (“PSD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PSD Capital. The business address of PSD Capital is Craigmuir Chambers, Road Town, Tortola, VG 1110, British Virgin Islands.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Volvo Car AB (“VCAB”)</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VCAB. The business address of VCAB is Avd. 50090 HB3S, 405 31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Jim Rowan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Ardian Avdullahu</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Thomas Johnstone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Direcotr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Mossberg</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Diarmuid O’Connell</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Björn Olsson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Jörgen Olsson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 (Employee Representative)</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Jonas Samuelsson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 Schröder</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Denmark</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Lilla Tretikov</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Winfried Vahland</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Anna Margitin Blomberg</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Marie Stenqvist</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Deputy Director (Employee Representative)</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Geely Sweden Holdings AB (“Geely Sweden”)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Geely Sweden. The business address of Geely Sweden is Box 10038, 400 70 Göteborg, Sweden.</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25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Hans Erik Oscarsson</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Lone Fönss Schröder</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Denmark</w:t>
            </w:r>
          </w:p>
        </w:tc>
      </w:tr>
      <w:tr>
        <w:trPr>
          <w:trHeight w:val="649"/>
        </w:trPr>
        <w:tc>
          <w:tcPr>
            <w:tcW w:w="3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23</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Shanghai Geely Zhaoyuan International Investment Co., Ltd (“Shanghai Geely”)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Shanghai Geely. The business address of Shanghai Geely is Room 1478, Building 10, No. 1630 Yecheng Road, Jiangding District, Shanghai,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Conghui An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Zhaoxing Wang</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Xueliang Yu</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Wanyuan International Investment Co. Ltd (“Beijing Geely Wanyuan”)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Wanyuan. The business address of Beijing Geely Wanyuan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Conghui An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Zhaoxing Wang</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Beijing Geely Kaisheng International Investment Co., Ltd. (“Beijing Geely Kaisheng”)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Beijing Geely Kaisheng. The business address of Beijing Geely Kaisheng is Room 409, Level 4, Building 4, Yard 4, Yongchang Zhong Road, Beijing Economic-Technological Development Area, Beijing,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Conghui An</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Zhaoxing Wang</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Zhejiang Geely Holding Group Company Limited (“Zhejiang Geely”)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the principal employer of each such individual is Zhejiang Geely. The business address of Zhejiang Geely is No. 1760 Jiangling Road, Binjiang District, Hangzhou, Zhejiang, China.</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1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2560" w:type="dxa"/>
            <w:vAlign w:val="bottom"/>
            <w:tcBorders>
              <w:top w:val="single" w:sz="8" w:color="auto"/>
              <w:bottom w:val="single" w:sz="8" w:color="auto"/>
              <w:right w:val="single" w:sz="8" w:color="auto"/>
            </w:tcBorders>
          </w:tcPr>
          <w:p>
            <w:pPr>
              <w:spacing w:after="0"/>
              <w:rPr>
                <w:sz w:val="19"/>
                <w:szCs w:val="19"/>
                <w:color w:val="auto"/>
              </w:rPr>
            </w:pP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Shufu Li</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Donghui Li</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Jian Yang</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Hong Sun</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Weilie Ye</w:t>
            </w:r>
          </w:p>
        </w:tc>
        <w:tc>
          <w:tcPr>
            <w:tcW w:w="1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56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648"/>
        </w:trPr>
        <w:tc>
          <w:tcPr>
            <w:tcW w:w="37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730"/>
              <w:spacing w:after="0"/>
              <w:rPr>
                <w:sz w:val="20"/>
                <w:szCs w:val="20"/>
                <w:color w:val="auto"/>
              </w:rPr>
            </w:pPr>
            <w:r>
              <w:rPr>
                <w:rFonts w:ascii="Times New Roman" w:cs="Times New Roman" w:eastAsia="Times New Roman" w:hAnsi="Times New Roman"/>
                <w:sz w:val="18"/>
                <w:szCs w:val="18"/>
                <w:color w:val="auto"/>
              </w:rPr>
              <w:t>24</w:t>
            </w:r>
          </w:p>
        </w:tc>
        <w:tc>
          <w:tcPr>
            <w:tcW w:w="3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737B8DDC"/>
    <w:multiLevelType w:val="hybridMultilevel"/>
    <w:lvl w:ilvl="0">
      <w:lvlJc w:val="left"/>
      <w:lvlText w:val="%1"/>
      <w:numFmt w:val="decimal"/>
      <w:start w:val="1"/>
    </w:lvl>
    <w:lvl w:ilvl="1">
      <w:lvlJc w:val="left"/>
      <w:lvlText w:val="%2."/>
      <w:numFmt w:val="decimal"/>
      <w:start w:val="10"/>
    </w:lvl>
  </w:abstractNum>
  <w:abstractNum w:abstractNumId="3">
    <w:nsid w:val="6CEAF087"/>
    <w:multiLevelType w:val="hybridMultilevel"/>
    <w:lvl w:ilvl="0">
      <w:lvlJc w:val="left"/>
      <w:lvlText w:val="%1."/>
      <w:numFmt w:val="decimal"/>
      <w:start w:val="11"/>
    </w:lvl>
    <w:lvl w:ilvl="1">
      <w:lvlJc w:val="left"/>
      <w:lvlText w:val="%2"/>
      <w:numFmt w:val="decimal"/>
      <w:start w:val="1"/>
    </w:lvl>
  </w:abstractNum>
  <w:abstractNum w:abstractNumId="4">
    <w:nsid w:val="22221A70"/>
    <w:multiLevelType w:val="hybridMultilevel"/>
    <w:lvl w:ilvl="0">
      <w:lvlJc w:val="left"/>
      <w:lvlText w:val="%1"/>
      <w:numFmt w:val="decimal"/>
      <w:start w:val="1"/>
    </w:lvl>
    <w:lvl w:ilvl="1">
      <w:lvlJc w:val="left"/>
      <w:lvlText w:val="%2."/>
      <w:numFmt w:val="decimal"/>
      <w:start w:val="13"/>
    </w:lvl>
  </w:abstractNum>
  <w:abstractNum w:abstractNumId="5">
    <w:nsid w:val="4516DDE9"/>
    <w:multiLevelType w:val="hybridMultilevel"/>
    <w:lvl w:ilvl="0">
      <w:lvlJc w:val="left"/>
      <w:lvlText w:val="(%1)"/>
      <w:numFmt w:val="decimal"/>
      <w:start w:val="1"/>
    </w:lvl>
    <w:lvl w:ilvl="1">
      <w:lvlJc w:val="left"/>
      <w:lvlText w:val="%2"/>
      <w:numFmt w:val="decimal"/>
      <w:start w:val="1"/>
    </w:lvl>
  </w:abstractNum>
  <w:abstractNum w:abstractNumId="6">
    <w:nsid w:val="3006C83E"/>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614FD4A1"/>
    <w:multiLevelType w:val="hybridMultilevel"/>
    <w:lvl w:ilvl="0">
      <w:lvlJc w:val="left"/>
      <w:lvlText w:val="%1"/>
      <w:numFmt w:val="decimal"/>
      <w:start w:val="1"/>
    </w:lvl>
    <w:lvl w:ilvl="1">
      <w:lvlJc w:val="left"/>
      <w:lvlText w:val="%2."/>
      <w:numFmt w:val="decimal"/>
      <w:start w:val="10"/>
    </w:lvl>
  </w:abstractNum>
  <w:abstractNum w:abstractNumId="8">
    <w:nsid w:val="419AC241"/>
    <w:multiLevelType w:val="hybridMultilevel"/>
    <w:lvl w:ilvl="0">
      <w:lvlJc w:val="left"/>
      <w:lvlText w:val="%1."/>
      <w:numFmt w:val="decimal"/>
      <w:start w:val="11"/>
    </w:lvl>
    <w:lvl w:ilvl="1">
      <w:lvlJc w:val="left"/>
      <w:lvlText w:val="%2"/>
      <w:numFmt w:val="decimal"/>
      <w:start w:val="1"/>
    </w:lvl>
  </w:abstractNum>
  <w:abstractNum w:abstractNumId="9">
    <w:nsid w:val="5577F8E1"/>
    <w:multiLevelType w:val="hybridMultilevel"/>
    <w:lvl w:ilvl="0">
      <w:lvlJc w:val="left"/>
      <w:lvlText w:val="%1"/>
      <w:numFmt w:val="decimal"/>
      <w:start w:val="1"/>
    </w:lvl>
    <w:lvl w:ilvl="1">
      <w:lvlJc w:val="left"/>
      <w:lvlText w:val="%2."/>
      <w:numFmt w:val="decimal"/>
      <w:start w:val="13"/>
    </w:lvl>
  </w:abstractNum>
  <w:abstractNum w:abstractNumId="10">
    <w:nsid w:val="440BADFC"/>
    <w:multiLevelType w:val="hybridMultilevel"/>
    <w:lvl w:ilvl="0">
      <w:lvlJc w:val="left"/>
      <w:lvlText w:val="(%1)"/>
      <w:numFmt w:val="decimal"/>
      <w:start w:val="1"/>
    </w:lvl>
    <w:lvl w:ilvl="1">
      <w:lvlJc w:val="left"/>
      <w:lvlText w:val="%2"/>
      <w:numFmt w:val="decimal"/>
      <w:start w:val="1"/>
    </w:lvl>
  </w:abstractNum>
  <w:abstractNum w:abstractNumId="11">
    <w:nsid w:val="5072367"/>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2">
    <w:nsid w:val="3804823E"/>
    <w:multiLevelType w:val="hybridMultilevel"/>
    <w:lvl w:ilvl="0">
      <w:lvlJc w:val="left"/>
      <w:lvlText w:val="%1"/>
      <w:numFmt w:val="decimal"/>
      <w:start w:val="1"/>
    </w:lvl>
    <w:lvl w:ilvl="1">
      <w:lvlJc w:val="left"/>
      <w:lvlText w:val="%2."/>
      <w:numFmt w:val="decimal"/>
      <w:start w:val="10"/>
    </w:lvl>
  </w:abstractNum>
  <w:abstractNum w:abstractNumId="13">
    <w:nsid w:val="77465F01"/>
    <w:multiLevelType w:val="hybridMultilevel"/>
    <w:lvl w:ilvl="0">
      <w:lvlJc w:val="left"/>
      <w:lvlText w:val="%1."/>
      <w:numFmt w:val="decimal"/>
      <w:start w:val="11"/>
    </w:lvl>
    <w:lvl w:ilvl="1">
      <w:lvlJc w:val="left"/>
      <w:lvlText w:val="%2"/>
      <w:numFmt w:val="decimal"/>
      <w:start w:val="1"/>
    </w:lvl>
  </w:abstractNum>
  <w:abstractNum w:abstractNumId="14">
    <w:nsid w:val="7724C67E"/>
    <w:multiLevelType w:val="hybridMultilevel"/>
    <w:lvl w:ilvl="0">
      <w:lvlJc w:val="left"/>
      <w:lvlText w:val="%1"/>
      <w:numFmt w:val="decimal"/>
      <w:start w:val="1"/>
    </w:lvl>
    <w:lvl w:ilvl="1">
      <w:lvlJc w:val="left"/>
      <w:lvlText w:val="%2."/>
      <w:numFmt w:val="decimal"/>
      <w:start w:val="13"/>
    </w:lvl>
  </w:abstractNum>
  <w:abstractNum w:abstractNumId="15">
    <w:nsid w:val="5C482A97"/>
    <w:multiLevelType w:val="hybridMultilevel"/>
    <w:lvl w:ilvl="0">
      <w:lvlJc w:val="left"/>
      <w:lvlText w:val="(%1)"/>
      <w:numFmt w:val="decimal"/>
      <w:start w:val="1"/>
    </w:lvl>
    <w:lvl w:ilvl="1">
      <w:lvlJc w:val="left"/>
      <w:lvlText w:val="%2"/>
      <w:numFmt w:val="decimal"/>
      <w:start w:val="1"/>
    </w:lvl>
  </w:abstractNum>
  <w:abstractNum w:abstractNumId="16">
    <w:nsid w:val="2463B9E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7">
    <w:nsid w:val="5E884ADC"/>
    <w:multiLevelType w:val="hybridMultilevel"/>
    <w:lvl w:ilvl="0">
      <w:lvlJc w:val="left"/>
      <w:lvlText w:val="%1"/>
      <w:numFmt w:val="decimal"/>
      <w:start w:val="1"/>
    </w:lvl>
    <w:lvl w:ilvl="1">
      <w:lvlJc w:val="left"/>
      <w:lvlText w:val="%2."/>
      <w:numFmt w:val="decimal"/>
      <w:start w:val="10"/>
    </w:lvl>
  </w:abstractNum>
  <w:abstractNum w:abstractNumId="18">
    <w:nsid w:val="51EAD36B"/>
    <w:multiLevelType w:val="hybridMultilevel"/>
    <w:lvl w:ilvl="0">
      <w:lvlJc w:val="left"/>
      <w:lvlText w:val="%1."/>
      <w:numFmt w:val="decimal"/>
      <w:start w:val="11"/>
    </w:lvl>
    <w:lvl w:ilvl="1">
      <w:lvlJc w:val="left"/>
      <w:lvlText w:val="%2"/>
      <w:numFmt w:val="decimal"/>
      <w:start w:val="1"/>
    </w:lvl>
  </w:abstractNum>
  <w:abstractNum w:abstractNumId="19">
    <w:nsid w:val="2D517796"/>
    <w:multiLevelType w:val="hybridMultilevel"/>
    <w:lvl w:ilvl="0">
      <w:lvlJc w:val="left"/>
      <w:lvlText w:val="%1"/>
      <w:numFmt w:val="decimal"/>
      <w:start w:val="1"/>
    </w:lvl>
    <w:lvl w:ilvl="1">
      <w:lvlJc w:val="left"/>
      <w:lvlText w:val="%2."/>
      <w:numFmt w:val="decimal"/>
      <w:start w:val="13"/>
    </w:lvl>
  </w:abstractNum>
  <w:abstractNum w:abstractNumId="20">
    <w:nsid w:val="580BD78F"/>
    <w:multiLevelType w:val="hybridMultilevel"/>
    <w:lvl w:ilvl="0">
      <w:lvlJc w:val="left"/>
      <w:lvlText w:val="(%1)"/>
      <w:numFmt w:val="decimal"/>
      <w:start w:val="1"/>
    </w:lvl>
    <w:lvl w:ilvl="1">
      <w:lvlJc w:val="left"/>
      <w:lvlText w:val="%2"/>
      <w:numFmt w:val="decimal"/>
      <w:start w:val="1"/>
    </w:lvl>
  </w:abstractNum>
  <w:abstractNum w:abstractNumId="21">
    <w:nsid w:val="153EA438"/>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2">
    <w:nsid w:val="3855585C"/>
    <w:multiLevelType w:val="hybridMultilevel"/>
    <w:lvl w:ilvl="0">
      <w:lvlJc w:val="left"/>
      <w:lvlText w:val="%1"/>
      <w:numFmt w:val="decimal"/>
      <w:start w:val="1"/>
    </w:lvl>
    <w:lvl w:ilvl="1">
      <w:lvlJc w:val="left"/>
      <w:lvlText w:val="%2."/>
      <w:numFmt w:val="decimal"/>
      <w:start w:val="10"/>
    </w:lvl>
  </w:abstractNum>
  <w:abstractNum w:abstractNumId="23">
    <w:nsid w:val="70A64E2A"/>
    <w:multiLevelType w:val="hybridMultilevel"/>
    <w:lvl w:ilvl="0">
      <w:lvlJc w:val="left"/>
      <w:lvlText w:val="%1."/>
      <w:numFmt w:val="decimal"/>
      <w:start w:val="11"/>
    </w:lvl>
    <w:lvl w:ilvl="1">
      <w:lvlJc w:val="left"/>
      <w:lvlText w:val="%2"/>
      <w:numFmt w:val="decimal"/>
      <w:start w:val="1"/>
    </w:lvl>
  </w:abstractNum>
  <w:abstractNum w:abstractNumId="24">
    <w:nsid w:val="6A2342EC"/>
    <w:multiLevelType w:val="hybridMultilevel"/>
    <w:lvl w:ilvl="0">
      <w:lvlJc w:val="left"/>
      <w:lvlText w:val="%1"/>
      <w:numFmt w:val="decimal"/>
      <w:start w:val="1"/>
    </w:lvl>
    <w:lvl w:ilvl="1">
      <w:lvlJc w:val="left"/>
      <w:lvlText w:val="%2."/>
      <w:numFmt w:val="decimal"/>
      <w:start w:val="13"/>
    </w:lvl>
  </w:abstractNum>
  <w:abstractNum w:abstractNumId="25">
    <w:nsid w:val="2A487CB0"/>
    <w:multiLevelType w:val="hybridMultilevel"/>
    <w:lvl w:ilvl="0">
      <w:lvlJc w:val="left"/>
      <w:lvlText w:val="(%1)"/>
      <w:numFmt w:val="decimal"/>
      <w:start w:val="1"/>
    </w:lvl>
    <w:lvl w:ilvl="1">
      <w:lvlJc w:val="left"/>
      <w:lvlText w:val="%2"/>
      <w:numFmt w:val="decimal"/>
      <w:start w:val="1"/>
    </w:lvl>
  </w:abstractNum>
  <w:abstractNum w:abstractNumId="26">
    <w:nsid w:val="1D4ED4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7">
    <w:nsid w:val="725A06FB"/>
    <w:multiLevelType w:val="hybridMultilevel"/>
    <w:lvl w:ilvl="0">
      <w:lvlJc w:val="left"/>
      <w:lvlText w:val="%1"/>
      <w:numFmt w:val="decimal"/>
      <w:start w:val="1"/>
    </w:lvl>
    <w:lvl w:ilvl="1">
      <w:lvlJc w:val="left"/>
      <w:lvlText w:val="%2."/>
      <w:numFmt w:val="decimal"/>
      <w:start w:val="10"/>
    </w:lvl>
  </w:abstractNum>
  <w:abstractNum w:abstractNumId="28">
    <w:nsid w:val="2CD89A32"/>
    <w:multiLevelType w:val="hybridMultilevel"/>
    <w:lvl w:ilvl="0">
      <w:lvlJc w:val="left"/>
      <w:lvlText w:val="%1."/>
      <w:numFmt w:val="decimal"/>
      <w:start w:val="11"/>
    </w:lvl>
    <w:lvl w:ilvl="1">
      <w:lvlJc w:val="left"/>
      <w:lvlText w:val="%2"/>
      <w:numFmt w:val="decimal"/>
      <w:start w:val="1"/>
    </w:lvl>
  </w:abstractNum>
  <w:abstractNum w:abstractNumId="29">
    <w:nsid w:val="57E4CCAF"/>
    <w:multiLevelType w:val="hybridMultilevel"/>
    <w:lvl w:ilvl="0">
      <w:lvlJc w:val="left"/>
      <w:lvlText w:val="%1"/>
      <w:numFmt w:val="decimal"/>
      <w:start w:val="1"/>
    </w:lvl>
    <w:lvl w:ilvl="1">
      <w:lvlJc w:val="left"/>
      <w:lvlText w:val="%2."/>
      <w:numFmt w:val="decimal"/>
      <w:start w:val="13"/>
    </w:lvl>
  </w:abstractNum>
  <w:abstractNum w:abstractNumId="30">
    <w:nsid w:val="7A6D8D3C"/>
    <w:multiLevelType w:val="hybridMultilevel"/>
    <w:lvl w:ilvl="0">
      <w:lvlJc w:val="left"/>
      <w:lvlText w:val="(%1)"/>
      <w:numFmt w:val="decimal"/>
      <w:start w:val="1"/>
    </w:lvl>
    <w:lvl w:ilvl="1">
      <w:lvlJc w:val="left"/>
      <w:lvlText w:val="%2"/>
      <w:numFmt w:val="decimal"/>
      <w:start w:val="1"/>
    </w:lvl>
  </w:abstractNum>
  <w:abstractNum w:abstractNumId="31">
    <w:nsid w:val="4B588F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2">
    <w:nsid w:val="542289EC"/>
    <w:multiLevelType w:val="hybridMultilevel"/>
    <w:lvl w:ilvl="0">
      <w:lvlJc w:val="left"/>
      <w:lvlText w:val="%1"/>
      <w:numFmt w:val="decimal"/>
      <w:start w:val="1"/>
    </w:lvl>
    <w:lvl w:ilvl="1">
      <w:lvlJc w:val="left"/>
      <w:lvlText w:val="%2."/>
      <w:numFmt w:val="decimal"/>
      <w:start w:val="10"/>
    </w:lvl>
  </w:abstractNum>
  <w:abstractNum w:abstractNumId="33">
    <w:nsid w:val="6DE91B18"/>
    <w:multiLevelType w:val="hybridMultilevel"/>
    <w:lvl w:ilvl="0">
      <w:lvlJc w:val="left"/>
      <w:lvlText w:val="%1."/>
      <w:numFmt w:val="decimal"/>
      <w:start w:val="11"/>
    </w:lvl>
    <w:lvl w:ilvl="1">
      <w:lvlJc w:val="left"/>
      <w:lvlText w:val="%2"/>
      <w:numFmt w:val="decimal"/>
      <w:start w:val="1"/>
    </w:lvl>
  </w:abstractNum>
  <w:abstractNum w:abstractNumId="34">
    <w:nsid w:val="38437FDB"/>
    <w:multiLevelType w:val="hybridMultilevel"/>
    <w:lvl w:ilvl="0">
      <w:lvlJc w:val="left"/>
      <w:lvlText w:val="%1"/>
      <w:numFmt w:val="decimal"/>
      <w:start w:val="1"/>
    </w:lvl>
    <w:lvl w:ilvl="1">
      <w:lvlJc w:val="left"/>
      <w:lvlText w:val="%2."/>
      <w:numFmt w:val="decimal"/>
      <w:start w:val="13"/>
    </w:lvl>
  </w:abstractNum>
  <w:abstractNum w:abstractNumId="35">
    <w:nsid w:val="7644A45C"/>
    <w:multiLevelType w:val="hybridMultilevel"/>
    <w:lvl w:ilvl="0">
      <w:lvlJc w:val="left"/>
      <w:lvlText w:val="(%1)"/>
      <w:numFmt w:val="decimal"/>
      <w:start w:val="1"/>
    </w:lvl>
    <w:lvl w:ilvl="1">
      <w:lvlJc w:val="left"/>
      <w:lvlText w:val="%2"/>
      <w:numFmt w:val="decimal"/>
      <w:start w:val="1"/>
    </w:lvl>
  </w:abstractNum>
  <w:abstractNum w:abstractNumId="36">
    <w:nsid w:val="32FFF90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37">
    <w:nsid w:val="684A481A"/>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decimal"/>
      <w:start w:val="10"/>
    </w:lvl>
  </w:abstractNum>
  <w:abstractNum w:abstractNumId="38">
    <w:nsid w:val="579478FE"/>
    <w:multiLevelType w:val="hybridMultilevel"/>
    <w:lvl w:ilvl="0">
      <w:lvlJc w:val="left"/>
      <w:lvlText w:val="%1"/>
      <w:numFmt w:val="decimal"/>
      <w:start w:val="1"/>
    </w:lvl>
    <w:lvl w:ilvl="1">
      <w:lvlJc w:val="left"/>
      <w:lvlText w:val="%2."/>
      <w:numFmt w:val="decimal"/>
      <w:start w:val="11"/>
    </w:lvl>
    <w:lvl w:ilvl="2">
      <w:lvlJc w:val="left"/>
      <w:lvlText w:val="%3"/>
      <w:numFmt w:val="lowerRoman"/>
      <w:start w:val="1"/>
    </w:lvl>
    <w:lvl w:ilvl="3">
      <w:lvlJc w:val="left"/>
      <w:lvlText w:val="%4"/>
      <w:numFmt w:val="decimal"/>
      <w:start w:val="1"/>
    </w:lvl>
  </w:abstractNum>
  <w:abstractNum w:abstractNumId="39">
    <w:nsid w:val="749ABB43"/>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decimal"/>
      <w:start w:val="1"/>
    </w:lvl>
  </w:abstractNum>
  <w:abstractNum w:abstractNumId="40">
    <w:nsid w:val="3DC240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1">
    <w:nsid w:val="1BA026FA"/>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decimal"/>
      <w:start w:val="10"/>
    </w:lvl>
  </w:abstractNum>
  <w:abstractNum w:abstractNumId="42">
    <w:nsid w:val="79A1DEAA"/>
    <w:multiLevelType w:val="hybridMultilevel"/>
    <w:lvl w:ilvl="0">
      <w:lvlJc w:val="left"/>
      <w:lvlText w:val="%1"/>
      <w:numFmt w:val="decimal"/>
      <w:start w:val="1"/>
    </w:lvl>
    <w:lvl w:ilvl="1">
      <w:lvlJc w:val="left"/>
      <w:lvlText w:val="%2."/>
      <w:numFmt w:val="decimal"/>
      <w:start w:val="11"/>
    </w:lvl>
    <w:lvl w:ilvl="2">
      <w:lvlJc w:val="left"/>
      <w:lvlText w:val="%3"/>
      <w:numFmt w:val="lowerRoman"/>
      <w:start w:val="1"/>
    </w:lvl>
    <w:lvl w:ilvl="3">
      <w:lvlJc w:val="left"/>
      <w:lvlText w:val="%4"/>
      <w:numFmt w:val="decimal"/>
      <w:start w:val="1"/>
    </w:lvl>
  </w:abstractNum>
  <w:abstractNum w:abstractNumId="43">
    <w:nsid w:val="75C6C33A"/>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decimal"/>
      <w:start w:val="1"/>
    </w:lvl>
  </w:abstractNum>
  <w:abstractNum w:abstractNumId="44">
    <w:nsid w:val="12E685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5">
    <w:nsid w:val="70C6A52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decimal"/>
      <w:start w:val="10"/>
    </w:lvl>
  </w:abstractNum>
  <w:abstractNum w:abstractNumId="46">
    <w:nsid w:val="520EEDD1"/>
    <w:multiLevelType w:val="hybridMultilevel"/>
    <w:lvl w:ilvl="0">
      <w:lvlJc w:val="left"/>
      <w:lvlText w:val="%1"/>
      <w:numFmt w:val="decimal"/>
      <w:start w:val="1"/>
    </w:lvl>
    <w:lvl w:ilvl="1">
      <w:lvlJc w:val="left"/>
      <w:lvlText w:val="%2."/>
      <w:numFmt w:val="decimal"/>
      <w:start w:val="11"/>
    </w:lvl>
    <w:lvl w:ilvl="2">
      <w:lvlJc w:val="left"/>
      <w:lvlText w:val="%3"/>
      <w:numFmt w:val="lowerRoman"/>
      <w:start w:val="1"/>
    </w:lvl>
    <w:lvl w:ilvl="3">
      <w:lvlJc w:val="left"/>
      <w:lvlText w:val="%4"/>
      <w:numFmt w:val="decimal"/>
      <w:start w:val="1"/>
    </w:lvl>
  </w:abstractNum>
  <w:abstractNum w:abstractNumId="47">
    <w:nsid w:val="374A3FE6"/>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decimal"/>
      <w:start w:val="1"/>
    </w:lvl>
  </w:abstractNum>
  <w:abstractNum w:abstractNumId="48">
    <w:nsid w:val="4F4EF005"/>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49">
    <w:nsid w:val="23F9C13C"/>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decimal"/>
      <w:start w:val="10"/>
    </w:lvl>
  </w:abstractNum>
  <w:abstractNum w:abstractNumId="50">
    <w:nsid w:val="649BB77C"/>
    <w:multiLevelType w:val="hybridMultilevel"/>
    <w:lvl w:ilvl="0">
      <w:lvlJc w:val="left"/>
      <w:lvlText w:val="%1"/>
      <w:numFmt w:val="decimal"/>
      <w:start w:val="1"/>
    </w:lvl>
    <w:lvl w:ilvl="1">
      <w:lvlJc w:val="left"/>
      <w:lvlText w:val="%2."/>
      <w:numFmt w:val="decimal"/>
      <w:start w:val="11"/>
    </w:lvl>
    <w:lvl w:ilvl="2">
      <w:lvlJc w:val="left"/>
      <w:lvlText w:val="%3"/>
      <w:numFmt w:val="lowerRoman"/>
      <w:start w:val="1"/>
    </w:lvl>
    <w:lvl w:ilvl="3">
      <w:lvlJc w:val="left"/>
      <w:lvlText w:val="%4"/>
      <w:numFmt w:val="decimal"/>
      <w:start w:val="1"/>
    </w:lvl>
  </w:abstractNum>
  <w:abstractNum w:abstractNumId="51">
    <w:nsid w:val="275AC794"/>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decimal"/>
      <w:start w:val="1"/>
    </w:lvl>
  </w:abstractNum>
  <w:abstractNum w:abstractNumId="52">
    <w:nsid w:val="39386575"/>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3">
    <w:nsid w:val="1CF10FD8"/>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decimal"/>
      <w:start w:val="10"/>
    </w:lvl>
  </w:abstractNum>
  <w:abstractNum w:abstractNumId="54">
    <w:nsid w:val="180115BE"/>
    <w:multiLevelType w:val="hybridMultilevel"/>
    <w:lvl w:ilvl="0">
      <w:lvlJc w:val="left"/>
      <w:lvlText w:val="%1"/>
      <w:numFmt w:val="decimal"/>
      <w:start w:val="1"/>
    </w:lvl>
    <w:lvl w:ilvl="1">
      <w:lvlJc w:val="left"/>
      <w:lvlText w:val="%2."/>
      <w:numFmt w:val="decimal"/>
      <w:start w:val="11"/>
    </w:lvl>
    <w:lvl w:ilvl="2">
      <w:lvlJc w:val="left"/>
      <w:lvlText w:val="%3"/>
      <w:numFmt w:val="lowerRoman"/>
      <w:start w:val="1"/>
    </w:lvl>
    <w:lvl w:ilvl="3">
      <w:lvlJc w:val="left"/>
      <w:lvlText w:val="%4"/>
      <w:numFmt w:val="decimal"/>
      <w:start w:val="1"/>
    </w:lvl>
  </w:abstractNum>
  <w:abstractNum w:abstractNumId="55">
    <w:nsid w:val="235BA861"/>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decimal"/>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7">
    <w:nsid w:val="354FE9F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decimal"/>
      <w:start w:val="10"/>
    </w:lvl>
  </w:abstractNum>
  <w:abstractNum w:abstractNumId="58">
    <w:nsid w:val="15B5AF5C"/>
    <w:multiLevelType w:val="hybridMultilevel"/>
    <w:lvl w:ilvl="0">
      <w:lvlJc w:val="left"/>
      <w:lvlText w:val="%1"/>
      <w:numFmt w:val="decimal"/>
      <w:start w:val="1"/>
    </w:lvl>
    <w:lvl w:ilvl="1">
      <w:lvlJc w:val="left"/>
      <w:lvlText w:val="%2."/>
      <w:numFmt w:val="decimal"/>
      <w:start w:val="11"/>
    </w:lvl>
    <w:lvl w:ilvl="2">
      <w:lvlJc w:val="left"/>
      <w:lvlText w:val="%3"/>
      <w:numFmt w:val="lowerRoman"/>
      <w:start w:val="1"/>
    </w:lvl>
    <w:lvl w:ilvl="3">
      <w:lvlJc w:val="left"/>
      <w:lvlText w:val="%4"/>
      <w:numFmt w:val="decimal"/>
      <w:start w:val="1"/>
    </w:lvl>
  </w:abstractNum>
  <w:abstractNum w:abstractNumId="59">
    <w:nsid w:val="741226BB"/>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lvl w:ilvl="3">
      <w:lvlJc w:val="left"/>
      <w:lvlText w:val="%4"/>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2022-12-23T12:25:54Z</dcterms:created>
  <dcterms:modified xsi:type="dcterms:W3CDTF">2022-12-23T12:25:54Z</dcterms:modified>
</cp:coreProperties>
</file>