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9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5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740"/>
          </w:cols>
          <w:pgMar w:left="320" w:top="700" w:right="8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001-41431</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0" w:lineRule="exact"/>
        <w:rPr>
          <w:sz w:val="24"/>
          <w:szCs w:val="24"/>
          <w:color w:val="auto"/>
        </w:rPr>
      </w:pPr>
    </w:p>
    <w:p>
      <w:pPr>
        <w:sectPr>
          <w:pgSz w:w="11900" w:h="16838" w:orient="portrait"/>
          <w:cols w:equalWidth="0" w:num="2">
            <w:col w:w="6720" w:space="720"/>
            <w:col w:w="3300"/>
          </w:cols>
          <w:pgMar w:left="320" w:top="700" w:right="839" w:bottom="1440" w:gutter="0" w:footer="0" w:header="0"/>
          <w:type w:val="continuous"/>
        </w:sectPr>
      </w:pPr>
    </w:p>
    <w:p>
      <w:pPr>
        <w:spacing w:after="0" w:line="1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405 31 Gothenburg, Sweden</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Michael Lohscheller</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Tel: +1 551 284 9479</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applies:</w:t>
      </w:r>
    </w:p>
    <w:p>
      <w:pPr>
        <w:spacing w:after="0" w:line="20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84" w:lineRule="exact"/>
        <w:rPr>
          <w:sz w:val="24"/>
          <w:szCs w:val="24"/>
          <w:color w:val="auto"/>
        </w:rPr>
      </w:pPr>
    </w:p>
    <w:p>
      <w:pPr>
        <w:spacing w:after="0"/>
        <w:tabs>
          <w:tab w:leader="none" w:pos="640" w:val="left"/>
          <w:tab w:leader="none" w:pos="80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Rule 13q-1 under the Securities Exchange Act (17 CFR 240.13q-1) for the fiscal year ended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4626610</wp:posOffset>
            </wp:positionH>
            <wp:positionV relativeFrom="paragraph">
              <wp:posOffset>17780</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0740"/>
          </w:cols>
          <w:pgMar w:left="320" w:top="700"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copy of the Conflict Minerals Report of Polestar Automotive Holding UK PLC (the “Company”) for the reporting period from January 1, 2025 to December 31, 2025 is filed as Exhibit 1.01 hereto.</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Company’s Conflict Minerals Report is also publicly available on the Company’s website at </w:t>
      </w:r>
      <w:r>
        <w:rPr>
          <w:rFonts w:ascii="Times New Roman" w:cs="Times New Roman" w:eastAsia="Times New Roman" w:hAnsi="Times New Roman"/>
          <w:sz w:val="18"/>
          <w:szCs w:val="18"/>
          <w:u w:val="single" w:color="auto"/>
          <w:color w:val="auto"/>
        </w:rPr>
        <w:t>https://www.polestar.com/global/legal/ethics/</w:t>
      </w:r>
      <w:r>
        <w:rPr>
          <w:rFonts w:ascii="Times New Roman" w:cs="Times New Roman" w:eastAsia="Times New Roman" w:hAnsi="Times New Roman"/>
          <w:sz w:val="18"/>
          <w:szCs w:val="18"/>
          <w:color w:val="auto"/>
        </w:rPr>
        <w:t>. The reference to the Company’s website is provided for convenience only, and its contents are not incorporated by reference into this Form SD and the Conflict Minerals Report nor deemed filed with the U.S.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as an exhibit to this Form SD, the Conflict Minerals Report required by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8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01</w:t>
            </w:r>
          </w:p>
        </w:tc>
        <w:tc>
          <w:tcPr>
            <w:tcW w:w="48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Conflict Minerals Report as required by Items 1.01 and 1.02 of this Form.</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4440" w:type="dxa"/>
            <w:vAlign w:val="bottom"/>
            <w:tcBorders>
              <w:top w:val="single" w:sz="8" w:color="0000EE"/>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 May 28, 2026</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c>
          <w:tcPr>
            <w:tcW w:w="58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8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c>
          <w:tcPr>
            <w:tcW w:w="5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 May 28, 2026</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c>
          <w:tcPr>
            <w:tcW w:w="58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84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4836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 by Polestar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Ending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This report has been prepared by the management of Polestar Automotive Holding UK PLC (herein referred to as “Polestar,” the “Company,” “we,” “us,” or “our”). The information includes the activities of all majority-owned subsidiaries and variable interest entities that are required to be consolidated.</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Polestar is a Swedish electric performance car brand focused on uncompromised design and innovation, with the ambition to accelerate the transition toward a more sustainable future. Polestar operates an asset-light business model and relies on strategic partners, including Volvo Cars and Geely, for vehicle manufacturing, supplier contracting, technology platforms and certain product development activities. As a result, Polestar’s access to supplier and sub-supplier information is exercised largely through these partners under contractual and cooperative arrangements.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Volvo Cars is a significant shareholder in Polestar, and Geely is Polestar’s ultimate controlling shareholder; transactions with these parties are conducted under contractual and related-party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is headquartered in Gothenburg, Sweden, and its cars are available in 28 markets globally across North America, Europe and Asia Pacific.</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Polestar’s current model portfolio includes the Polestar 2, Polestar 3 and Polestar 4. The Polestar 5 is planned for production in 2026. Additional models, including the Polestar 6 and Polestar 7, are in various stages of development and planning and remain subject to change in scope, timing and market availability, depending on product development progress, regulatory approvals, manufacturing readiness and market conditions.</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Polestar vehicles are manufactured by contract manufacturing partners in multiple regions, including Asia and North America. Polestar does not operate large-scale vehicle manufacturing facilities of its own and relies on its manufacturing partners for production execution and supplier contracting. Polestar plans to further diversify its manufacturing footprint, with production of the Polestar 7 planned in Europe.</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Report includes statements that express Polestar’s opinions, expectations, beliefs, plans, objectives, assumptions or projections regarding future events or future results and therefore are, or may be deemed to be, “forward-looking statements” as defined in Section 27A of the U.S.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due diligence of suppliers, risk mitigation measures, and efforts to increase transparency through data collection and risk evaluation.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and “Cautionary Note Regarding Forward-Looking Statements” in Polestar’s Form 20-F, and other documents filed, or to be filed, with the SEC by Polestar. Should one or more of these risks or uncertainties materialize, or should any of the assumptions prove incorrect, actual results may vary in material respects from those projected in these forward-looking statements.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Nothing in this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Polestar is committed to complying with the requirements and upholding responsible sourcing practices. As such the Company has put into place a robust due diligence program to help ensure its contributions to upholding human rights and responsible practices across the supply chain.</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For the 2025 calendar year, Polestar determined that tin, tungsten, tantalum, and/or gold (3TGs) were necessary to the functionality or production of its Polestar 2, Polestar 3, Polestar 4 and Polestar 5 product lines that were contracted to be manufactured. These Polestar-branded vehicles, and the components contained in them, are the only products in scope for this Conflict Minerals Report because 3TGs are necessary to the functionality or production of their electronic and other systems. Therefore, Polestar conducted a reasonable country of origin inquiry in good faith to determine whether any of the 3TGs in its products originated from the Democratic Republic of the Congo (DRC) or an adjoining country (collectively referred to as the “Covered Countries”), which are Conflict-Affected and High Risk Areas (CAHRAs).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this reasonable country of origin inquiry (RCOI) and country of origin data obtained, Polestar has reason to believe that some of the necessary 3TGs in its in-scope products may have originated in the Covered Countries and may have not come from recycled or scrap sources, therefore, in accordance with Section 1502 of the Dodd-Frank Wall Street Reform and Consumer Protection Act (from here on referred to “Section 1502 of the Dodd-Frank Act” or “the Rule”), Polestar undertook due diligence to determine the source and chain of custody of the 3TGs in question ” The Company designed its due diligence measures to conform, in all material respects, with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Conflict Minerals Program &amp; Policy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actively engaged with suppliers with respect to the use of conflict minerals. Polestar adopted a Conflict Minerals Position articulating the conflict minerals supply chain due diligence process and the Company’s commitments to reporting obligations regarding conflict minerals. The Conflict Minerals Position is available online, and can be found here: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https://www.polestar.com/global/legal/ethics/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contributed to industry efforts to address conflict minerals through involvement on the Polestar Board and through serving as an active and affiliate member of the Responsible Business Alliance (RBA) and the Responsible Minerals Initiative (RMI). This engagement and the contributions made have helped develop standards, best practices, and tools that benefit all companies working to end the link between 3TGs and conflict in the DRC and other Conflict-Affected and High-Risk Areas (CAHRAs)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22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Polestar conducted its reasonable country of origin inquiry (RCOI) in good faith and reasonably designed it to determine whether any of the necessary 3TGs in its in-scope products originated in the Covered Countries or came from recycled or scrap sources. To determine whether necessary 3TGs in products originated in the Covered Countries, Polestar retained Assent Inc. (“Assent”), a third-party service provider, to assist Polestar in reviewing the supply chain and identifying risks. Polestar provided a list composed of suppliers and parts associated with the in-scope products to Assent for upload to the Assent Compliance Manager. To trace materials, and demonstrate transparency procured by the supply chain, Polestar utilized the Conflict Minerals Reporting Template (CMRT) Version 6.5 or higher to conduct a survey of all in-scope suppliers.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2025 calendar year, Volvo Cars has manufactured Polestar cars and contracted the suppliers of components and parts used in Polestar 2 and 3, and Geely has manufactured and contracted the suppliers of components and parts used in Polestar 4 and Polestar 5. During the CMRT campaign 2025/2026 there were two tier 1 suppliers, Volvo Cars and Geely in the scope as manufacturing partners of the conflict minerals program/survey. Volvo Cars and Geely provided a completed CMRT. The Company’s total response rate for this reporting year was 100%</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Polestar conducted further actions to identify Tier 2 suppliers, which are Volvo Cars’ and Geely’s direct material suppliers, to track program gaps of Polestar 2,3, 4 and 5 and discuss with our Tier 1 and business partners future improvement opportunities.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Polestar’s is using the Assent Compliance Manager, a software-as-a-service (SaaS) platform provided by Assent, which enables users to complete and track supplier communications and allows suppliers to upload completed CMRTs directly to the platform for validation, assessment and management.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Assent Compliance Manager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Via the Assent Compliance Manager and Assent team, the Company requested that all suppliers complete a CMRT. Training and education to guide suppliers on best practices and the use of this template was included. Assent monitored and tracked all communications in the Assent Compliance Manager for future reporting and transparency. According to the process, Assent, on behalf of Polestar, has contacted suppliers that are unresponsive to Assent’s communications during the diligence process and request these suppliers to complete the CMRT and submit it to Assent.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84836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t>Polestar’s program includes automated data validation on all submitted CMRTs. The goal of data validation is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and Tier 2 suppliers. The results of this data validation contribute to the program’s health assessment and are shared with the suppliers to ensure they understand areas that require clarification or improvement.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submitted declaration forms are accepted so that data is retained, but they are classified as valid or invalid based on a set criteria of validation errors (see Appendix C for CMRT validation criteria). Suppliers are contacted regarding invalid forms and are encouraged to correct validated errors to resubmit a valid form. Suppliers are provided with guidance on how to correct these validation errors in the form of feedback to their CMRT submission, training courses, and direct engagement help through Assent’s multilingual Supplier Experience team. Since some suppliers may remain unresponsive to feedback, Polestar tracks program gaps to account for future improvement opportunities.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Through reasonable RCOI practices, Polestar was able to take advantage of a broader set of country-of-origin data to complement efforts in establishing transparency in the supply chain. Based on the findings, Polestar determined all the possible countries minerals (such as 3TGs) used in its product originated from. As such, Polestar can then perform additional diligence on the source and chain of custody of the minerals in question.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this RCOI, Polestar has reason to believe that some of the necessary 3TGs in its in-scope products may have originated in the Covered Countries and may not have come from recycled or scrap sources, Polestar therefore exercised due diligence on the source and chain of custody of such 3TGs.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Polestar designed its due diligence measures to conform, in all material respects, with the framework in the OECD Guidance and the related supplements. The program aligns with the five steps for due diligence that are described by the OECD Guidance and the Company applied these measures for the 2025 reporting year and continues to evaluate market expectations for data collection and reporting to achieve continuous improvement opportunities.</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Due diligence requires the Company’s necessary reliance on data provided by direct suppliers and third-party audit programs. There is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7" w:name="page8"/>
    <w:bookmarkEnd w:id="7"/>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84836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t>1)</w:t>
      </w:r>
      <w:r>
        <w:rPr>
          <w:sz w:val="20"/>
          <w:szCs w:val="20"/>
          <w:color w:val="auto"/>
        </w:rPr>
        <w:tab/>
      </w:r>
      <w:r>
        <w:rPr>
          <w:rFonts w:ascii="Times New Roman" w:cs="Times New Roman" w:eastAsia="Times New Roman" w:hAnsi="Times New Roman"/>
          <w:sz w:val="17"/>
          <w:szCs w:val="17"/>
          <w:i w:val="1"/>
          <w:iCs w:val="1"/>
          <w:color w:val="auto"/>
        </w:rPr>
        <w:t>Establish Strong Company Management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Internal Compliance Team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Polestar maintained during 2025 Conflict Minerals Compliance Team led by our Supply Chain Sustainability Manager and our Supply Chain Inclusion Expert. The Conflict Minerals Compliance Team is responsible for implementing the conflict minerals compliance strategy and briefing senior management about the result of these due diligence efforts.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Polestar also uses a third-party service provider, Assent, to assist with evaluating supply chain information regarding 3TGs, identifying potential risks, and in the development and implementation of additional due diligence steps that Polestar will undertake with suppliers and/or respective stakeholders about conflict minerals.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Polestar leverages Assent’s Managed Services to work with dedicated program specialists who support Polestar’s conflict minerals program. Polestar communicates regularly with the Assent team to receive updates on program status.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 Systems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Polestar expects all manufacturers and suppliers to have policies and procedures in place to ensure that 3TGs used in the production of the products supplied to Polestar do not directly or indirectly support non-state armed groups and thereby serious human rights abuses. Polestar expects direct suppliers to provide information on the origin of the 3TGs contained in components and materials supplied, including sources of 3TGs that are supplied to them from lower-tier suppliers.</w:t>
      </w:r>
    </w:p>
    <w:p>
      <w:pPr>
        <w:spacing w:after="0" w:line="1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Our manufacturing partners, Volvo Cars and Geely, are contractually bound to adhere to the principles set in our Code of Conduct for Business Partners. This code of conduct is based on industry and internationally accepted principles such as the United Nations Guiding Principles on Business and Human Rights and the OECD Due Diligence Guidance. The Code of Conduct for Business partners outlines expectation for responsible sourcing of minerals and metals Polestar’s Code of conduct for Business Partners can be found here: </w:t>
      </w:r>
      <w:r>
        <w:rPr>
          <w:rFonts w:ascii="Times New Roman" w:cs="Times New Roman" w:eastAsia="Times New Roman" w:hAnsi="Times New Roman"/>
          <w:sz w:val="18"/>
          <w:szCs w:val="18"/>
          <w:u w:val="single" w:color="auto"/>
          <w:color w:val="auto"/>
        </w:rPr>
        <w:t>https://www.polestar.com/global/legal/ethics/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Supplier Engagement</w:t>
      </w:r>
    </w:p>
    <w:p>
      <w:pPr>
        <w:spacing w:after="0" w:line="2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Polestar has a strong relationship with Tier 1 direct suppliers Volvo Cars and Geely and is also, through Volvo Cars and Geely, identifying response status of Tier 2 suppliers. Polestar’s Tier 1 and Tier 2 suppliers are able to leverage Assent’s team of supplier support specialists to ensure they receive appropriate support and understand how to properly complete a CMRT. Tier 1 and Tier 2 suppliers are provided guidance in their native language, if needed.</w:t>
      </w:r>
    </w:p>
    <w:p>
      <w:pPr>
        <w:spacing w:after="0" w:line="1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2025 calendar year, Polestar engaged with Volvo Cars and Geely directly to request a valid (free of validated errors) CMRT for the products that Volvo Cars and Geely supplies to Polestar.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Polestar places a strong emphasis on supplier education and training. To accomplish this, Assent’s online resources are leveraged, and all in-scope suppliers have been provided with access to their library of conflict minerals training and support resources. Also, Assent’s automated feedback process that notifies suppliers of risks associated with their CMRT submission serves to educate suppliers of certain conflict minerals’ risks.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Polestar believes that the combination of the Code of Conduct for Business partners, the Conflict Minerals Position, and direct engagement with suppliers for conflict minerals training and support constitute a strong supplier engagement program.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8" w:name="page9"/>
    <w:bookmarkEnd w:id="8"/>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Grievance Mechanisms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Polestar established grievance mechanisms whereby employees, suppliers and others outside Polestar can report grievances, suspected violations or other concerns to the Company, including conflict minerals. Suppliers and others outside of Polestar can direct such reports via the whistleblowing channel SpeakUp, which link is available in the Code of Conduct for Business partners, on Polestar’s external website and in other communications with suppliers. The link to Polestar’s SpeakUp channel is </w:t>
      </w:r>
      <w:r>
        <w:rPr>
          <w:rFonts w:ascii="Times New Roman" w:cs="Times New Roman" w:eastAsia="Times New Roman" w:hAnsi="Times New Roman"/>
          <w:sz w:val="18"/>
          <w:szCs w:val="18"/>
          <w:u w:val="single" w:color="auto"/>
          <w:color w:val="auto"/>
        </w:rPr>
        <w:t>https://www.polestar.com/global/legal/ethics/</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Violations or grievances at the industry level can be reported to the RMI directly as well at </w:t>
      </w:r>
      <w:r>
        <w:rPr>
          <w:rFonts w:ascii="Times New Roman" w:cs="Times New Roman" w:eastAsia="Times New Roman" w:hAnsi="Times New Roman"/>
          <w:sz w:val="18"/>
          <w:szCs w:val="18"/>
          <w:u w:val="single" w:color="auto"/>
          <w:color w:val="auto"/>
        </w:rPr>
        <w:t>http://www.responsiblemineralsinitiative.org/responsible-minerals-assurance-process/grievance-mechanism/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Maintain Records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Polestar has a policy to retain relevant documentation for a period of five years. Through Assent, a document retention policy to retain conflict minerals related documents, including supplier responses to CMRTs and the sources identified within each reporting period, has been implemented. Polestar stores all the information and findings from this process in a database that can be audited by internal or external parties.</w:t>
      </w:r>
    </w:p>
    <w:p>
      <w:pPr>
        <w:spacing w:after="0" w:line="17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Identifying &amp; Assessing Risk in the Supply Chain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Supplier Risk Evaluation</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Risks associated with Tier 1 suppliers’ due diligence processes as well as to some extent Tier 2 suppliers are assessed by their declaration responses on a CMRT, which the Assent Compliance Manager identifies automatically based on established criteria. These risks are addressed by members of Polestars internal Conflict Minerals Team, in collaboration with Assent staff, who engage with suppliers to gather pertinent data and ask for corrective actions if needed, performing an overall assessment of the supplier’s conformity status, which is referred to as “conflict minerals status.”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Risks at the supplier level may include non-responsive suppliers or incomplete CMRTs. In cases where a company-level CMRT (such as when a company declares there are no 3TGs in any of its products) is submitted, Polestar is unable to determine if all the specified smelters/refiners were used for 3TGs in the products supplied to the Company.</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Assent’s supplier risk assessment (flagging suppliers’ risk as high, medium, low) identifies problematic suppliers in a company’s supply chain. The risk assessment is derived from the smelter validation process, which establishes risk at the smelter level via an analysis that considers multiple conflict minerals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Smelter/Refiners Risk Evaluation</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supply chain risks were identified by assessing the due diligence practices and audit status of smelters/refiners identified in the supply chain by upstream suppliers that listed mineral processing facilities on their CMRT declarations. Assent’s Smelter validation program compared listed facilities to the list of smelters/refiners consolidated by the RMI to ensure that the facilities met the recognized definition of a 3TGs processing facility that was operational during the 2025 calendar year.</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Assent determined if the smelter had been audited against a standard in conformance with the OECD Guidance, such as the Responsible Minerals Assurance Process (RMAP). Polestar does not have a direct relationship with smelters/refiners and does not perform direct audits of these entities within their pre-supply chain.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 w:name="page10"/>
    <w:bookmarkEnd w:id="9"/>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ind w:right="20"/>
        <w:spacing w:after="0" w:line="261" w:lineRule="auto"/>
        <w:rPr>
          <w:sz w:val="20"/>
          <w:szCs w:val="20"/>
          <w:color w:val="auto"/>
        </w:rPr>
      </w:pPr>
      <w:r>
        <w:rPr>
          <w:rFonts w:ascii="Times New Roman" w:cs="Times New Roman" w:eastAsia="Times New Roman" w:hAnsi="Times New Roman"/>
          <w:sz w:val="18"/>
          <w:szCs w:val="18"/>
          <w:color w:val="auto"/>
        </w:rPr>
        <w:t>Smelters that are conformant to RMAP audit standards are considered to have their sourcing validated as conformant with that industry program’s due diligence standard, which is designed to be consistent with OECD Guidance.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in the OECD Guidance.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Assent uses numerous factors to determine the level of risk that each smelter poses to the supply chain by identifying red flags. These factors include:</w:t>
      </w:r>
    </w:p>
    <w:p>
      <w:pPr>
        <w:spacing w:after="0" w:line="2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Geographic proximity to Conflict-Affected and High-Risk Areas.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Known mineral source country of origin.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RMAP audit status.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Credible evidence of unethical or conflict sourcing.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Peer assessments conducted by credible third-party sources.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Sanctions risks</w:t>
      </w:r>
    </w:p>
    <w:p>
      <w:pPr>
        <w:spacing w:after="0" w:line="2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Risk mitigation activities are initiated whenever a supplier’s CMRT reports facilities of concern. Through Assent, suppliers with submissions that included any smelters of concern were immediately provided with feedback instructing suppliers to take their own independent risk mitigation actions. Examples include the submission of a product specific CMRT to better identify the connection to products that they supply to Polestar. Additional escalation may have been necessary to address any continued sourcing from these smelters of concern. Suppliers are given clear performance objectives within reasonable timeframes with the goal of progressive elimination of these smelters of concern from the supply 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suppliers are guided to the educational materials on mitigating the risks identified through the data collection process.</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16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3)</w:t>
      </w:r>
      <w:r>
        <w:rPr>
          <w:sz w:val="20"/>
          <w:szCs w:val="20"/>
          <w:color w:val="auto"/>
        </w:rPr>
        <w:tab/>
      </w:r>
      <w:r>
        <w:rPr>
          <w:rFonts w:ascii="Times New Roman" w:cs="Times New Roman" w:eastAsia="Times New Roman" w:hAnsi="Times New Roman"/>
          <w:sz w:val="17"/>
          <w:szCs w:val="17"/>
          <w:i w:val="1"/>
          <w:iCs w:val="1"/>
          <w:color w:val="auto"/>
        </w:rPr>
        <w:t>Design &amp; Implement A Strategy to Respond to Risks</w:t>
      </w:r>
    </w:p>
    <w:p>
      <w:pPr>
        <w:spacing w:after="0" w:line="22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Polestar, in consultation with Assent, has developed and implemented processes to assess and respond to the risks identified in the supply chain during 2025. Polestar has a risk management plan, through which the conflict minerals program is implemented, managed, and monitored. As the program progresses, escalations have been sent to non-responsive suppliers to outline the importance of a response via CMRTs and to outline the required cooperation for compliance to the conflict minerals regulations and the Company’s expectations.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Feedback on supplier submissions is given directly to suppliers and educational resources are provided to assist suppliers in corrective action methods or to improve their internal programs. In cases where suppliers have continuously been non-responsive or are not committed to corrective action plans, Polestar shall assess if replacing that supplier is feasible. The results of the program and risk assessment are shared with the Conflict Minerals Compliance Team and the Polestar’s Management Team to ensure transparency within the Company.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 the 2025 calendar year, Volvo Cars and Geely have contracted the suppliers manufacturing components and materials used in Polestar 2, 3,4 and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Volvo Cars’ and Geely, Polestar will discuss the outcome of conflict mineral reports and align necessary risk mitigation actions needed.</w:t>
      </w:r>
    </w:p>
    <w:p>
      <w:pPr>
        <w:spacing w:after="0" w:line="20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4)</w:t>
      </w:r>
      <w:r>
        <w:rPr>
          <w:sz w:val="20"/>
          <w:szCs w:val="20"/>
          <w:color w:val="auto"/>
        </w:rPr>
        <w:tab/>
      </w:r>
      <w:r>
        <w:rPr>
          <w:rFonts w:ascii="Times New Roman" w:cs="Times New Roman" w:eastAsia="Times New Roman" w:hAnsi="Times New Roman"/>
          <w:sz w:val="17"/>
          <w:szCs w:val="17"/>
          <w:i w:val="1"/>
          <w:iCs w:val="1"/>
          <w:color w:val="auto"/>
        </w:rPr>
        <w:t>Carry Out Independent Third-Party Audit of Supply Chain Due Diligence at Identified Points in the Supply Chain</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Polestar does not have a direct relationship with any 3TG smelters/refiners and does not perform or direct audits of these entities within the supply chain. Instead, Polestar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Assent directly engages smelters/refiners that are not currently enrolled in an industry recognized audit/assessment program to encourage their participation. Smelters/refiners already conformant to the corresponding program’s standards, are complemented for their efforts. Polestar is a signatory of these communications in accordance with the requirements of downstream companies detailed in the OECD Guidance.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Polestar’s membership with the RMI, smelters/refiners have been encouraged to participate in the RMAP. Any smelters/refiners that were reported by suppliers who were not part of the RMAP were also contacted directly by Assent to encourage them to participate in the RMAP.</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Polestar has not obtained an independent private sector audit of this Conflict Minerals Report. References in this report to audits of smelters or refiners relate to industry programs such as the RMAP and are not audits of Polestar’s Conflict Minerals Report.</w:t>
      </w:r>
    </w:p>
    <w:p>
      <w:pPr>
        <w:spacing w:after="0" w:line="16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5)</w:t>
      </w:r>
      <w:r>
        <w:rPr>
          <w:sz w:val="20"/>
          <w:szCs w:val="20"/>
          <w:color w:val="auto"/>
        </w:rPr>
        <w:tab/>
      </w:r>
      <w:r>
        <w:rPr>
          <w:rFonts w:ascii="Times New Roman" w:cs="Times New Roman" w:eastAsia="Times New Roman" w:hAnsi="Times New Roman"/>
          <w:sz w:val="17"/>
          <w:szCs w:val="17"/>
          <w:i w:val="1"/>
          <w:iCs w:val="1"/>
          <w:color w:val="auto"/>
        </w:rPr>
        <w:t>Report Annually on Supply Chain Due Diligence</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Polestar is publishing the Conflict Mineral Report for the year ended December 31, 2025. This report ismade available in the Ethics section of Polestar’s website at </w:t>
      </w:r>
      <w:r>
        <w:rPr>
          <w:rFonts w:ascii="Times New Roman" w:cs="Times New Roman" w:eastAsia="Times New Roman" w:hAnsi="Times New Roman"/>
          <w:sz w:val="18"/>
          <w:szCs w:val="18"/>
          <w:u w:val="single" w:color="auto"/>
          <w:color w:val="auto"/>
        </w:rPr>
        <w:t>https://www.polestar.com/global/legal/ethics/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Information found on or accessed through this website is not considered part of this report and is not incorporated by reference herein. Polestar has also publicly filed a Form SD and this report with the U.S. Securities and Exchange Commission (SEC).</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Polestar has also considered impacts from the EU Conflict Minerals Regulation when disclosing details with regard to due diligence efforts. Polestar will continue to expand efforts both for transparency through the data collection process and risk evaluation, as well as the disclosure of efforts through the form of public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Results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tin, tantalum, tungsten, and gold (</w:t>
      </w:r>
      <w:r>
        <w:rPr>
          <w:rFonts w:ascii="Times New Roman" w:cs="Times New Roman" w:eastAsia="Times New Roman" w:hAnsi="Times New Roman"/>
          <w:sz w:val="18"/>
          <w:szCs w:val="18"/>
          <w:u w:val="single" w:color="auto"/>
          <w:color w:val="auto"/>
        </w:rPr>
        <w:t>3TGs</w:t>
      </w:r>
      <w:r>
        <w:rPr>
          <w:rFonts w:ascii="Times New Roman" w:cs="Times New Roman" w:eastAsia="Times New Roman" w:hAnsi="Times New Roman"/>
          <w:sz w:val="18"/>
          <w:szCs w:val="18"/>
          <w:color w:val="auto"/>
        </w:rPr>
        <w:t>). Following the industry standard process, CMRTs are sent to and requested from Tier 1 suppliers, who are expected to follow and cascade this process until the smelter and refiner sources are identified. The following is the result of the outreach conducted by Polestar for the 2025 reporting year.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Supply Chain Outreach Metrics</w:t>
            </w: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2"/>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Number of in-scope</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Supplier Name Tier 1</w:t>
            </w:r>
          </w:p>
        </w:tc>
        <w:tc>
          <w:tcPr>
            <w:tcW w:w="19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Response rate Tier 1</w:t>
            </w: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suppliers Tier 2</w:t>
            </w:r>
          </w:p>
        </w:tc>
        <w:tc>
          <w:tcPr>
            <w:tcW w:w="18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Response rate</w:t>
            </w:r>
          </w:p>
        </w:tc>
      </w:tr>
      <w:tr>
        <w:trPr>
          <w:trHeight w:val="223"/>
        </w:trPr>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Geely</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87</w:t>
            </w:r>
          </w:p>
        </w:tc>
        <w:tc>
          <w:tcPr>
            <w:tcW w:w="2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r>
      <w:tr>
        <w:trPr>
          <w:trHeight w:val="23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VCC</w:t>
            </w:r>
          </w:p>
        </w:tc>
        <w:tc>
          <w:tcPr>
            <w:tcW w:w="1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100%</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163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Upstream Data Transparency</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Appendix A includes all smelters/refiners that Tier 1 and Tier 2 suppliers listed in completed CMRTs that met the recognized definition of a 3TGs processing facility and were operational during the 2025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processed the 3TGs contained in Polestar’s products.</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Suppliers that identified these specific smelters of concern on their CMRT were contacted in accordance with the OECD Guidance, as stipulated in the previous sections.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identified smelters/refiners</w:t>
            </w:r>
          </w:p>
        </w:tc>
      </w:tr>
      <w:tr>
        <w:trPr>
          <w:trHeight w:val="223"/>
        </w:trPr>
        <w:tc>
          <w:tcPr>
            <w:tcW w:w="8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 Conformant</w:t>
            </w:r>
          </w:p>
        </w:tc>
        <w:tc>
          <w:tcPr>
            <w:tcW w:w="1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RMAP Active</w:t>
            </w:r>
          </w:p>
        </w:tc>
        <w:tc>
          <w:tcPr>
            <w:tcW w:w="2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Enrolled</w:t>
            </w:r>
          </w:p>
        </w:tc>
        <w:tc>
          <w:tcPr>
            <w:tcW w:w="2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2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Country of Origin</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Appendix B includes an aggregated list of countries of origin from which the reported facilities collectively source 3TGs, based on reasonable identification of country-of-origin data obtained via Assent’s supply chain database (or other RCOI data, in the scenario Polestar decides to use alternative data sources).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mentioned in the above section, it is understood that overreporting might occur which could result in Appendix B having more countries than those strictly relevant to Polestar’s products. Smelters sourcing from sanctioned regions are identified as high-risk smelters during our CM due diligence.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Steps to Mitigate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has taken, or intends to take, the following steps to improve the due diligence conducted to further mitigate the risk that the necessary 3TGs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Polestar’s products could originate from Covered Countries and Conflict-Affected and High-Risk Areas (CAHRAs):</w:t>
      </w:r>
    </w:p>
    <w:p>
      <w:pPr>
        <w:spacing w:after="0" w:line="207" w:lineRule="exact"/>
        <w:rPr>
          <w:sz w:val="20"/>
          <w:szCs w:val="20"/>
          <w:color w:val="auto"/>
        </w:rPr>
      </w:pPr>
    </w:p>
    <w:p>
      <w:pPr>
        <w:ind w:left="980" w:right="1720" w:hanging="648"/>
        <w:spacing w:after="0" w:line="499" w:lineRule="auto"/>
        <w:tabs>
          <w:tab w:leader="none" w:pos="656"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evaluate upstream sources through a broader set of tools to evaluate risk. These include, but are not limited to: o Using a comprehensive smelter and refiner library with detailed status and notes for each entity.</w:t>
      </w:r>
    </w:p>
    <w:p>
      <w:pPr>
        <w:spacing w:after="0" w:line="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Scanning for verifiable media sources on each smelter and refiner to flag risk issues.</w:t>
      </w:r>
    </w:p>
    <w:p>
      <w:pPr>
        <w:spacing w:after="0" w:line="22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   Comparing the list of smelters/refiners against government watch and denied parties lists.</w:t>
      </w:r>
    </w:p>
    <w:p>
      <w:pPr>
        <w:spacing w:after="0" w:line="225"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Engage with our business partners and suppliers more closely and provide more information and training resources regarding responsible sourcing of 3TGs.</w:t>
      </w:r>
    </w:p>
    <w:p>
      <w:pPr>
        <w:spacing w:after="0" w:line="162" w:lineRule="exact"/>
        <w:rPr>
          <w:rFonts w:ascii="Arial" w:cs="Arial" w:eastAsia="Arial" w:hAnsi="Arial"/>
          <w:sz w:val="18"/>
          <w:szCs w:val="18"/>
          <w:b w:val="1"/>
          <w:bCs w:val="1"/>
          <w:color w:val="auto"/>
        </w:rPr>
      </w:pPr>
    </w:p>
    <w:p>
      <w:pPr>
        <w:ind w:left="660" w:right="68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Encourage business partners and suppliers to have due diligence procedures in place for their supply chains to improve the content of the responses from such suppliers.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include a conflict minerals flow-down clause in new or renewed supplier contracts.</w:t>
      </w:r>
    </w:p>
    <w:p>
      <w:pPr>
        <w:spacing w:after="0" w:line="224" w:lineRule="exact"/>
        <w:rPr>
          <w:rFonts w:ascii="Arial" w:cs="Arial" w:eastAsia="Arial" w:hAnsi="Arial"/>
          <w:sz w:val="18"/>
          <w:szCs w:val="18"/>
          <w:b w:val="1"/>
          <w:bCs w:val="1"/>
          <w:color w:val="auto"/>
        </w:rPr>
      </w:pPr>
    </w:p>
    <w:p>
      <w:pPr>
        <w:ind w:left="660" w:right="460" w:hanging="328"/>
        <w:spacing w:after="0" w:line="281"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Following the OECD Guidance process, increase the emphasis on clean and validated smelter and refiner information from the supply chain through feedback and detailed smelter analysis.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Smelter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mineral, smelter/refinery name, location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5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Smelter Facility Location</w:t>
            </w:r>
          </w:p>
        </w:tc>
        <w:tc>
          <w:tcPr>
            <w:tcW w:w="156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A.L.M.T. Corp.</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CID000004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CID000015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CID000019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Agosi AG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CID000035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CID000041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CID000058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Argor-Heraeus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CID000077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Pretec Corp.</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CID000082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Asaka Riken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CID000090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Kennametal Huntsville</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CID000105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Aurubis AG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CID000113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CID000128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Boliden Ronnskar</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CID000157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 Hafner GmbH + Co. KG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CID000176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Caridad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CID000180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CID000185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Cendres + Metaux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CID000189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CID000197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CID000218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CID000228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Chimet S.p.A.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CID000233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CID000258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Chugai Mining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CID000264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CID000291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CID000292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CID000309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CID000313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CID000343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DSC (Do Sung Corporation)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CID000359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CID000377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Dowa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CID000401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Dowa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CID000402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CID000425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 Vinto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CID000438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Estanho de Rondonia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CID000448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84836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CID000460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Fenix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CID000468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JSC Novosibirsk Refinery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CID000493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CID000538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CID000555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CID000568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CID000616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CID000671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LT Metal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CID000689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Heimerle + Meule GmbH</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CID000694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Hong Kong</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CID000707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CID000711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CID000767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CID000769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CID000773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HwaSeong CJ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CID000778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CID000801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CID000807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Istanbul Gold Refinery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CID000814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 Mint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CID000823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 New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CID000825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Copper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CID000855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CID000914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Tanbre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CID000917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Refining USA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CID000920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CID000924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CID000927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JSC Uralelectromed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CID000929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CID000937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CID000942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Kazakhmys Smelting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CID000956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Kazzinc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CID000957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Kennametal Fallon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CID000966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CID000969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Kojima Chemicals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CID000981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Kyrgyzaltyn JSC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Kyrgyzstan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CID001029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Lingbao Gold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CID001056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 Tin Group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CID001070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AMG Brasil</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CID001076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LS MnM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CID001078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CID001093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84836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Materion</w:t>
            </w:r>
          </w:p>
        </w:tc>
        <w:tc>
          <w:tcPr>
            <w:tcW w:w="3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CID001113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Matsuda Sangyo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CID001119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Metallic Resources,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CID001142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CID001147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CID001149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CID001152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CID001153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CID001157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CID001161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CID001163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Mineracao Taboca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CID001173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Mineracao Taboca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CID001175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Minsur</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CID001182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CID001188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CID001191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CID001192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CID001193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NPM Silmet AS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CID001200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CID001204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CID001220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CID001231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CID001236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Nihon Material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CID001259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CID001277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Novosibirsk Tin Combine</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CID001305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CID001314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CID001325</w:t>
            </w: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31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Krastsvetmet)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CID001326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CID001337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MKS PAMP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CID001352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CID001362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CID001386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CID001397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Artha Cipta Langgeng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CID001399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Mitra Stania Prima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CID001453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Prima Timah Utama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CID001458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Timah Tbk Kundur</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CID001477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Timah Tbk Mentok</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CID001482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PX Precinox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CID001498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Rand Refinery (Pty)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CID001512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CID001522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Royal Canadian Mint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CID001534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Rui Da Hung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CID001539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84836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Sabin Metal Corp.</w:t>
            </w:r>
          </w:p>
        </w:tc>
        <w:tc>
          <w:tcPr>
            <w:tcW w:w="3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CID001546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Samduck Precious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CID001555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Samwon Metals Corp.</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CID001562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CID001585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CID001619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CID001622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CID001736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CID001756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CID001761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CID001769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CID001798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CID001810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Taki Chemical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CID001869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CID001875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Telex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CID001891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Thaisarco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CID001898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CID001908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CID001909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CID001916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Tokuriki Honten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CID001938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CID001947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Torecom</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CID001955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CID001969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CID001980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CID001993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Valcambi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CID002003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CID002015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CID002030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CID002036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CID002044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Xiamen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CID002082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Yamakin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CID002100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Yokohama Metal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CID002129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CID002158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CID002180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CID002224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CID002243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848360"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Morris and Watson</w:t>
            </w:r>
          </w:p>
        </w:tc>
        <w:tc>
          <w:tcPr>
            <w:tcW w:w="3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Zealand</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CID002282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SAFINA A.S.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Czechia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CID002290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CID002319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CID002320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CID002321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CID002468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CID002492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CID002494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Melt Metais e Ligas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 Block Metals,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MMTC-PAMP India Pvt.,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CID002512</w:t>
            </w: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 Chenzhou Tungsten</w:t>
            </w:r>
          </w:p>
        </w:tc>
        <w:tc>
          <w:tcPr>
            <w:tcW w:w="31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Products Branch</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Zimbabwe</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CID002517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CID002525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CID002527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KEMET de Mexico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CID002539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H.C. Starck Tungsten GmbH</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84836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GmbH</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Materion Newton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Japan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CID002549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CID002550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CID002551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CID002557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CID002558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CID002560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 Gold DMCC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CID002561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CID002562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CV Ayi Jaya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CID002570</w:t>
            </w: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w:t>
            </w:r>
          </w:p>
        </w:tc>
        <w:tc>
          <w:tcPr>
            <w:tcW w:w="31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Joint Stock Company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CID002572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CID002573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T.C.A S.p.A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REMONDIS PMR B.V.</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Fujairah Gold FZC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Niagara Refining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CID002589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Rajehan Ariq</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CID002593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Zinc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CID002605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Marsam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CID002606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TOO Tau-Ken-Altyn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CID002615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CID002641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Hydrometallurg, JSC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CID002649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 Refractory and Heat-Resistant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CID002660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Cipta Persada Mulia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CID002696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CID002703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CID002706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CID002707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CID002708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CID002724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CID002750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Super Ligas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CID002756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Albino Mountinho Lda.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Portugal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SAAMP</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L'Orfebre S.A.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Andorra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8853 S.p.A.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Italpreziosi</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CID002765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Aurubis Beerse</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Aurubis Berango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Bangka Prima Tin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CID002842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848360"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1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Moliren Ltd.</w:t>
            </w:r>
          </w:p>
        </w:tc>
        <w:tc>
          <w:tcPr>
            <w:tcW w:w="3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CID002845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 Traders and Refiners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CID002850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CID002852</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Modeltech Sdn Bhd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CID002857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Modeltech Sdn Bhd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CID002858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Bangalore Refinery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CID002863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CID002865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CID002867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Pease &amp; Curren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CID002872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JALAN &amp; Company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CID002893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SungEel HiMetal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CID002918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Chile</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CID002919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ABC Refinery Pty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CID002920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Safimet S.p.A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CID002973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CID003116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Lithuania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CID003153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African Gold Refinery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CID003185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 Coast Refinery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Ghana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CID003186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NH Recytech Company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CID003189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CID003190</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QG Refining,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CID003324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CID003325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CID003348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CID003356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CID003379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Masbro Alam Stania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CID003380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CGR Metalloys Pvt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CID003382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Sovereign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CID003383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Luna Smelter,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CID003387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CID003397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Lianyou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CID003407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CID003408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CID003409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CID003410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NPP Tyazhmetprom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CID003416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CID003417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CID003424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CID003425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CID003427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CID003449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848360"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11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1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CID003461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CID003463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Cronimet Brasil Ltda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CID003468</w:t>
            </w: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 Eletronicos</w:t>
            </w:r>
          </w:p>
        </w:tc>
        <w:tc>
          <w:tcPr>
            <w:tcW w:w="31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 Brasil Ltda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CID003486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CID003487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CID003488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CID003489</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CID003490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 Rasmussen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Norway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CID003497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Alexy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CID003500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CRM Synergies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CID003524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MD Overseas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CID003548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Metallix Refining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CID003557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CID003575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CID003582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CID003609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OOO “Technolom” 2</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CID003612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OOO “Technolom” 1</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CID003614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WEEEREFINING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CID003615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 by Gold Colombia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Colombia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CID003641</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CID003662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Dongwu Gold Group</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CID003663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Sam Precious Metals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CID003666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NOBLE METAL SERVICES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CID003690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CID003868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5D Production OU</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CID003926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CID003993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Coimpa Industrial LTDA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CID004010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CID004034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PowerX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CID004054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CID004065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CID004397</w:t>
            </w: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w:t>
            </w:r>
          </w:p>
        </w:tc>
        <w:tc>
          <w:tcPr>
            <w:tcW w:w="31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MINING &amp; SMELTING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CID004403</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CID004430</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CID004434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848360"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1160" w:type="dxa"/>
            <w:vAlign w:val="bottom"/>
            <w:tcBorders>
              <w:top w:val="single" w:sz="8" w:color="auto"/>
              <w:left w:val="single" w:sz="8" w:color="auto"/>
              <w:right w:val="single" w:sz="8" w:color="auto"/>
            </w:tcBorders>
          </w:tcPr>
          <w:p>
            <w:pPr>
              <w:spacing w:after="0"/>
              <w:rPr>
                <w:sz w:val="18"/>
                <w:szCs w:val="18"/>
                <w:color w:val="auto"/>
              </w:rPr>
            </w:pPr>
          </w:p>
        </w:tc>
        <w:tc>
          <w:tcPr>
            <w:tcW w:w="5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SHENZHEN JINJUNWEI RESOURCE COMPREHENSIVE</w:t>
            </w:r>
          </w:p>
        </w:tc>
        <w:tc>
          <w:tcPr>
            <w:tcW w:w="314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r>
      <w:tr>
        <w:trPr>
          <w:trHeight w:val="234"/>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DEVELOPMENT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CID004435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CID004438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CID004491</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GG Refinery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CID004506</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CID004619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Mitra Graha Raya</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CID004685</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CID004692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CID004697</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CID004704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CID004705</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CID004714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CID004724</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CID004754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Elite Industech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CID004755</w:t>
            </w:r>
          </w:p>
        </w:tc>
      </w:tr>
      <w:tr>
        <w:trPr>
          <w:trHeight w:val="191"/>
        </w:trPr>
        <w:tc>
          <w:tcPr>
            <w:tcW w:w="116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31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Development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CID004796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CID004797</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Tantalum</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CID004813</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Gasabo Gold Refinery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CID005006</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CID005012</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CID005014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S.P.T. spol.s r.o.</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Czechia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CID005068</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 Kay Metal,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CID005189</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Tungsten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Tungamoy Metals Inc.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CID005248</w:t>
            </w:r>
          </w:p>
        </w:tc>
      </w:tr>
      <w:tr>
        <w:trPr>
          <w:trHeight w:val="209"/>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Conecsus LLC</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CID003504</w:t>
            </w:r>
          </w:p>
        </w:tc>
      </w:tr>
      <w:tr>
        <w:trPr>
          <w:trHeight w:val="210"/>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Gold</w:t>
            </w:r>
          </w:p>
        </w:tc>
        <w:tc>
          <w:tcPr>
            <w:tcW w:w="5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Aurubis AG, Hamburg</w:t>
            </w:r>
          </w:p>
        </w:tc>
        <w:tc>
          <w:tcPr>
            <w:tcW w:w="3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CID005476</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 Countries of Origin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30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Madagascar</w:t>
            </w:r>
          </w:p>
        </w:tc>
        <w:tc>
          <w:tcPr>
            <w:tcW w:w="14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Sudan</w:t>
            </w:r>
          </w:p>
        </w:tc>
        <w:tc>
          <w:tcPr>
            <w:tcW w:w="26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Finland</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Guyana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Kyrgyzstan</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Dominica</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Benin</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Hungary</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Mozambique</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Eritrea</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Ecuador</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Slovakia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Central African Republic</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Panama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Bulgaria</w:t>
            </w:r>
          </w:p>
        </w:tc>
      </w:tr>
      <w:tr>
        <w:trPr>
          <w:trHeight w:val="191"/>
        </w:trPr>
        <w:tc>
          <w:tcPr>
            <w:tcW w:w="1500" w:type="dxa"/>
            <w:vAlign w:val="bottom"/>
            <w:tcBorders>
              <w:left w:val="single" w:sz="8" w:color="auto"/>
              <w:right w:val="single" w:sz="8" w:color="auto"/>
            </w:tcBorders>
          </w:tcPr>
          <w:p>
            <w:pPr>
              <w:spacing w:after="0"/>
              <w:rPr>
                <w:sz w:val="16"/>
                <w:szCs w:val="16"/>
                <w:color w:val="auto"/>
              </w:rPr>
            </w:pPr>
          </w:p>
        </w:tc>
        <w:tc>
          <w:tcPr>
            <w:tcW w:w="30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United Arab</w:t>
            </w:r>
          </w:p>
        </w:tc>
        <w:tc>
          <w:tcPr>
            <w:tcW w:w="2680" w:type="dxa"/>
            <w:vAlign w:val="bottom"/>
            <w:tcBorders>
              <w:right w:val="single" w:sz="8" w:color="auto"/>
            </w:tcBorders>
          </w:tcPr>
          <w:p>
            <w:pPr>
              <w:spacing w:after="0"/>
              <w:rPr>
                <w:sz w:val="16"/>
                <w:szCs w:val="16"/>
                <w:color w:val="auto"/>
              </w:rPr>
            </w:pPr>
          </w:p>
        </w:tc>
      </w:tr>
      <w:tr>
        <w:trPr>
          <w:trHeight w:val="234"/>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Peru</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Cambodia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Emirates</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Liberia</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Burundi</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Belarus</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Mauritania</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Congo</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Chile</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Suriname</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Senegal</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 Salvador</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Tajikistan</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Ethiopia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Burkina Faso</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Lithuania</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Andorra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Uruguay</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Argentina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Namibia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Guatemala</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Serbia</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Mongolia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Azerbaijan</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Oman</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Thailand</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Guinea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Jersey</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Botswana</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Colombia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Zambia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Kenya</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Portugal</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Djibouti</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Armenia</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Fiji</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Democratic Republic of Congo</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Morocco</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Cyprus</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Niger</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 Nam</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Liechtenstein</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Albania</w:t>
            </w:r>
          </w:p>
        </w:tc>
      </w:tr>
      <w:tr>
        <w:trPr>
          <w:trHeight w:val="209"/>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Sierra Leone</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Sudan</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Nicaragua</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Bermuda</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Nigeria</w:t>
            </w: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Egypt</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Angola</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Honduras</w:t>
            </w: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Solomon Islands</w:t>
            </w:r>
          </w:p>
        </w:tc>
      </w:tr>
      <w:tr>
        <w:trPr>
          <w:trHeight w:val="210"/>
        </w:trPr>
        <w:tc>
          <w:tcPr>
            <w:tcW w:w="1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Norway</w:t>
            </w:r>
          </w:p>
        </w:tc>
        <w:tc>
          <w:tcPr>
            <w:tcW w:w="302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84836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84836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C: CMRT Declaration Rejection/Approval Criteria</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tables map the Assent Sustainability Platform’s status outputs and CMRT logic structure when determining supplier conflict mineral statuses as displayed on the dashboard. Using this table, and referencing the CMRT questions listed above, users will be able to determine what answers were provided by their suppliers to earn their conflict minerals statuses.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Supplier Status</w:t>
            </w:r>
          </w:p>
        </w:tc>
        <w:tc>
          <w:tcPr>
            <w:tcW w:w="240" w:type="dxa"/>
            <w:vAlign w:val="bottom"/>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2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Submitted</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CMRT has not been submitted by the supplier</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Complete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CMRT has been submitted, and is valid and complete</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Incomplete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supplier with parts associated to them has submitted a partially completed Product-Level or User-Defined CMRT</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Invalid Submission</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CMRT has been submitted and deemed invalid based on contradicting responses in the template</w:t>
            </w:r>
          </w:p>
        </w:tc>
      </w:tr>
      <w:tr>
        <w:trPr>
          <w:trHeight w:val="432"/>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 of Scope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The supplier is out of scope for conflict minerals and does not need to be contacted</w:t>
            </w:r>
          </w:p>
        </w:tc>
      </w:tr>
      <w:tr>
        <w:trPr>
          <w:trHeight w:val="648"/>
        </w:trPr>
        <w:tc>
          <w:tcPr>
            <w:tcW w:w="2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8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2026-05-29T05:53:55Z</dcterms:created>
  <dcterms:modified xsi:type="dcterms:W3CDTF">2026-05-29T05:53:55Z</dcterms:modified>
</cp:coreProperties>
</file>