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In June 2023, Polestar entered into a joint venture for the China market (the “Joint Venture”) with Hubei Xingji Meizu Group Co., Ltd. (“Xingji Meizu”) where Polestar owns 49% of the Joint Venture. On February 29, 2024, the Joint Venture entered into a subscription agreement (the “Subscription Agreement”) with Nanjing Jiangning Economic and Technological Development Zone Industrial Equity Investment Partnership (Limited partnership) (the “Investor”). Pursuant to the Subscription Agreement, the Investor will purchase shares of the Joint Venture for an aggregate purchase price of CNY 1.5 billion, or approximately $208.4 million, by installments (the “Investment”). After the completion of second installment, the board of the Joint Venture shall consist of seven (7) directors, of which four (4) shall be appointed by Xingji Meizu, two (2) by Polestar Singapore and one (1) by the Investor.</w:t>
      </w:r>
    </w:p>
    <w:p>
      <w:pPr>
        <w:spacing w:after="0" w:line="189"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Investment, it is expected that Polestar will own approximately 37.64% of the Joint Venture, with Xingji Meizu owning 39.18% and the Investor owning 23.18%. The closing of the Investment is subject to certain conditions, and pursuant to the Subscription Agreement and a supplemental shareholder agreement, if certain triggering events occur, the Investor may demand the Joint Venture to repurchase its shares. Polestar will not be required to repurchase such shares, either directly or indirectly through a capital contribution to the Joint Venture.</w:t>
      </w:r>
    </w:p>
    <w:p>
      <w:pPr>
        <w:spacing w:after="0" w:line="180"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connection with the Investment, a supplemental shareholders agreement for the Joint Venture has also been signed. However, the governing rights of Polestar in the Joint Venture have not materially changed. Furthermore, Polestar and Xingji Meizu will continue to contribute capital to the Joint Venture as previously agreed upon in the initial shareholders agreement.</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Certain statements in this Form 6-K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92" w:lineRule="exact"/>
        <w:rPr>
          <w:sz w:val="20"/>
          <w:szCs w:val="20"/>
          <w:color w:val="auto"/>
        </w:rPr>
      </w:pPr>
    </w:p>
    <w:p>
      <w:pPr>
        <w:ind w:left="4" w:right="80"/>
        <w:spacing w:after="0" w:line="276" w:lineRule="auto"/>
        <w:rPr>
          <w:sz w:val="20"/>
          <w:szCs w:val="20"/>
          <w:color w:val="auto"/>
        </w:rPr>
      </w:pPr>
      <w:r>
        <w:rPr>
          <w:rFonts w:ascii="Times New Roman" w:cs="Times New Roman" w:eastAsia="Times New Roman" w:hAnsi="Times New Roman"/>
          <w:sz w:val="17"/>
          <w:szCs w:val="17"/>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spacing w:after="0" w:line="1" w:lineRule="exact"/>
        <w:rPr>
          <w:sz w:val="20"/>
          <w:szCs w:val="20"/>
          <w:color w:val="auto"/>
        </w:rPr>
      </w:pPr>
    </w:p>
    <w:p>
      <w:pPr>
        <w:ind w:left="4" w:hanging="4"/>
        <w:spacing w:after="0" w:line="252"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w:t>
      </w:r>
    </w:p>
    <w:p>
      <w:pPr>
        <w:sectPr>
          <w:pgSz w:w="11900" w:h="16838" w:orient="portrait"/>
          <w:cols w:equalWidth="0" w:num="1">
            <w:col w:w="11004"/>
          </w:cols>
          <w:pgMar w:left="436" w:top="266" w:right="459" w:bottom="1440" w:gutter="0" w:footer="0" w:header="0"/>
        </w:sectPr>
      </w:pPr>
    </w:p>
    <w:bookmarkStart w:id="2" w:name="page3"/>
    <w:bookmarkEnd w:id="2"/>
    <w:p>
      <w:pPr>
        <w:ind w:left="4"/>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 offerings; (19) risks related to Polestar’s distribution model; (20)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(21) Polestar’s ability to forecast demand for its vehicles;</w:t>
      </w:r>
    </w:p>
    <w:p>
      <w:pPr>
        <w:spacing w:after="0" w:line="8" w:lineRule="exact"/>
        <w:rPr>
          <w:sz w:val="20"/>
          <w:szCs w:val="20"/>
          <w:color w:val="auto"/>
        </w:rPr>
      </w:pPr>
    </w:p>
    <w:p>
      <w:pPr>
        <w:ind w:left="4" w:right="40" w:hanging="4"/>
        <w:spacing w:after="0" w:line="253" w:lineRule="auto"/>
        <w:tabs>
          <w:tab w:leader="none" w:pos="3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Polestar’s ability to raise additional funding; (23) Polestar’s ability to successfully execute cost-cutting activities and strategic efficiency initiatives; and (24) other risks and uncertainties set forth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ectPr>
          <w:pgSz w:w="11900" w:h="16838" w:orient="portrait"/>
          <w:cols w:equalWidth="0" w:num="1">
            <w:col w:w="11004"/>
          </w:cols>
          <w:pgMar w:left="436" w:top="270"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29, 2024</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2024-02-29T05:24:02Z</dcterms:created>
  <dcterms:modified xsi:type="dcterms:W3CDTF">2024-02-29T05:24:02Z</dcterms:modified>
</cp:coreProperties>
</file>