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7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7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ectPr>
          <w:pgSz w:w="11900" w:h="16838" w:orient="portrait"/>
          <w:cols w:equalWidth="0" w:num="1">
            <w:col w:w="10020"/>
          </w:cols>
          <w:pgMar w:left="1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GORES GUGGENHEIM REMINDS STOCKHOLDERS AND WARRANT HOLDERS TO VOTE</w:t>
      </w:r>
    </w:p>
    <w:p>
      <w:pPr>
        <w:spacing w:after="0" w:line="133"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All Gores Guggenheim Stockholders are Strongly Encouraged to Vote before the Stockholder Special Meeting to be Held on June 22, 2022</w:t>
      </w:r>
    </w:p>
    <w:p>
      <w:pPr>
        <w:spacing w:after="0" w:line="142" w:lineRule="exact"/>
        <w:rPr>
          <w:rFonts w:ascii="Times New Roman" w:cs="Times New Roman" w:eastAsia="Times New Roman" w:hAnsi="Times New Roman"/>
          <w:sz w:val="17"/>
          <w:szCs w:val="17"/>
          <w:color w:val="auto"/>
        </w:rPr>
      </w:pPr>
    </w:p>
    <w:p>
      <w:pPr>
        <w:ind w:left="960" w:right="480" w:hanging="424"/>
        <w:spacing w:after="0" w:line="284"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 Gores Guggenheim Warrant Holders are Strongly Encouraged to Vote before the Warrant Holder Special Meeting to be Held on June 22, 2022</w:t>
      </w:r>
    </w:p>
    <w:p>
      <w:pPr>
        <w:spacing w:after="0" w:line="1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LOS ANGELES and GOTHENBURG – June 15, 2022 </w:t>
      </w:r>
      <w:r>
        <w:rPr>
          <w:rFonts w:ascii="Times New Roman" w:cs="Times New Roman" w:eastAsia="Times New Roman" w:hAnsi="Times New Roman"/>
          <w:sz w:val="18"/>
          <w:szCs w:val="18"/>
          <w:color w:val="auto"/>
        </w:rPr>
        <w:t>– Gores Guggenheim, Inc. (“Gores Guggenheim” or the “Company”) (NASDAQ: GGPI,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GGPIU and GGPIW), a special purpose acquisition company sponsored by affiliates of The Gores Group, LLC and Guggenheim Capital, LLC reminds stockholders to vote in favor of the approval of the Company’s proposed business combination with Polestar, the Swedish electric performance car company (the “Business Combination”), and other proposals related to the Business Combination to be presented the Company’s upcoming special meeting of the Company’s stockholders (the “Stockholder Special Meeting”). The Stockholder Special Meeting will be held via live webcast at www.meetnow.global/MYGAWFM on June 22, 2022, at 9:30 a.m. Eastern Time, as described in the Company’s definitive proxy statement/prospectus, dated May 25, 2022 and filed with the SEC on such date (the “Proxy Statement”). Please note that stockholders will be able to access the Stockholder Special Meeting only by means of remote communication and only at the aforementioned time and webcast.</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All stockholders are strongly encouraged to vote as soon as possible in advance of the Stockholder Special Meeting. The Company requests that each stockholder of record complete, sign, date and return a proxy card. Stockholders who hold shares in “street name,” meaning that their shares are held of record by a broker, bank or other nominee, should contact their broker, bank or nominee to ensure that their shares are voted.</w:t>
      </w:r>
    </w:p>
    <w:p>
      <w:pPr>
        <w:spacing w:after="0" w:line="280"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color w:val="auto"/>
        </w:rPr>
        <w:t>THE COMPANY’S BOARD OF DIRECTORS UNANIMOUSLY RECOMMENDS THAT ITS STOCKHOLDERS VOTE “FOR” THE APPROVAL OF THE BUSINESS COMBINATION, AND EACH OF THE RELATED PROPOSALS DESCRIBED IN THE PROXY STATEMENT.</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also reminds warrant holders to vote in favor of the proposals to be presented at the meeting of the Company’s warrant holders (the “Warrant Holder Meeting”). The Warrant Holder Meeting will be held via live webcast at www.meetnow.global/MYVPLYT on June 22, 2022, at 10:00 a.m. Eastern Time, as described in the Proxy Statement. Please note that warrant holders will be able to access the Warrant Holder Meeting only by means of remote communication and only at the aforementioned time and webcast.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the Warrant Holder Meeting, warrant holders of outstanding warrants issued as part of the units included in the Company’s IPO (the “Public Warrants”) and held of record as of the close of business on May 18, 2022 will be asked to approve an amendment to the existing warrant agreement (the “Warrant Amendment”) that governs the Public Warrants, to permit the conversion of Public Warrants to Class C-1 ADSs of ListCo in connection with the closing of the proposed Business Combination, as described in the Proxy Statement.</w:t>
      </w:r>
    </w:p>
    <w:p>
      <w:pPr>
        <w:sectPr>
          <w:pgSz w:w="11900" w:h="16838" w:orient="portrait"/>
          <w:cols w:equalWidth="0" w:num="1">
            <w:col w:w="10940"/>
          </w:cols>
          <w:pgMar w:left="440" w:top="266" w:right="51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warrant holders are strongly encouraged to vote as soon as possible in advance of the Warrant Holder Meeting. The Company requests that warrant holder of record at the close of business on May 18, 2022, complete, sign, date and return a proxy card. Warrant holders who hold shares or Public Warrants in “street name,” meaning that their Public Warrants are held of record by a broker, bank or other nominee, should contact their broker, bank or nominee to ensure that their Public Warrants are voted.</w:t>
      </w:r>
    </w:p>
    <w:p>
      <w:pPr>
        <w:spacing w:after="0" w:line="17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THE COMPANY’S BOARD OF DIRECTORS UNANIMOUSLY RECOMMENDS THAT ITS WARRANT HOLDERS VOTE “FOR” THE APPROVAL OF THE WARRANT AMENDMENT, AND EACH OF THE RELATED PROPOSALS DESCRIBED IN THE PROXY STATEMENT.</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Stockholder Special Meeting and the Warrant Holder Meeting do not purport to be complete and are qualified in their entirety by the Proxy Statement. All stockholders and warrant holders are encouraged to review the Proxy Statement prior to voting their shares or warrants.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Please contact Morrow Sodali LLC, Gores Guggenheim’s proxy solicitor, with any questions or assistance in voting, toll-free at (800) 662-5200 (banks and brokers can call collect at (203) 658-9400) or by e-mail at ggpi.info@investor.morrowsodali.com.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Polestar</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Polestar was established as a new, standalone Swedish premium electric vehicle manufacturer in 2017. Founded by Volvo Car AB (publ) (together with its subsidiaries, “Volvo Cars”) and Zhejiang Geely Holding Group Co., Ltd (“Geely”), Polestar enjoys specific technological and engineering synergies with Volvo Cars and benefits from significant economies of scale as a result.</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two facilities in China, with additional future manufacturing planned in the USA.</w:t>
      </w:r>
    </w:p>
    <w:p>
      <w:pPr>
        <w:spacing w:after="0" w:line="17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 September 2021, Polestar announced its intention to list as a public company on the Nasdaq in a business combination agreement with Gores Guggenheim, Inc. Full information on this definitive agreement can be found here.</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Polestar has produced two electric performance cars. The Polestar 1 was built between 2019 and 2021 as a low-volume electric performance hybrid GT with a carbon fibre body, 609 hp, 1,000 Nm and an electric-only range of 124 km (WLTP) – the longest of any premium hybrid car in the world.</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ectPr>
          <w:pgSz w:w="11900" w:h="16838" w:orient="portrait"/>
          <w:cols w:equalWidth="0" w:num="1">
            <w:col w:w="10980"/>
          </w:cols>
          <w:pgMar w:left="440" w:top="270" w:right="479" w:bottom="1440" w:gutter="0" w:footer="0" w:header="0"/>
        </w:sectPr>
      </w:pPr>
    </w:p>
    <w:bookmarkStart w:id="3" w:name="page4"/>
    <w:bookmarkEnd w:id="3"/>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2022, Polestar plans to launch one new electric vehicle per year, starting with Polestar 3, the company’s first electric performance SUV which is expected to debut in October 2022. Polestar 4 is expected to follow in 2023, a smaller electric performance SUV coupe.</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early March 2022, Polestar revealed its second concept car, the Polestar O2 electric performance roadster. Polestar O2 builds on the design, technology and sustainability ambitions laid out by Precept and showcases the brand’s vision for future sports cars. The hard-top convertible presents an evolution of the unique design language first shown by Precept and emphasizes a dynamic driving experience. The concept further develops the focus on sustainability and technology, aiming towards greater circularity.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Gores Guggenheim, Inc.</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Transactions and Where to Find It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proposed Business Combination, (a) Polestar Automotive Holding UK PLC (formerly known as Polestar Automotive Holding UK Limited) (“ListCo”) has filed with the SEC a registration statement on Form F-4 containing a proxy statement of the Company and a prospectus, which the SEC declared effective on May 25, 2022 and (b) the Company has filed a definitive proxy statement relating to the proposed Business Combination (the “Definitive Proxy Statement”) and mailed the Definitive Proxy Statement and other relevant materials to its stockholders and warrant holders, each as of May 18, 2022, the record date established for voting on the proposed Business Combination and the other matters to be voted upon at the Special Meeting and Warrant Holder Meeting. The Definitive Proxy Statement contains important information about the proposed Business Combination and the other matters to be voted upon at the meetings of the Company’s stockholders and warrant holders. This press release does not contain all the information that should be considered concerning the proposed Business Combination and is not intended to form the basis of any investment decision or any other decision in respect of the proposed Business Combination. Before making any voting or other investment decisions, securityholders of the Company and other interested persons are advised to</w:t>
      </w:r>
    </w:p>
    <w:p>
      <w:pPr>
        <w:sectPr>
          <w:pgSz w:w="11900" w:h="16838" w:orient="portrait"/>
          <w:cols w:equalWidth="0" w:num="1">
            <w:col w:w="11000"/>
          </w:cols>
          <w:pgMar w:left="440" w:top="270" w:right="459" w:bottom="1440" w:gutter="0" w:footer="0" w:header="0"/>
        </w:sectPr>
      </w:pPr>
    </w:p>
    <w:bookmarkStart w:id="4" w:name="page5"/>
    <w:bookmarkEnd w:id="4"/>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read the Definitive Proxy Statement and other documents filed or to be filed in connection with the proposed Business Combination, as these materials will contain important information about the Company, Polestar, ListCo and the proposed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7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participants in the solicitation of proxies from the Company’s stockholders with respect to the proposed Business Combination. A list of the names of those directors and executive officers and a description of their interests in the Company is set forth in the Company’s filings with the SEC (including the Company’s final prospectus related to its initial public offering (File</w:t>
      </w:r>
    </w:p>
    <w:p>
      <w:pPr>
        <w:spacing w:after="0" w:line="1"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No. 333-253338) declared effective by the SEC on March 22, 2021), and are available free of charge at the SEC’s web 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Polestar and ListCo, and certain of their directors and executive officers may also be deemed to be participants in the solicitation of proxies from the stockholders of the Company in connection with the proposed Business Combination. A list of the names of such directors and executive officers and information regarding their interests in the proposed Business Combination is included in the Definitive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press release contains certain statements which may be considered “forward-looking statements” as defined in the Private Securities Litigation Reform Act of 1995. Forward-looking statements generally relate to future events or the future financial or operating performance of the Company and Polestar. For example, projections of future revenue, volumes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0880"/>
          </w:cols>
          <w:pgMar w:left="440" w:top="270" w:right="579" w:bottom="1440" w:gutter="0" w:footer="0" w:header="0"/>
        </w:sectPr>
      </w:pPr>
    </w:p>
    <w:bookmarkStart w:id="5" w:name="page6"/>
    <w:bookmarkEnd w:id="5"/>
    <w:p>
      <w:pPr>
        <w:ind w:left="4" w:right="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These forward-looking statements are based upon estimates and assumptions that, while considered reasonable by the Company and its management, and Polestar and its management, as the case may be, are inherently uncertain. Factors that may cause actual results to differ materially from current expectations include, but are not limited to: (a) the occurrence of any event, change or other circumstances that could give rise to the termination of definitive agreements with respect to proposed Business Combination; (b) the outcome of any legal proceedings that may be instituted against the Company, the combined company or others following the announcement of the proposed Business Combination and any definitive agreements with respect thereto; (c) the inability to complete the proposed Business Combination due to the failure to obtain approval of the stockholders of the Company, to obtain financing to complete the proposed Business Combination or to satisfy other conditions to Closing; (d) changes to the proposed structure of the proposed Business Combination that may be required or appropriate as a result of applicable laws or regulations or as a condition to obtaining regulatory approval of the proposed Business Combination; (e) the ability to meet stock exchange listing standards following the consummation of the proposed Business Combination; (f) the risk that the proposed Business Combination disrupts current plans and operations of Polestar as a result of the announcement and consummation of the proposed Business Combination; (g)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(h) costs related to the proposed Business Combination; (i) risks associated with changes in applicable laws or regulations and Polestar’s international operations; (j) the possibility that Polestar or the combined company may be adversely affected by other economic, business, and/or competitive factors; (k) Polestar’s estimates of expenses and profitability; (l) Polestar’s ability to maintain agreements or partnerships with its strategic partners Volvo Cars and Geely and to develop new agreements or partnerships; (m) Polestar’s ability to maintain relationships with its existing suppliers and strategic partners, and source new suppliers for its critical components, and to complete building out its supply chain, while effectively managing the risks due to such relationships;</w:t>
      </w:r>
    </w:p>
    <w:p>
      <w:pPr>
        <w:spacing w:after="0" w:line="195" w:lineRule="exact"/>
        <w:rPr>
          <w:sz w:val="20"/>
          <w:szCs w:val="20"/>
          <w:color w:val="auto"/>
        </w:rPr>
      </w:pPr>
    </w:p>
    <w:p>
      <w:pPr>
        <w:ind w:left="4" w:right="280" w:hanging="4"/>
        <w:spacing w:after="0" w:line="265" w:lineRule="auto"/>
        <w:tabs>
          <w:tab w:leader="none" w:pos="25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Polestar’s reliance on its partnerships with vehicle charging networks to provide charging solutions for its vehicles and its strategic partners for servicing its vehicles and their integrated software; (o) Polestar’s ability to establish its brand and capture additional market share, and the risks associated with negative press or reputational harm, including from lithium-ion battery cells catching fire or venting smoke; (p) delays in the design, manufacture, launch and financing of Polestar’s vehicles and Polestar’s reliance on a limited number of vehicle models to generate revenues;</w:t>
      </w:r>
    </w:p>
    <w:p>
      <w:pPr>
        <w:ind w:left="4" w:hanging="4"/>
        <w:spacing w:after="0" w:line="265" w:lineRule="auto"/>
        <w:tabs>
          <w:tab w:leader="none" w:pos="25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Polestar’s ability to continuously and rapidly innovate, develop and market new products; (r) risks related to future market adoption of Polestar’s offerings; (s) increases in costs, disruption of supply or shortage of materials, in particular for lithium-ion cells or semiconductors; (t)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(u) risks related to Polestar’s distribution model; (v) the effects of competition and the high barriers to entry in the automotive industry, and the pace and depth of electric vehicle adoption generally on Polestar’s future business; (w) changes in regulatory requirements, governmental incentives and fuel and energy prices;</w:t>
      </w:r>
    </w:p>
    <w:p>
      <w:pPr>
        <w:ind w:left="4" w:right="500" w:hanging="4"/>
        <w:spacing w:after="0" w:line="260"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global COVID-19 pandemic, inflation, interest rate changes, the ongoing conflict between Ukraine and Russia, supply chain disruptions and</w:t>
      </w:r>
    </w:p>
    <w:p>
      <w:pPr>
        <w:sectPr>
          <w:pgSz w:w="11900" w:h="16838" w:orient="portrait"/>
          <w:cols w:equalWidth="0" w:num="1">
            <w:col w:w="10964"/>
          </w:cols>
          <w:pgMar w:left="436" w:top="270" w:right="499" w:bottom="1440" w:gutter="0" w:footer="0" w:header="0"/>
        </w:sectPr>
      </w:pPr>
    </w:p>
    <w:bookmarkStart w:id="6" w:name="page7"/>
    <w:bookmarkEnd w:id="6"/>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logistical constraints on the Company, Polestar, Polestar’s post business combination’s projected results of operations, financial performance or other financial metrics, or on any of the foregoing risks; and (y) other risks and uncertainties set forth in the section entitled “Risk Factors” and “Cautionary Note Regarding Forward-Looking Statements” in the Company’s final prospectus relating to its initial public offering (File No. 333-253338) declared effective by the SEC on March 22, 2021, and other documents filed, or to be filed, with the SEC by the Company or ListCo, including the Definitive Proxy Statement. There may be additional risks that neither the Company, Polestar nor ListCo presently know or that the Company, Polestar or ListCo currently believe are immaterial that could also cause actual results to differ from those contained in the forward-looking statements.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the Company, Polestar nor ListCo undertakes any duty to update these forward-looking statements.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press release relates to the proposed Business Combination. This document shall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No offer of securities shall be made except by means of a prospectus meeting the requirements of the Securities Act of 1933, as amended.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inquiries regarding The Gores Group and affiliates: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Kwon Chou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Gores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jchou@gores.com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Christiansen/Cassandra Bujarski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FGS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GoresGroup-SVC@sardverb.com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inquiries regarding Polestar: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Jonathan Goodman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jonathan.goodman@polestar.com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Lytheer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andrew.lytheer@polestar.com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Paolo Canton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jp.canton@polestar.com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4"/>
    </w:lvl>
  </w:abstractNum>
  <w:abstractNum w:abstractNumId="2">
    <w:nsid w:val="2AE8944A"/>
    <w:multiLevelType w:val="hybridMultilevel"/>
    <w:lvl w:ilvl="0">
      <w:lvlJc w:val="left"/>
      <w:lvlText w:val="(%1)"/>
      <w:numFmt w:val="lowerLetter"/>
      <w:start w:val="17"/>
    </w:lvl>
  </w:abstractNum>
  <w:abstractNum w:abstractNumId="3">
    <w:nsid w:val="625558EC"/>
    <w:multiLevelType w:val="hybridMultilevel"/>
    <w:lvl w:ilvl="0">
      <w:lvlJc w:val="left"/>
      <w:lvlText w:val="(%1)"/>
      <w:numFmt w:val="lowerLetter"/>
      <w:start w:val="2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2022-06-16T05:14:37Z</dcterms:created>
  <dcterms:modified xsi:type="dcterms:W3CDTF">2022-06-16T05:14:37Z</dcterms:modified>
</cp:coreProperties>
</file>