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10, 2025, Polestar Automotive Holding UK PLC (“Polestar”) issued a press release announcing its preliminary estimates for global volumes for the second quarter of 2025. A copy of the press release is attached hereto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July 10, 2025.</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560" w:type="dxa"/>
            <w:vAlign w:val="bottom"/>
            <w:tcBorders>
              <w:top w:val="single" w:sz="8" w:color="0000EE"/>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2025</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2025</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8587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retail sales volumes totalled 18,049 cars in Q2, a growth of 38% year-on-year</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2025 volumes: 18,049, a growth of 38% vs Q2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H1 2025 volumes: 30,319, a growth of 51% vs H1 2024</w:t>
      </w:r>
    </w:p>
    <w:p>
      <w:pPr>
        <w:spacing w:after="0" w:line="20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GOTHENBURG, SWEDEN – 10 July 2025 – </w:t>
      </w:r>
      <w:r>
        <w:rPr>
          <w:rFonts w:ascii="Times New Roman" w:cs="Times New Roman" w:eastAsia="Times New Roman" w:hAnsi="Times New Roman"/>
          <w:sz w:val="17"/>
          <w:szCs w:val="17"/>
          <w:color w:val="auto"/>
        </w:rPr>
        <w:t>Polestar (Nasdaq: PSNY) retail sales volumes amounted to an estimated 18,049 cars in Q2 2025, up 38%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versus Q2 2024. For the first six months of the year, retail sales volumes approximated 30,319 cars, a growth of 51% compared to the same period last year.</w:t>
      </w:r>
    </w:p>
    <w:p>
      <w:pPr>
        <w:spacing w:after="0" w:line="13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Michael Lohscheller, Polestar CEO, says: “We’ve delivered another strong quarter of growth, in increasingly challenging market and geopolitical conditions. Volume growth of 38% in the second quarter and 51% in the first half of the year is a clear sign that our retail expansion is delivering and that more customers are choosing Polestar.”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Breakdown of retail sales volumes: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69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24"/>
                <w:szCs w:val="24"/>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volumes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445"/>
        </w:trPr>
        <w:tc>
          <w:tcPr>
            <w:tcW w:w="69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H1 2025</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H1 2024</w:t>
            </w: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24"/>
                <w:szCs w:val="24"/>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volumes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3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84"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right="160" w:firstLine="8"/>
        <w:spacing w:after="0" w:line="265" w:lineRule="auto"/>
        <w:tabs>
          <w:tab w:leader="none" w:pos="255"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w:t>
      </w:r>
    </w:p>
    <w:p>
      <w:pPr>
        <w:ind w:firstLine="8"/>
        <w:spacing w:after="0" w:line="265" w:lineRule="auto"/>
        <w:tabs>
          <w:tab w:leader="none" w:pos="255"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continue to meet stock exchange listing standards; (8) changes in domestic and foreign business, market, financial, political and legal conditions; (9) 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 (11) 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w:t>
      </w:r>
    </w:p>
    <w:p>
      <w:pPr>
        <w:spacing w:after="0" w:line="1" w:lineRule="exact"/>
        <w:rPr>
          <w:rFonts w:ascii="Times New Roman" w:cs="Times New Roman" w:eastAsia="Times New Roman" w:hAnsi="Times New Roman"/>
          <w:sz w:val="17"/>
          <w:szCs w:val="17"/>
          <w:i w:val="1"/>
          <w:iCs w:val="1"/>
          <w:color w:val="auto"/>
        </w:rPr>
      </w:pPr>
    </w:p>
    <w:p>
      <w:pPr>
        <w:ind w:firstLine="8"/>
        <w:spacing w:after="0" w:line="251" w:lineRule="auto"/>
        <w:tabs>
          <w:tab w:leader="none" w:pos="34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Gores Guggenheim, Inc., government and regulatory proceedings, tax audits, investigations and inquiries; (22) Polestar’s ability to continuously and rapidly innovate, develop and market new products;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2025-07-10T07:30:45Z</dcterms:created>
  <dcterms:modified xsi:type="dcterms:W3CDTF">2025-07-10T07:30:45Z</dcterms:modified>
</cp:coreProperties>
</file>