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Polestar Automotive Holding UK PLC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Companies:</w:t>
      </w:r>
    </w:p>
    <w:p>
      <w:pPr>
        <w:spacing w:after="0" w:line="9"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7"/>
          <w:szCs w:val="17"/>
          <w:color w:val="auto"/>
        </w:rPr>
        <w:t>Polestar Automotive Holding UK PLC</w:t>
      </w:r>
    </w:p>
    <w:p>
      <w:pPr>
        <w:spacing w:after="0" w:line="2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9"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8"/>
          <w:szCs w:val="18"/>
          <w:color w:val="auto"/>
        </w:rPr>
        <w:t>(Commission File No. 001-40265)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GORES GUGGENHEIM AND POLESTAR EXPECTED TO CLOSE BUSINESS COMBINATION ON JUNE 23, 2022</w:t>
      </w:r>
    </w:p>
    <w:p>
      <w:pPr>
        <w:spacing w:after="0" w:line="135" w:lineRule="exact"/>
        <w:rPr>
          <w:sz w:val="24"/>
          <w:szCs w:val="24"/>
          <w:color w:val="auto"/>
        </w:rPr>
      </w:pPr>
    </w:p>
    <w:p>
      <w:pPr>
        <w:ind w:left="960" w:right="4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expected to close June 23, 2022, Polestar expected to begin trading on Nasdaq under ticker symbol “PSNY” on June 24, 2022</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redemption elections reflect a 25% maximum, well-below current market average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and Warrant Holder Special Meetings to be held on June 22, 2022</w:t>
      </w:r>
    </w:p>
    <w:p>
      <w:pPr>
        <w:spacing w:after="0" w:line="221" w:lineRule="exact"/>
        <w:rPr>
          <w:sz w:val="24"/>
          <w:szCs w:val="24"/>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LOS ANGELES and GOTHENBURG – June 21, 2022 </w:t>
      </w:r>
      <w:r>
        <w:rPr>
          <w:rFonts w:ascii="Times New Roman" w:cs="Times New Roman" w:eastAsia="Times New Roman" w:hAnsi="Times New Roman"/>
          <w:sz w:val="18"/>
          <w:szCs w:val="18"/>
          <w:color w:val="auto"/>
        </w:rPr>
        <w:t>– Gores Guggenheim, Inc. (“Gores Guggenheim” or the “Company”) (NASDAQ: GGPI,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GGPIU and GGPIW), a special purpose acquisition company sponsored by affiliates of The Gores Group, LLC and Guggenheim Capital, LLC, and Polestar, the Swedish electric performance car company, today announced they expect to close their business combination on June 23, 2022, subject to Gores Guggenheim stockholder approval.</w:t>
      </w:r>
    </w:p>
    <w:p>
      <w:pPr>
        <w:spacing w:after="0" w:line="180"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transaction is expected to raise at least $850 million in gross proceeds though a combination of a fully committed PIPE and cash held in trust. The cash held in trust accounts for a maximum 25% in preliminary redemption elections and assumes none of such preliminary redemption requests are withdrawn.</w:t>
      </w:r>
    </w:p>
    <w:p>
      <w:pPr>
        <w:spacing w:after="0" w:line="176" w:lineRule="exact"/>
        <w:rPr>
          <w:sz w:val="24"/>
          <w:szCs w:val="24"/>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Alec Gores, Chairman of Gores Guggenheim, states: “To have limited redemptions in this challenging macro environment is an incredible feat and speaks to the strength of Polestar’s brand – as well as the high conviction our investors have in Polestar’s potential. We are proud of the momentum Polestar has built over the past several months and we look forward to the expected closing of our business combination this week.”</w:t>
      </w:r>
    </w:p>
    <w:p>
      <w:pPr>
        <w:spacing w:after="0" w:line="176"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Thomas Ingenlath, CEO of Polestar, says, “Our listing on the Nasdaq in partnership with Gores Guggenheim will be a milestone moment for the company. Our team has been working hard and that work is paying off. We are excited about the future of Polestar and will continue to build world-class electric cars, grow the passionate customer community and expand into even more markets around the globe.”</w:t>
      </w:r>
    </w:p>
    <w:p>
      <w:pPr>
        <w:spacing w:after="0" w:line="176" w:lineRule="exact"/>
        <w:rPr>
          <w:sz w:val="24"/>
          <w:szCs w:val="24"/>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special meeting of GGPI stockholders (the “Stockholder Special Meeting”) and meeting of the Company’s warrant holders (the “Warrant Holder Meeting”) are scheduled to occur on June 22, 2022. The Stockholder Special Meeting will be held via live webcast at www.meetnow.global/MYGAWFM on June 22, 2022, at 9:30 a.m. Eastern Time, as described in the Company’s definitive proxy statement/prospectus, dated May 25, 2022 and filed with the SEC on such date (the “Proxy Statement”). The Warrant Holder Meeting will be held via live webcast at www.meetnow.global/MYVPLYT on June 22, 2022, at 10:00 a.m. Eastern Time, as described in Company’s definitive proxy statement/prospectus, dated May 25, 2022 and filed with the SEC on such date .</w:t>
      </w:r>
    </w:p>
    <w:p>
      <w:pPr>
        <w:spacing w:after="0" w:line="18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business combination, Polestar’s common stock is expected to begin trading on Nasdaq on June 24, 2022 under the new ticker symbol “PSNY.”</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Polestar has produced two electric performance cars. The Polestar 1 was built between 2019 and 2021 as a low-volume electric performance hybrid GT with a carbon fibre body, 609 hp, 1,000 Nm and an electric-only range of 124 km (WLTP) – the longest of any premium hybrid car in the world.</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2022, Polestar plans to launch one new electric vehicle per year, starting with Polestar 3, the company’s first electric performance SUV which is expected to debut in October 2022. Polestar 4 is expected to follow in 2023, a smaller electric performance SUV coupe.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early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emphasizes a dynamic driving experience. The concept further develops the focus on sustainability and technology, aiming towards greater circularity.</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Gores Guggenheim, Inc.</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Transactions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Business Combination, (a) Polestar Automotive Holding UK PLC (formerly known as Polestar Automotive Holding UK Limited) (“ListCo”) has filed with the SEC a registration statement on Form F-4 containing a proxy statement of the Company and a prospectus, which the SEC declared effective on May 25, 2022 and (b) the Company has filed a definitive proxy statement relating to the proposed Business Combination (the “Definitive Proxy Statement”) and mailed the Definitive Proxy Statement and other relevant materials to its stockholders and warrant holders, each as of May 18, 2022, the record date established for voting on the proposed Business Combination and the other matters to be voted upon at the Special Meeting and Warrant Holder Meeting. The Definitive Proxy Statement contains important information about the proposed Business Combination and the other matters to be voted upon at the meetings of the Company’s stockholders and warrant holders. This press release does not contain all the information that should be considered concerning the proposed Business Combination and is not intended to form the basis of any investment decision or any other decision in respect of the proposed Business Combination. Before making any voting or other investment decisions, securityholders of the Company and other interested persons are advised to read the Definitive Proxy Statement and other documents filed or to be filed in connection with the proposed Business Combination, as these materials will contain important information about the Company, Polestar, ListCo and the proposed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30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1"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Definitive Proxy Statement.</w:t>
      </w:r>
    </w:p>
    <w:p>
      <w:pPr>
        <w:sectPr>
          <w:pgSz w:w="11900" w:h="16838" w:orient="portrait"/>
          <w:cols w:equalWidth="0" w:num="1">
            <w:col w:w="11000"/>
          </w:cols>
          <w:pgMar w:left="440" w:top="266"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This press release contains certain statements which may be considered “forward-looking statements” as defined in the Private Securities Litigation Reform Act of 1995. Forward-looking statements generally relate to future events or the future financial or operating performance of the Company and Polestar.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9"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proposed Business Combination and any definitive agreements with respect thereto; (c) the inability to complete the proposed Business Combination due to the failure to obtain approval of the stockholders of the Company, to obtain financing to complete the proposed Business Combination or to satisfy other conditions to Closing; (d) changes to the proposed structure of the proposed Business Combination that may be required or appropriate as a result of applicable laws or regulations or as a condition to obtaining regulatory approval of the proposed Business Combination; (e) the ability to meet stock exchange listing standards following the consummation of the proposed Business Combination; (f) the risk that the proposed Business Combination disrupts current plans and operations of Polestar as a result of the announcement and consummation of the proposed Business Combination; (g)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(h) costs related to the proposed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Geely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195" w:lineRule="exact"/>
        <w:rPr>
          <w:sz w:val="20"/>
          <w:szCs w:val="20"/>
          <w:color w:val="auto"/>
        </w:rPr>
      </w:pPr>
    </w:p>
    <w:p>
      <w:pPr>
        <w:ind w:left="4" w:right="280" w:hanging="4"/>
        <w:spacing w:after="0" w:line="265" w:lineRule="auto"/>
        <w:tabs>
          <w:tab w:leader="none" w:pos="25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w:t>
      </w:r>
    </w:p>
    <w:p>
      <w:pPr>
        <w:ind w:left="4" w:hanging="4"/>
        <w:spacing w:after="0" w:line="265" w:lineRule="auto"/>
        <w:tabs>
          <w:tab w:leader="none" w:pos="25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w:t>
      </w:r>
    </w:p>
    <w:p>
      <w:pPr>
        <w:ind w:left="4" w:right="50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 logistical constraints on the Company, Polestar, Polestar’s post business combination’s projected results of operations, financial performance or other financial metrics, or on any of the foregoing risks; and (y) other risks and uncertainties set forth in</w:t>
      </w:r>
    </w:p>
    <w:p>
      <w:pPr>
        <w:sectPr>
          <w:pgSz w:w="11900" w:h="16838" w:orient="portrait"/>
          <w:cols w:equalWidth="0" w:num="1">
            <w:col w:w="10964"/>
          </w:cols>
          <w:pgMar w:left="436" w:top="266" w:right="499" w:bottom="1440" w:gutter="0" w:footer="0" w:header="0"/>
        </w:sectPr>
      </w:pPr>
    </w:p>
    <w:bookmarkStart w:id="4" w:name="page5"/>
    <w:bookmarkEnd w:id="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Definitive Proxy Statement.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relates to the proposed Business Combination. This document shall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No offer of securities shall be made except by means of a prospectus meeting the requirements of the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The Gores Group and affiliates: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FGS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4"/>
    </w:lvl>
  </w:abstractNum>
  <w:abstractNum w:abstractNumId="2">
    <w:nsid w:val="2AE8944A"/>
    <w:multiLevelType w:val="hybridMultilevel"/>
    <w:lvl w:ilvl="0">
      <w:lvlJc w:val="left"/>
      <w:lvlText w:val="(%1)"/>
      <w:numFmt w:val="lowerLetter"/>
      <w:start w:val="17"/>
    </w:lvl>
  </w:abstractNum>
  <w:abstractNum w:abstractNumId="3">
    <w:nsid w:val="625558EC"/>
    <w:multiLevelType w:val="hybridMultilevel"/>
    <w:lvl w:ilvl="0">
      <w:lvlJc w:val="left"/>
      <w:lvlText w:val="(%1)"/>
      <w:numFmt w:val="lowerLetter"/>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2022-06-21T08:30:21Z</dcterms:created>
  <dcterms:modified xsi:type="dcterms:W3CDTF">2022-06-21T08:30:21Z</dcterms:modified>
</cp:coreProperties>
</file>