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296545</wp:posOffset>
            </wp:positionV>
            <wp:extent cx="714184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328295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8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144145</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8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184150</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June 2025</w:t>
      </w:r>
    </w:p>
    <w:p>
      <w:pPr>
        <w:spacing w:after="0" w:line="20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175895</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right"/>
        <w:ind w:right="1199"/>
        <w:spacing w:after="0"/>
        <w:rPr>
          <w:sz w:val="20"/>
          <w:szCs w:val="20"/>
          <w:color w:val="auto"/>
        </w:rPr>
      </w:pPr>
      <w:r>
        <w:rPr>
          <w:rFonts w:ascii="Times New Roman" w:cs="Times New Roman" w:eastAsia="Times New Roman" w:hAnsi="Times New Roman"/>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193040</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Assar Gabrielssons Väg 9</w:t>
      </w:r>
    </w:p>
    <w:p>
      <w:pPr>
        <w:spacing w:after="0" w:line="2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405 31 Göteborg, Sweden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163195</wp:posOffset>
            </wp:positionV>
            <wp:extent cx="177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68" w:lineRule="exact"/>
        <w:rPr>
          <w:sz w:val="24"/>
          <w:szCs w:val="24"/>
          <w:color w:val="auto"/>
        </w:rPr>
      </w:pPr>
    </w:p>
    <w:p>
      <w:pPr>
        <w:ind w:left="4440"/>
        <w:spacing w:after="0" w:line="196" w:lineRule="exact"/>
        <w:tabs>
          <w:tab w:leader="none" w:pos="584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0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165735</wp:posOffset>
            </wp:positionV>
            <wp:extent cx="7141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189865</wp:posOffset>
            </wp:positionV>
            <wp:extent cx="714184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604520</wp:posOffset>
            </wp:positionV>
            <wp:extent cx="7141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71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INFORMATION CONTAINED IN THIS REPORT ON FORM 6-K</w:t>
      </w:r>
    </w:p>
    <w:p>
      <w:pPr>
        <w:spacing w:after="0" w:line="211" w:lineRule="exact"/>
        <w:rPr>
          <w:sz w:val="20"/>
          <w:szCs w:val="20"/>
          <w:color w:val="auto"/>
        </w:rPr>
      </w:pPr>
    </w:p>
    <w:p>
      <w:pPr>
        <w:jc w:val="both"/>
        <w:ind w:firstLine="603"/>
        <w:spacing w:after="0" w:line="224" w:lineRule="auto"/>
        <w:rPr>
          <w:sz w:val="20"/>
          <w:szCs w:val="20"/>
          <w:color w:val="auto"/>
        </w:rPr>
      </w:pPr>
      <w:r>
        <w:rPr>
          <w:rFonts w:ascii="Times New Roman" w:cs="Times New Roman" w:eastAsia="Times New Roman" w:hAnsi="Times New Roman"/>
          <w:sz w:val="17"/>
          <w:szCs w:val="17"/>
          <w:color w:val="auto"/>
        </w:rPr>
        <w:t>On June 3, 2025, Polestar Automotive Holding UK PLC (“Company”) distributed a notice of annual general meeting to be held at the offices of Alston &amp; Bird (City) LLP, LDN:W,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Floor, 3 Noble Street, London, EC2V 7EE, United Kingdom at 3:00 pm (British Summer Time) on June 30, 2025 (the “AGM”) to the holders of the Company’s ordinary shares in connection with the Company’s AGM. The notice of AGM is furnished as Exhibits 99.1 to this report on Form 6-K.</w:t>
      </w:r>
    </w:p>
    <w:p>
      <w:pPr>
        <w:spacing w:after="0" w:line="187"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On or about June 3, 2025, Citibank, N.A., in its capacity as the depositary bank (the “Depositary”) for the Company’s American Depositary Shares (“ADSs”), commenced mailing notice materials and voting instruction cards to ADS holders to enable ADS holders of record as of May 19, 2025, to instruct the Depositary to vote the ordinary shares represented by their ADSs. The Depositary’s notice of AGM to ADS holders and the ADS voting instruction card are furnished as Exhibits 99.2 and 99.3, respectively, to this report on Form 6-K.</w:t>
      </w:r>
    </w:p>
    <w:p>
      <w:pPr>
        <w:spacing w:after="0" w:line="175" w:lineRule="exact"/>
        <w:rPr>
          <w:sz w:val="20"/>
          <w:szCs w:val="20"/>
          <w:color w:val="auto"/>
        </w:rPr>
      </w:pPr>
    </w:p>
    <w:p>
      <w:pPr>
        <w:ind w:left="600"/>
        <w:spacing w:after="0"/>
        <w:tabs>
          <w:tab w:leader="none" w:pos="1020" w:val="left"/>
          <w:tab w:leader="none" w:pos="1840" w:val="left"/>
          <w:tab w:leader="none" w:pos="2220" w:val="left"/>
          <w:tab w:leader="none" w:pos="3040" w:val="left"/>
          <w:tab w:leader="none" w:pos="3360" w:val="left"/>
          <w:tab w:leader="none" w:pos="3860" w:val="left"/>
          <w:tab w:leader="none" w:pos="4480" w:val="left"/>
          <w:tab w:leader="none" w:pos="5040" w:val="left"/>
          <w:tab w:leader="none" w:pos="5460" w:val="left"/>
          <w:tab w:leader="none" w:pos="6200" w:val="left"/>
          <w:tab w:leader="none" w:pos="6580" w:val="left"/>
          <w:tab w:leader="none" w:pos="6940" w:val="left"/>
          <w:tab w:leader="none" w:pos="7400" w:val="left"/>
          <w:tab w:leader="none" w:pos="7980" w:val="left"/>
          <w:tab w:leader="none" w:pos="8820" w:val="left"/>
          <w:tab w:leader="none" w:pos="9200" w:val="left"/>
          <w:tab w:leader="none" w:pos="9700" w:val="left"/>
          <w:tab w:leader="none" w:pos="10040" w:val="left"/>
          <w:tab w:leader="none" w:pos="10360" w:val="left"/>
          <w:tab w:leader="none" w:pos="11040" w:val="left"/>
        </w:tabs>
        <w:rPr>
          <w:sz w:val="20"/>
          <w:szCs w:val="20"/>
          <w:color w:val="auto"/>
        </w:rPr>
      </w:pPr>
      <w:r>
        <w:rPr>
          <w:rFonts w:ascii="Times New Roman" w:cs="Times New Roman" w:eastAsia="Times New Roman" w:hAnsi="Times New Roman"/>
          <w:sz w:val="17"/>
          <w:szCs w:val="17"/>
          <w:color w:val="auto"/>
        </w:rPr>
        <w:t>The</w:t>
        <w:tab/>
        <w:t>Company</w:t>
        <w:tab/>
        <w:t>has</w:t>
        <w:tab/>
        <w:t>published</w:t>
        <w:tab/>
        <w:t>its</w:t>
        <w:tab/>
        <w:t>U.K.</w:t>
        <w:tab/>
        <w:t>annual</w:t>
        <w:tab/>
        <w:t>report</w:t>
        <w:tab/>
        <w:t>and</w:t>
        <w:tab/>
        <w:t>accounts</w:t>
        <w:tab/>
        <w:t>for</w:t>
        <w:tab/>
        <w:t>the</w:t>
        <w:tab/>
        <w:t>year</w:t>
        <w:tab/>
        <w:t>ended</w:t>
        <w:tab/>
        <w:t>December</w:t>
        <w:tab/>
        <w:t>31,</w:t>
        <w:tab/>
        <w:t>2024</w:t>
        <w:tab/>
        <w:t>on</w:t>
        <w:tab/>
        <w:t>its</w:t>
        <w:tab/>
        <w:t>website</w:t>
        <w:tab/>
        <w:t>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https://investors.polestar.com/corporate-governance/annual-general-meeting</w:t>
      </w:r>
    </w:p>
    <w:p>
      <w:pPr>
        <w:spacing w:after="0" w:line="19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Finally, on June 3, 2025, the Company issued a press release announcing proposed changes to its Board of Directors. A copy of the press release is attached hereto as Exhibit 99.4.</w:t>
      </w:r>
    </w:p>
    <w:p>
      <w:pPr>
        <w:spacing w:after="0" w:line="158"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The information contained in this report on Form 6-K, including Exhibits 99.1, 99.2, 99.3 and 99.4,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02"/>
        </w:trPr>
        <w:tc>
          <w:tcPr>
            <w:tcW w:w="14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Exhibit No.</w:t>
            </w:r>
          </w:p>
        </w:tc>
        <w:tc>
          <w:tcPr>
            <w:tcW w:w="220" w:type="dxa"/>
            <w:vAlign w:val="bottom"/>
          </w:tcPr>
          <w:p>
            <w:pPr>
              <w:spacing w:after="0"/>
              <w:rPr>
                <w:sz w:val="24"/>
                <w:szCs w:val="24"/>
                <w:color w:val="auto"/>
              </w:rPr>
            </w:pPr>
          </w:p>
        </w:tc>
        <w:tc>
          <w:tcPr>
            <w:tcW w:w="9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156"/>
        </w:trPr>
        <w:tc>
          <w:tcPr>
            <w:tcW w:w="580" w:type="dxa"/>
            <w:vAlign w:val="bottom"/>
          </w:tcPr>
          <w:p>
            <w:pPr>
              <w:spacing w:after="0"/>
              <w:rPr>
                <w:sz w:val="13"/>
                <w:szCs w:val="13"/>
                <w:color w:val="auto"/>
              </w:rPr>
            </w:pPr>
          </w:p>
        </w:tc>
        <w:tc>
          <w:tcPr>
            <w:tcW w:w="300" w:type="dxa"/>
            <w:vAlign w:val="bottom"/>
            <w:tcBorders>
              <w:bottom w:val="single" w:sz="8" w:color="0000EE"/>
            </w:tcBorders>
          </w:tcPr>
          <w:p>
            <w:pPr>
              <w:jc w:val="center"/>
              <w:spacing w:after="0" w:line="156"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7"/>
                <w:szCs w:val="17"/>
                <w:color w:val="0000EE"/>
                <w:w w:val="97"/>
              </w:rPr>
              <w:t>Notice of Annual General Meeting.</w:t>
            </w:r>
          </w:p>
        </w:tc>
        <w:tc>
          <w:tcPr>
            <w:tcW w:w="7160" w:type="dxa"/>
            <w:vAlign w:val="bottom"/>
            <w:gridSpan w:val="4"/>
          </w:tcPr>
          <w:p>
            <w:pPr>
              <w:spacing w:after="0"/>
              <w:rPr>
                <w:sz w:val="13"/>
                <w:szCs w:val="13"/>
                <w:color w:val="auto"/>
              </w:rPr>
            </w:pPr>
          </w:p>
        </w:tc>
      </w:tr>
      <w:tr>
        <w:trPr>
          <w:trHeight w:val="382"/>
        </w:trPr>
        <w:tc>
          <w:tcPr>
            <w:tcW w:w="5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Depositary’s Notice of Annual General Meeting</w:t>
            </w:r>
          </w:p>
        </w:tc>
      </w:tr>
      <w:tr>
        <w:trPr>
          <w:trHeight w:val="20"/>
        </w:trPr>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382"/>
        </w:trPr>
        <w:tc>
          <w:tcPr>
            <w:tcW w:w="580" w:type="dxa"/>
            <w:vAlign w:val="bottom"/>
          </w:tcPr>
          <w:p>
            <w:pPr>
              <w:spacing w:after="0"/>
              <w:rPr>
                <w:sz w:val="24"/>
                <w:szCs w:val="24"/>
                <w:color w:val="auto"/>
              </w:rPr>
            </w:pPr>
          </w:p>
        </w:tc>
        <w:tc>
          <w:tcPr>
            <w:tcW w:w="3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3</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7"/>
              </w:rPr>
              <w:t>American Depositary Share Voting Instruction Card.</w:t>
            </w:r>
          </w:p>
        </w:tc>
        <w:tc>
          <w:tcPr>
            <w:tcW w:w="6020" w:type="dxa"/>
            <w:vAlign w:val="bottom"/>
            <w:gridSpan w:val="2"/>
          </w:tcPr>
          <w:p>
            <w:pPr>
              <w:spacing w:after="0"/>
              <w:rPr>
                <w:sz w:val="24"/>
                <w:szCs w:val="24"/>
                <w:color w:val="auto"/>
              </w:rPr>
            </w:pPr>
          </w:p>
        </w:tc>
      </w:tr>
      <w:tr>
        <w:trPr>
          <w:trHeight w:val="382"/>
        </w:trPr>
        <w:tc>
          <w:tcPr>
            <w:tcW w:w="5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Press Release of Polestar Automotive Holding UK PLC, dated June 3, 2025.</w:t>
            </w:r>
          </w:p>
        </w:tc>
      </w:tr>
      <w:tr>
        <w:trPr>
          <w:trHeight w:val="621"/>
        </w:trPr>
        <w:tc>
          <w:tcPr>
            <w:tcW w:w="58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20" w:type="dxa"/>
            <w:vAlign w:val="bottom"/>
            <w:tcBorders>
              <w:top w:val="single" w:sz="8" w:color="0000EE"/>
              <w:bottom w:val="single" w:sz="8" w:color="auto"/>
            </w:tcBorders>
            <w:gridSpan w:val="4"/>
          </w:tcPr>
          <w:p>
            <w:pPr>
              <w:ind w:left="3860"/>
              <w:spacing w:after="0"/>
              <w:rPr>
                <w:sz w:val="20"/>
                <w:szCs w:val="20"/>
                <w:color w:val="auto"/>
              </w:rPr>
            </w:pPr>
            <w:r>
              <w:rPr>
                <w:rFonts w:ascii="Times New Roman" w:cs="Times New Roman" w:eastAsia="Times New Roman" w:hAnsi="Times New Roman"/>
                <w:sz w:val="17"/>
                <w:szCs w:val="17"/>
                <w:color w:val="auto"/>
              </w:rPr>
              <w:t>3</w:t>
            </w: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19"/>
                <w:szCs w:val="19"/>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tc>
      </w:tr>
      <w:tr>
        <w:trPr>
          <w:trHeight w:val="402"/>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Date: June 3, 2025</w:t>
            </w:r>
          </w:p>
        </w:tc>
        <w:tc>
          <w:tcPr>
            <w:tcW w:w="2800" w:type="dxa"/>
            <w:vAlign w:val="bottom"/>
          </w:tcPr>
          <w:p>
            <w:pPr>
              <w:ind w:left="22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Lohscheller</w:t>
            </w:r>
          </w:p>
        </w:tc>
      </w:tr>
      <w:tr>
        <w:trPr>
          <w:trHeight w:val="177"/>
        </w:trPr>
        <w:tc>
          <w:tcPr>
            <w:tcW w:w="3400" w:type="dxa"/>
            <w:vAlign w:val="bottom"/>
          </w:tcPr>
          <w:p>
            <w:pPr>
              <w:spacing w:after="0"/>
              <w:rPr>
                <w:sz w:val="15"/>
                <w:szCs w:val="15"/>
                <w:color w:val="auto"/>
              </w:rPr>
            </w:pPr>
          </w:p>
        </w:tc>
        <w:tc>
          <w:tcPr>
            <w:tcW w:w="2800" w:type="dxa"/>
            <w:vAlign w:val="bottom"/>
          </w:tcPr>
          <w:p>
            <w:pPr>
              <w:ind w:left="2240"/>
              <w:spacing w:after="0" w:line="177"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Michael Lohscheller</w:t>
            </w:r>
          </w:p>
        </w:tc>
      </w:tr>
      <w:tr>
        <w:trPr>
          <w:trHeight w:val="217"/>
        </w:trPr>
        <w:tc>
          <w:tcPr>
            <w:tcW w:w="3400" w:type="dxa"/>
            <w:vAlign w:val="bottom"/>
          </w:tcPr>
          <w:p>
            <w:pPr>
              <w:spacing w:after="0"/>
              <w:rPr>
                <w:sz w:val="18"/>
                <w:szCs w:val="18"/>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2"/>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Date: June 3, 2025</w:t>
            </w:r>
          </w:p>
        </w:tc>
        <w:tc>
          <w:tcPr>
            <w:tcW w:w="2800" w:type="dxa"/>
            <w:vAlign w:val="bottom"/>
          </w:tcPr>
          <w:p>
            <w:pPr>
              <w:ind w:left="22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Jean-François Mady</w:t>
            </w:r>
          </w:p>
        </w:tc>
      </w:tr>
      <w:tr>
        <w:trPr>
          <w:trHeight w:val="177"/>
        </w:trPr>
        <w:tc>
          <w:tcPr>
            <w:tcW w:w="3400" w:type="dxa"/>
            <w:vAlign w:val="bottom"/>
          </w:tcPr>
          <w:p>
            <w:pPr>
              <w:spacing w:after="0"/>
              <w:rPr>
                <w:sz w:val="15"/>
                <w:szCs w:val="15"/>
                <w:color w:val="auto"/>
              </w:rPr>
            </w:pPr>
          </w:p>
        </w:tc>
        <w:tc>
          <w:tcPr>
            <w:tcW w:w="2800" w:type="dxa"/>
            <w:vAlign w:val="bottom"/>
          </w:tcPr>
          <w:p>
            <w:pPr>
              <w:ind w:left="2240"/>
              <w:spacing w:after="0" w:line="177"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Jean-François Mady</w:t>
            </w:r>
          </w:p>
        </w:tc>
      </w:tr>
      <w:tr>
        <w:trPr>
          <w:trHeight w:val="217"/>
        </w:trPr>
        <w:tc>
          <w:tcPr>
            <w:tcW w:w="3400" w:type="dxa"/>
            <w:vAlign w:val="bottom"/>
          </w:tcPr>
          <w:p>
            <w:pPr>
              <w:spacing w:after="0"/>
              <w:rPr>
                <w:sz w:val="18"/>
                <w:szCs w:val="18"/>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603"/>
        </w:trPr>
        <w:tc>
          <w:tcPr>
            <w:tcW w:w="3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7"/>
                <w:szCs w:val="17"/>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8" w:right="339" w:bottom="1440" w:gutter="0" w:footer="0" w:header="0"/>
        </w:sectPr>
      </w:pPr>
    </w:p>
    <w:bookmarkStart w:id="4" w:name="page5"/>
    <w:bookmarkEnd w:id="4"/>
    <w:p>
      <w:pPr>
        <w:ind w:left="926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24130</wp:posOffset>
            </wp:positionV>
            <wp:extent cx="6886575" cy="9663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663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6575" cy="966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ind w:left="926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151765</wp:posOffset>
            </wp:positionV>
            <wp:extent cx="6886575" cy="9120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926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151765</wp:posOffset>
            </wp:positionV>
            <wp:extent cx="6886575" cy="91205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837565" cy="215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7565" cy="21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Polestar sets date for AGM and announces Board changes</w:t>
      </w:r>
    </w:p>
    <w:p>
      <w:pPr>
        <w:spacing w:after="0" w:line="20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GOTHENBURG, SWEDEN – 3 June 2025 – </w:t>
      </w:r>
      <w:r>
        <w:rPr>
          <w:rFonts w:ascii="Times New Roman" w:cs="Times New Roman" w:eastAsia="Times New Roman" w:hAnsi="Times New Roman"/>
          <w:sz w:val="17"/>
          <w:szCs w:val="17"/>
          <w:color w:val="auto"/>
        </w:rPr>
        <w:t>Polestar (Nasdaq: PSNY) announces that in conjunction with its Annual General Meeting (AGM) to be held in London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30 June 2025, certain changes to the Company’s Board of Directors are being submitted for shareholder approval. Full details of the AGM are available on the Company’s Investor Relations website: https://investors.polestar.com/corporate-governance/annual-general-meeting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Karen Francis’ and Zhe (David) Wei’s terms are ending at the closing of this year’s AGM and they have both announced that they will not stand for re-election.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David Richter and Donghui (Daniel) Li have announced their decisions to resign from the Board, both effective at the closing of this year’s AGM.</w:t>
      </w:r>
    </w:p>
    <w:p>
      <w:pPr>
        <w:spacing w:after="0" w:line="190"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Francesca Gamboni and Laura Shen are standing for re-election at the AGM. Additionally, two new Directors are proposed and recommended for election: Cynthia Dubin and Quan (Joe) Zhang.</w:t>
      </w:r>
    </w:p>
    <w:p>
      <w:pPr>
        <w:spacing w:after="0" w:line="15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Winfried Vahland, Polestar Board Chair, says: “I want to thank Karen Francis, David Richter, David Wei and Daniel Li for their invaluable contributions to Polestar and the roles they played in transforming it into a listed company. I’m pleased to welcome Cynthia Dubin and Joe Zhang to the Board, whose valuable experience will be of great benefit to Polestar.”</w:t>
      </w:r>
    </w:p>
    <w:p>
      <w:pPr>
        <w:spacing w:after="0" w:line="16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Cynthia Dubin is an experienced Chief Financial Officer and Board Director currently serving on the board of Ice Futures Europe, an exchange for futures and options contracts for energy and emissions products, interest rates, equity derivatives and soft commodities, owned by Intercontinental Exchange, Inc.. She is further on the boards of Hurco Companies, Inc., a global machine tools manufacturer listed on Nasdaq, and of the UK Competition and Markets Authority.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 Zhang, Vice President and Chief Financial Officer of Zhejiang Geely Holding Group, is proposed to succeed Daniel Li on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Anna Gavrilova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anna.gavrilova@polestar.com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Theo Kjellberg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Corporate Communication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theo.kjellberg@polestar.com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About Polestar</w:t>
      </w:r>
    </w:p>
    <w:p>
      <w:pPr>
        <w:spacing w:after="0" w:line="207"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7"/>
          <w:szCs w:val="17"/>
          <w:i w:val="1"/>
          <w:iCs w:val="1"/>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6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i w:val="1"/>
          <w:iCs w:val="1"/>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i w:val="1"/>
          <w:iCs w:val="1"/>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0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i w:val="1"/>
          <w:iCs w:val="1"/>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398780</wp:posOffset>
            </wp:positionV>
            <wp:extent cx="7141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sectPr>
      <w:pgSz w:w="11900" w:h="16838" w:orient="portrait"/>
      <w:cols w:equalWidth="0" w:num="1">
        <w:col w:w="11240"/>
      </w:cols>
      <w:pgMar w:left="320" w:top="8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2025-06-03T06:16:09Z</dcterms:created>
  <dcterms:modified xsi:type="dcterms:W3CDTF">2025-06-03T06:16:09Z</dcterms:modified>
</cp:coreProperties>
</file>