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by Polestar Automotive Holding UK Limited</w:t>
      </w:r>
    </w:p>
    <w:p>
      <w:pPr>
        <w:spacing w:after="0" w:line="39"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Pursuant to Rule 425 under the Securities Act of 1933</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14a-12 under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Form F-4 File No. (333-260992)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Companies:</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Polestar Automotive Holding UK Limited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Gores Guggenheim,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001-40265)</w:t>
      </w:r>
    </w:p>
    <w:p>
      <w:pPr>
        <w:sectPr>
          <w:pgSz w:w="11900" w:h="16838" w:orient="portrait"/>
          <w:cols w:equalWidth="0" w:num="1">
            <w:col w:w="10020"/>
          </w:cols>
          <w:pgMar w:left="1440" w:top="229" w:right="4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 Meets Global Sales Target of 29,000 Cars in 2021 and Continues to Deliver on Ambitious Growth Plans Ahead of Proposed Listing</w:t>
      </w:r>
    </w:p>
    <w:p>
      <w:pPr>
        <w:spacing w:after="0" w:line="158"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Polestar increased global presence from 10 to 19 markets throughout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Retail footprint doubled over the last year</w:t>
      </w:r>
    </w:p>
    <w:p>
      <w:pPr>
        <w:spacing w:after="0" w:line="221"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color w:val="auto"/>
        </w:rPr>
        <w:t xml:space="preserve">GOTHENBURG – 11 January 2022. </w:t>
      </w:r>
      <w:r>
        <w:rPr>
          <w:rFonts w:ascii="Arial" w:cs="Arial" w:eastAsia="Arial" w:hAnsi="Arial"/>
          <w:sz w:val="18"/>
          <w:szCs w:val="18"/>
          <w:color w:val="auto"/>
        </w:rPr>
        <w:t>Polestar, the pure-play, premium electric car company, confirms that it continues to deliver on ambitious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sales, market, and retail expansion plans that underpin significant growth targets for the coming years. The company delivered on its global sales target of 29,000 vehicles in 2021, representing year-on-year growth exceeding 185%. Polestar’s proposed business combination with Gores Guggenheim, Inc. (Nasdaq: GGPI, GGPIW, and GGPIU), is expected to close in the first half of 2022.</w:t>
      </w:r>
    </w:p>
    <w:p>
      <w:pPr>
        <w:spacing w:after="0" w:line="1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Polestar increased its global presence from 10 to 19 markets in 2021, with growth in Europe and Asia Pacific. In the first half of 2022, Polestar plans to add Spain, Portugal and Ireland to its European market footprint, and enter the Middle East with presence in the UAE, Kuwait and Israel. By the end of 2023, Polestar aims to be operating in at least 30 global markets.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delivering on our targets,” says Thomas Ingenlath, Polestar CEO. “It is a hugely exciting time for the brand, with new markets and models to support the ambitious growth plans we have set for ourselves. Thanks to the relentless dedication of Polestar employees across the globe, we are progressing with confidence towards our proposed public listing.”</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Mike Whittington, Polestar’s Head of Sales, adds: “With strong new market launches and the fantastic reception of an expanded Polestar 2 model line-up, we have seen interest in Polestar and vehicle sales increase in all our markets. Our order intake is strong and we are looking forward to further growth in our sales volume again in 2022.”</w:t>
      </w:r>
    </w:p>
    <w:p>
      <w:pPr>
        <w:spacing w:after="0" w:line="18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Additionally, Polestar’s retail footprint more than doubled in 2021 to 100 locations globally and the company aims to have 150 in operation by the end of 2022. In addition to the openings of inner-city Polestar Spaces, the company debuted its new, larger, out-of-town Polestar Destinations. The first permanent Polestar Destination opened in December 2021, outside Gothenburg, Sweden.</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2021, Polestar also announced its plans to launch three new cars in the coming three years. Polestar 3, a premium electric performance SUV, is set to launch in 2022 and will be the first Polestar to be built in the US. Polestar 3 will benefit from advanced technologies from Luminar, Nvidia and Zenseact that will provide cutting-edge unsupervised autonomous driving functionality.</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About Polestar</w:t>
      </w:r>
    </w:p>
    <w:p>
      <w:pPr>
        <w:spacing w:after="0" w:line="11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Polestar was established as a new, standalone Swedish premium electric vehicle manufacturer in 2017. Founded by Volvo Cars and Geely Holding, Polestar enjoys specific technological and engineering synergies with Volvo Cars and benefits from significant economies of scale as a result.</w:t>
      </w:r>
    </w:p>
    <w:p>
      <w:pPr>
        <w:spacing w:after="0" w:line="12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color w:val="auto"/>
        </w:rPr>
        <w:t>Polestar is headquartered in Gothenburg, Sweden, and its vehicles are currently available and on the road in markets across Europe, North America, China and Asia Pacific. By 2023, the company plans to be present in 30 global markets. Polestar cars are currently manufactured in two facilities in China, with additional future manufacturing planned in the USA.</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i w:val="1"/>
          <w:iCs w:val="1"/>
          <w:color w:val="auto"/>
        </w:rPr>
        <w:t xml:space="preserve">In September 2021, Polestar announced its intention to list as a public company on the Nasdaq in a business combination agreement with Gores Guggenheim, Inc. Full information on this definitive agreement can be found </w:t>
      </w:r>
      <w:r>
        <w:rPr>
          <w:rFonts w:ascii="Arial" w:cs="Arial" w:eastAsia="Arial" w:hAnsi="Arial"/>
          <w:sz w:val="18"/>
          <w:szCs w:val="18"/>
          <w:i w:val="1"/>
          <w:iCs w:val="1"/>
          <w:u w:val="single" w:color="auto"/>
          <w:color w:val="auto"/>
        </w:rPr>
        <w:t>here</w:t>
      </w:r>
      <w:r>
        <w:rPr>
          <w:rFonts w:ascii="Arial" w:cs="Arial" w:eastAsia="Arial" w:hAnsi="Arial"/>
          <w:sz w:val="18"/>
          <w:szCs w:val="18"/>
          <w:i w:val="1"/>
          <w:iCs w:val="1"/>
          <w:color w:val="auto"/>
        </w:rPr>
        <w: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Polestar has produced two electric performance cars. The Polestar 1 was built between 2019 and 2021 as a low-volume electric performance hybrid GT with a carbon fiber body, 609 hp, 1,000 Nm and an electric-only range of 124 km (WLTP) – the longest of any hybrid car in the world.</w:t>
      </w:r>
    </w:p>
    <w:p>
      <w:pPr>
        <w:spacing w:after="0" w:line="14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300 kW / 408 hp and 660 Nm.</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In the coming three years, Polestar plans to launch one new electric vehicle per year, starting with Polestar 3 in 2022 – the company’s first electric performance SUV. Polestar 4 is expected to follow in 2023, a smaller electric performance SUV coupe.</w:t>
      </w:r>
    </w:p>
    <w:p>
      <w:pPr>
        <w:spacing w:after="0" w:line="170"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i w:val="1"/>
          <w:iCs w:val="1"/>
          <w:color w:val="auto"/>
        </w:rPr>
        <w:t>In 2024, the Polestar 5 electric performance 4-door GT is planned to be launched as the production evolution of Polestar Precept – the manifesto concept car that Polestar released in 2020 that showcases the brand’s future vision in terms of design, technology, and sustainability. As the company seeks to reduce its climate impact with every new model, Polestar aims to produce a truly climate-neutral car by 2030.</w:t>
      </w:r>
    </w:p>
    <w:p>
      <w:pPr>
        <w:sectPr>
          <w:pgSz w:w="11900" w:h="16838" w:orient="portrait"/>
          <w:cols w:equalWidth="0" w:num="1">
            <w:col w:w="11000"/>
          </w:cols>
          <w:pgMar w:left="440" w:top="27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Gores Guggenheim, Inc.</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Gores Guggenheim, Inc. (Nasdaq: GGPI, GGPIW, and GGPIU) is a special purpose acquisition company sponsored by an affiliate of The Gores Group, LLC, founded by Alec Gores, and by an affiliate of Guggenheim Capital, LLC. Gores Guggenheim completed its initial public offering in April 2021, raising approximately USD 800 million in cash proceeds for the purpose of effecting a merger, capital stock exchange, asset acquisition, stock purchase, reorganization or similar business combination with one or more businesses. Gores Guggenheim’s strategy is to identify and complete business combinations with market leading companies with strong equity stories that will benefit from the growth capital of the public equity markets and be enhanced by the experience and expertise of Gores’ and Guggenheim’s long history and track record of investing in and operating businesses.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Gores Guggenheim, Inc. (“Gores Guggenheim”), Polestar Performance AB and/or its affiliates (the “Company”) and Polestar Automotive Holding UK Limited (“ListCo”). For example, projections of future Adjusted EBITDA or revenue and other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7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These forward-looking statements are based upon estimates and assumptions that, while considered reasonable by Gores Guggenheim and its management, and the Company and its management, as the case may be, are inherently uncertain. Factors that may cause actual results to differ materially from current expectations include, but are not limited to: (1) the occurrence of any event, change or other circumstances that could give rise to the termination of definitive agreements with respect to the Business Combination; (2) the outcome of any legal proceedings that may be instituted against Gores Guggenheim, the combined company or others following the announcement of the Business Combination and any definitive agreements with respect thereto; (3) the inability to complete the Business Combination due to the failure to obtain approval of the stockholders of Gores Guggenheim, to obtain financing to complete the Business Combination or to satisfy other conditions to closing; (4) changes to the proposed structure of the Business Combination that may be required or appropriate as a result of applicable laws or regulations or as a condition to obtaining regulatory approval of the Business Combination; (5) the ability to meet stock exchange listing standards following the consummation of the Business Combination; (6) the risk that the Business Combination disrupts current plans and operations of the Company as a result of the announcement and consummation of the Business Combination; (7)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(8) costs related to the Business Combination; (9) risks associated with changes in applicable laws or regulations and the Company’s international operations; (10) the possibility that the Company or the combined company may be adversely affected by other economic, business, and/or competitive factors; (11) the Company’s estimates of expenses and profitability; (12) the Company’s ability to maintain agreements or partnerships with its strategic partners Volvo Cars and Geely and to develop new agreements or partnerships; (13) the Company’s ability to maintain relationships with its existing suppliers and strategic partners, and source new suppliers for its critical components, and to complete building out its</w:t>
      </w:r>
    </w:p>
    <w:p>
      <w:pPr>
        <w:sectPr>
          <w:pgSz w:w="11900" w:h="16838" w:orient="portrait"/>
          <w:cols w:equalWidth="0" w:num="1">
            <w:col w:w="11000"/>
          </w:cols>
          <w:pgMar w:left="440" w:top="274" w:right="459" w:bottom="1440" w:gutter="0" w:footer="0" w:header="0"/>
        </w:sectPr>
      </w:pPr>
    </w:p>
    <w:bookmarkStart w:id="4" w:name="page5"/>
    <w:bookmarkEnd w:id="4"/>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supply chain, while effectively managing the risks due to such relationships; (14) the Company’s reliance on its partnerships with vehicle charging networks to provide charging solutions for its vehicles and its strategic partners for servicing its vehicles and their integrated software; (15) the Company’s ability to establish its brand and capture additional market share, and the risks associated with negative press or reputational harm, including from lithium-ion battery cells catching fire or venting smoke; (16) delays in the design, manufacture, launch and financing of the Company’s vehicles and the Company’s reliance on a limited number of vehicle models to generate revenues; (17) the Company’s ability to continuously and rapidly innovate, develop and market new products; (18) risks related to future market adoption of the Company’s offerings; (19) increases in costs, disruption of supply or shortage of materials, in particular for lithium-ion cells or semiconductors; (20) the Company’s reliance on its partners to manufacture vehicles at a high volume, some of which have limited experience in producing electric vehicles, and on the allocation of sufficient production capacity to the Company by its partners in order for the Company to be able to increase its vehicle production capacities; (21) risks related to the Company’s distribution model; (22) the effects of competition and the high barriers to entry in the automotive industry, and the pace and depth of electric vehicle adoption generally on the Company’s future business; (23) changes in regulatory requirements, governmental incentives and fuel and energy prices;</w:t>
      </w:r>
    </w:p>
    <w:p>
      <w:pPr>
        <w:spacing w:after="0" w:line="4" w:lineRule="exact"/>
        <w:rPr>
          <w:sz w:val="20"/>
          <w:szCs w:val="20"/>
          <w:color w:val="auto"/>
        </w:rPr>
      </w:pPr>
    </w:p>
    <w:p>
      <w:pPr>
        <w:ind w:left="4" w:right="120" w:hanging="4"/>
        <w:spacing w:after="0" w:line="269" w:lineRule="auto"/>
        <w:tabs>
          <w:tab w:leader="none" w:pos="349"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the global COVID-19 pandemic on Gores Guggenheim, the Company, the Company’s post business combination’s projected results of operations, financial performance or other financial metrics, or on any of the foregoing risks; and (25) other risks and uncertainties set forth in the section entitled “Risk Factors” and “Cautionary Note Regarding Forward-Looking Statements” in Gores Guggenheim’s final prospectus relating to its initial public offering (File No. 333-253338) declared effective by the SEC on March 22, 2021, and other documents filed, or to be filed, with the SEC by Gores Guggenheim or ListCo, including the Registration/Proxy Statement. There may be additional risks that neither Gores Guggenheim, the Company nor ListCo presently know or that Gores Guggenheim, the Company or ListCo currently believe are immaterial that could also cause actual results to differ from those contained in the forward-looking statements.</w:t>
      </w:r>
    </w:p>
    <w:p>
      <w:pPr>
        <w:spacing w:after="0" w:line="180"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Gores Guggenheim, the Company nor ListCo undertakes any duty to update these forward-looking statements.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In connection with the proposed Business Combination, (i) ListCo has filed with the SEC a Registration/Proxy Statement, and (ii) Gores Guggenheim will file a definitive proxy statement relating to the proposed Business Combination (the “Definitive Proxy Statement”) and will mail the Definitive Proxy Statement and other relevant materials to its stockholders after the Registration/Proxy Statement is declared effective. The Registration/Proxy Statement will contain important information about the proposed Business Combination and the other matters to be voted upon at a meeting of Gores Guggenheim stockholders to be held to approve the proposed Business Combination. This Press Release does not contain all the information that should be considered concerning the proposed Business Combination and is not intended to form the basis of any investment decision or any other decision in respect of the Business Combination. Before making any voting or other investment decisions,</w:t>
      </w:r>
    </w:p>
    <w:p>
      <w:pPr>
        <w:sectPr>
          <w:pgSz w:w="11900" w:h="16838" w:orient="portrait"/>
          <w:cols w:equalWidth="0" w:num="1">
            <w:col w:w="10964"/>
          </w:cols>
          <w:pgMar w:left="436" w:top="274" w:right="499" w:bottom="1440" w:gutter="0" w:footer="0" w:header="0"/>
        </w:sectPr>
      </w:pPr>
    </w:p>
    <w:bookmarkStart w:id="5" w:name="page6"/>
    <w:bookmarkEnd w:id="5"/>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securityholders of Gores Guggenheim and other interested persons are advised to read, the Registration/Proxy Statement and the amendments thereto and the Definitive Proxy Statement and other documents filed in connection with the proposed Business Combination, as these materials will contain important information about Gores Guggenheim, the Company, ListCo and the Business Combination. When available, the Definitive Proxy Statement and other relevant materials for the proposed Business Combination will be mailed to stockholders of Gores Guggenheim as of a record date to be established for voting on the proposed Business Combination. Stockholders will also be able to obtain copies of the Registration/Proxy Statement, the Definitive Proxy Statement and other documents filed with the SEC, without charge, once available, at the SEC’s website at www.sec.gov, or by directing a request to: Gores Guggenheim, Inc., 6260 Lookout Rd., Boulder, CO 80301, attention: Jennifer Kwon Chou.</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Gores Guggenheim and certain of its directors and executive officers may be deemed participants in the solicitation of proxies from Gores Guggenheim’s stockholders with respect to the proposed Business Combination. A list of the names of those directors and executive officers and a description of their interests in Gores Guggenheim is set forth in Gores Guggenheim’s filings with the SEC (including Gores Guggenheim’s final prospectus related to its initial public offering (File No. 333-253338) declared effective by the SEC on March 22, 2021), and are available free of charge at the SEC’s website at www.sec.gov, or by directing a request to Gores Guggenheim, Inc., 6260 Lookout Rd., Boulder, CO 80301, attention: Jennifer Kwon Chou. Additional information regarding the interests of such participants is contained in the Registration/Proxy Statement.</w:t>
      </w:r>
    </w:p>
    <w:p>
      <w:pPr>
        <w:spacing w:after="0" w:line="16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Company and ListCo, and certain of their directors and executive officers may also be deemed to be participants in the solicitation of proxies from the stockholders of Gores Guggenheim in connection with the proposed Business Combination. A list of the names of such directors and executive officers and information regarding their interests in the proposed Business Combination is included in the Registration/Proxy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and Non-Solicitation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Gores Guggenheim, the Company or ListCo,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ectPr>
          <w:pgSz w:w="11900" w:h="16838" w:orient="portrait"/>
          <w:cols w:equalWidth="0" w:num="1">
            <w:col w:w="10960"/>
          </w:cols>
          <w:pgMar w:left="440" w:top="274"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inquiries regarding 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Goodman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jonathan.goodman@polestar.com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Andrew Lytheer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andrew.lytheer@polestar.com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John Paolo Canton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Polestar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jp.canton@polestar.com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inquiries regarding The Gores Group and affiliates: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Jennifer Kwon Chou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Gores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jchou@gores.com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Christiansen/Cassandra Bujarski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GoresGroup-SVC@sardverb.com</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2022-01-11T08:03:47Z</dcterms:created>
  <dcterms:modified xsi:type="dcterms:W3CDTF">2022-01-11T08:03:47Z</dcterms:modified>
</cp:coreProperties>
</file>