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2)*</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14605</wp:posOffset>
            </wp:positionV>
            <wp:extent cx="53492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A American Depositary Shares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A Ordinary Shares, par value $0.01 each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731105201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14605</wp:posOffset>
            </wp:positionV>
            <wp:extent cx="53492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Zhejiang Geely Holding Group Company Limited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 1760 Jiangling Road, Binjiang District, Hangzhou, Zhejiang,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+86 (571) 2809 8282</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with copies to,</w:t>
      </w:r>
    </w:p>
    <w:p>
      <w:pPr>
        <w:spacing w:after="0" w:line="2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King &amp; Wood Mallesons LLP</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Laura Hua Luo Hemmann, Esq</w:t>
      </w:r>
    </w:p>
    <w:p>
      <w:pPr>
        <w:spacing w:after="0" w:line="9" w:lineRule="exact"/>
        <w:rPr>
          <w:sz w:val="24"/>
          <w:szCs w:val="24"/>
          <w:color w:val="auto"/>
        </w:rPr>
      </w:pPr>
    </w:p>
    <w:p>
      <w:pPr>
        <w:ind w:left="4600" w:right="4600" w:firstLine="169"/>
        <w:spacing w:after="0" w:line="234" w:lineRule="auto"/>
        <w:tabs>
          <w:tab w:leader="none" w:pos="5079" w:val="left"/>
        </w:tabs>
        <w:numPr>
          <w:ilvl w:val="0"/>
          <w:numId w:val="1"/>
        </w:numPr>
        <w:rPr>
          <w:rFonts w:ascii="Arial" w:cs="Arial" w:eastAsia="Arial" w:hAnsi="Arial"/>
          <w:sz w:val="16"/>
          <w:szCs w:val="16"/>
          <w:color w:val="auto"/>
        </w:rPr>
      </w:pPr>
      <w:r>
        <w:rPr>
          <w:rFonts w:ascii="Arial" w:cs="Arial" w:eastAsia="Arial" w:hAnsi="Arial"/>
          <w:sz w:val="16"/>
          <w:szCs w:val="16"/>
          <w:color w:val="auto"/>
        </w:rPr>
        <w:t>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Ave.,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10110</w:t>
      </w:r>
    </w:p>
    <w:p>
      <w:pPr>
        <w:spacing w:after="0" w:line="1" w:lineRule="exact"/>
        <w:rPr>
          <w:rFonts w:ascii="Arial" w:cs="Arial" w:eastAsia="Arial" w:hAnsi="Arial"/>
          <w:sz w:val="16"/>
          <w:szCs w:val="16"/>
          <w:color w:val="auto"/>
        </w:rPr>
      </w:pPr>
    </w:p>
    <w:p>
      <w:pPr>
        <w:ind w:left="5020"/>
        <w:spacing w:after="0"/>
        <w:rPr>
          <w:rFonts w:ascii="Arial" w:cs="Arial" w:eastAsia="Arial" w:hAnsi="Arial"/>
          <w:sz w:val="16"/>
          <w:szCs w:val="16"/>
          <w:color w:val="auto"/>
        </w:rPr>
      </w:pPr>
      <w:r>
        <w:rPr>
          <w:rFonts w:ascii="Arial" w:cs="Arial" w:eastAsia="Arial" w:hAnsi="Arial"/>
          <w:sz w:val="18"/>
          <w:szCs w:val="18"/>
          <w:color w:val="auto"/>
        </w:rPr>
        <w:t>+1 212 319 4755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May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14605</wp:posOffset>
            </wp:positionV>
            <wp:extent cx="53492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4" w:lineRule="exact"/>
        <w:rPr>
          <w:sz w:val="24"/>
          <w:szCs w:val="24"/>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b w:val="1"/>
          <w:b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6772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77227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3" w:lineRule="exact"/>
        <w:rPr>
          <w:rFonts w:ascii="Arial" w:cs="Arial" w:eastAsia="Arial" w:hAnsi="Arial"/>
          <w:sz w:val="18"/>
          <w:szCs w:val="18"/>
          <w:color w:val="auto"/>
        </w:rPr>
      </w:pPr>
    </w:p>
    <w:p>
      <w:pPr>
        <w:ind w:left="780" w:right="6280"/>
        <w:spacing w:after="0" w:line="26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Geely Sweden Holdings AB</w:t>
      </w:r>
    </w:p>
    <w:p>
      <w:pPr>
        <w:spacing w:after="0" w:line="144" w:lineRule="exact"/>
        <w:rPr>
          <w:rFonts w:ascii="Arial" w:cs="Arial" w:eastAsia="Arial" w:hAnsi="Arial"/>
          <w:sz w:val="18"/>
          <w:szCs w:val="18"/>
          <w:color w:val="auto"/>
        </w:rPr>
      </w:pPr>
    </w:p>
    <w:p>
      <w:pPr>
        <w:ind w:left="780" w:hanging="673"/>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3" w:lineRule="exact"/>
        <w:rPr>
          <w:rFonts w:ascii="Arial" w:cs="Arial" w:eastAsia="Arial" w:hAnsi="Arial"/>
          <w:sz w:val="18"/>
          <w:szCs w:val="18"/>
          <w:color w:val="auto"/>
        </w:rPr>
      </w:pPr>
    </w:p>
    <w:p>
      <w:pPr>
        <w:ind w:left="1020" w:hanging="241"/>
        <w:spacing w:after="0" w:line="207" w:lineRule="exact"/>
        <w:tabs>
          <w:tab w:leader="none" w:pos="10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40" w:hanging="261"/>
        <w:spacing w:after="0" w:line="207" w:lineRule="exact"/>
        <w:tabs>
          <w:tab w:leader="none" w:pos="10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8" w:lineRule="exact"/>
        <w:rPr>
          <w:rFonts w:ascii="Arial" w:cs="Arial" w:eastAsia="Arial" w:hAnsi="Arial"/>
          <w:sz w:val="18"/>
          <w:szCs w:val="18"/>
          <w:color w:val="auto"/>
        </w:rPr>
      </w:pPr>
    </w:p>
    <w:p>
      <w:pPr>
        <w:ind w:left="780" w:hanging="673"/>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71" w:lineRule="exact"/>
        <w:rPr>
          <w:rFonts w:ascii="Arial" w:cs="Arial" w:eastAsia="Arial" w:hAnsi="Arial"/>
          <w:sz w:val="18"/>
          <w:szCs w:val="18"/>
          <w:color w:val="auto"/>
        </w:rPr>
      </w:pPr>
    </w:p>
    <w:p>
      <w:pPr>
        <w:ind w:left="780" w:hanging="673"/>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 OO, WC</w:t>
      </w:r>
    </w:p>
    <w:p>
      <w:pPr>
        <w:spacing w:after="0" w:line="355" w:lineRule="exact"/>
        <w:rPr>
          <w:rFonts w:ascii="Arial" w:cs="Arial" w:eastAsia="Arial" w:hAnsi="Arial"/>
          <w:sz w:val="18"/>
          <w:szCs w:val="18"/>
          <w:color w:val="auto"/>
        </w:rPr>
      </w:pPr>
    </w:p>
    <w:p>
      <w:pPr>
        <w:ind w:left="780" w:hanging="673"/>
        <w:spacing w:after="0" w:line="207" w:lineRule="exact"/>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780" w:right="7780" w:hanging="673"/>
        <w:spacing w:after="0" w:line="46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Sweden</w:t>
      </w:r>
    </w:p>
    <w:p>
      <w:pPr>
        <w:spacing w:after="0" w:line="1" w:lineRule="exact"/>
        <w:rPr>
          <w:rFonts w:ascii="Arial" w:cs="Arial" w:eastAsia="Arial" w:hAnsi="Arial"/>
          <w:sz w:val="18"/>
          <w:szCs w:val="18"/>
          <w:color w:val="auto"/>
        </w:rPr>
      </w:pPr>
    </w:p>
    <w:p>
      <w:pPr>
        <w:ind w:left="2680" w:hanging="668"/>
        <w:spacing w:after="0"/>
        <w:tabs>
          <w:tab w:leader="none" w:pos="26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8,363,556,070 (1)</w:t>
            </w:r>
          </w:p>
        </w:tc>
        <w:tc>
          <w:tcPr>
            <w:tcW w:w="0" w:type="dxa"/>
            <w:vAlign w:val="bottom"/>
          </w:tcPr>
          <w:p>
            <w:pPr>
              <w:spacing w:after="0"/>
              <w:rPr>
                <w:sz w:val="1"/>
                <w:szCs w:val="1"/>
                <w:color w:val="auto"/>
              </w:rPr>
            </w:pPr>
          </w:p>
        </w:tc>
      </w:tr>
      <w:tr>
        <w:trPr>
          <w:trHeight w:val="88"/>
        </w:trPr>
        <w:tc>
          <w:tcPr>
            <w:tcW w:w="1420" w:type="dxa"/>
            <w:vAlign w:val="bottom"/>
            <w:vMerge w:val="restart"/>
          </w:tcPr>
          <w:p>
            <w:pPr>
              <w:jc w:val="center"/>
              <w:ind w:right="390"/>
              <w:spacing w:after="0"/>
              <w:rPr>
                <w:sz w:val="20"/>
                <w:szCs w:val="20"/>
                <w:color w:val="auto"/>
              </w:rPr>
            </w:pPr>
            <w:r>
              <w:rPr>
                <w:rFonts w:ascii="Arial" w:cs="Arial" w:eastAsia="Arial" w:hAnsi="Arial"/>
                <w:sz w:val="18"/>
                <w:szCs w:val="18"/>
                <w:color w:val="auto"/>
                <w:w w:val="92"/>
              </w:rPr>
              <w:t>Number of</w:t>
            </w:r>
          </w:p>
        </w:tc>
        <w:tc>
          <w:tcPr>
            <w:tcW w:w="50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420" w:type="dxa"/>
            <w:vAlign w:val="bottom"/>
            <w:vMerge w:val="continue"/>
          </w:tcPr>
          <w:p>
            <w:pPr>
              <w:spacing w:after="0"/>
              <w:rPr>
                <w:sz w:val="21"/>
                <w:szCs w:val="21"/>
                <w:color w:val="auto"/>
              </w:rPr>
            </w:pP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882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370"/>
              <w:spacing w:after="0"/>
              <w:rPr>
                <w:sz w:val="20"/>
                <w:szCs w:val="20"/>
                <w:color w:val="auto"/>
              </w:rPr>
            </w:pPr>
            <w:r>
              <w:rPr>
                <w:rFonts w:ascii="Arial" w:cs="Arial" w:eastAsia="Arial" w:hAnsi="Arial"/>
                <w:sz w:val="18"/>
                <w:szCs w:val="18"/>
                <w:color w:val="auto"/>
                <w:w w:val="84"/>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70"/>
              <w:spacing w:after="0"/>
              <w:rPr>
                <w:sz w:val="20"/>
                <w:szCs w:val="20"/>
                <w:color w:val="auto"/>
              </w:rPr>
            </w:pPr>
            <w:r>
              <w:rPr>
                <w:rFonts w:ascii="Arial" w:cs="Arial" w:eastAsia="Arial" w:hAnsi="Arial"/>
                <w:sz w:val="18"/>
                <w:szCs w:val="18"/>
                <w:color w:val="auto"/>
                <w:w w:val="96"/>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420" w:type="dxa"/>
            <w:vAlign w:val="bottom"/>
            <w:vMerge w:val="restart"/>
          </w:tcPr>
          <w:p>
            <w:pPr>
              <w:jc w:val="center"/>
              <w:ind w:right="390"/>
              <w:spacing w:after="0"/>
              <w:rPr>
                <w:sz w:val="20"/>
                <w:szCs w:val="20"/>
                <w:color w:val="auto"/>
              </w:rPr>
            </w:pPr>
            <w:r>
              <w:rPr>
                <w:rFonts w:ascii="Arial" w:cs="Arial" w:eastAsia="Arial" w:hAnsi="Arial"/>
                <w:sz w:val="18"/>
                <w:szCs w:val="18"/>
                <w:color w:val="auto"/>
                <w:w w:val="91"/>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420" w:type="dxa"/>
            <w:vAlign w:val="bottom"/>
            <w:vMerge w:val="continue"/>
          </w:tcPr>
          <w:p>
            <w:pPr>
              <w:spacing w:after="0"/>
              <w:rPr>
                <w:sz w:val="6"/>
                <w:szCs w:val="6"/>
                <w:color w:val="auto"/>
              </w:rPr>
            </w:pPr>
          </w:p>
        </w:tc>
        <w:tc>
          <w:tcPr>
            <w:tcW w:w="500" w:type="dxa"/>
            <w:vAlign w:val="bottom"/>
            <w:vMerge w:val="restart"/>
          </w:tcPr>
          <w:p>
            <w:pPr>
              <w:jc w:val="right"/>
              <w:ind w:right="190"/>
              <w:spacing w:after="0"/>
              <w:rPr>
                <w:sz w:val="20"/>
                <w:szCs w:val="20"/>
                <w:color w:val="auto"/>
              </w:rPr>
            </w:pPr>
            <w:r>
              <w:rPr>
                <w:rFonts w:ascii="Arial" w:cs="Arial" w:eastAsia="Arial" w:hAnsi="Arial"/>
                <w:sz w:val="18"/>
                <w:szCs w:val="18"/>
                <w:color w:val="auto"/>
              </w:rPr>
              <w:t>9.</w:t>
            </w: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390"/>
              <w:spacing w:after="0"/>
              <w:rPr>
                <w:sz w:val="20"/>
                <w:szCs w:val="20"/>
                <w:color w:val="auto"/>
              </w:rPr>
            </w:pPr>
            <w:r>
              <w:rPr>
                <w:rFonts w:ascii="Arial" w:cs="Arial" w:eastAsia="Arial" w:hAnsi="Arial"/>
                <w:sz w:val="18"/>
                <w:szCs w:val="18"/>
                <w:color w:val="auto"/>
                <w:w w:val="89"/>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70"/>
              <w:spacing w:after="0"/>
              <w:rPr>
                <w:sz w:val="20"/>
                <w:szCs w:val="20"/>
                <w:color w:val="auto"/>
              </w:rPr>
            </w:pPr>
            <w:r>
              <w:rPr>
                <w:rFonts w:ascii="Arial" w:cs="Arial" w:eastAsia="Arial" w:hAnsi="Arial"/>
                <w:sz w:val="18"/>
                <w:szCs w:val="18"/>
                <w:color w:val="auto"/>
                <w:w w:val="92"/>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1,035,577,528 (1)</w:t>
            </w:r>
          </w:p>
        </w:tc>
        <w:tc>
          <w:tcPr>
            <w:tcW w:w="0" w:type="dxa"/>
            <w:vAlign w:val="bottom"/>
          </w:tcPr>
          <w:p>
            <w:pPr>
              <w:spacing w:after="0"/>
              <w:rPr>
                <w:sz w:val="1"/>
                <w:szCs w:val="1"/>
                <w:color w:val="auto"/>
              </w:rPr>
            </w:pPr>
          </w:p>
        </w:tc>
      </w:tr>
      <w:tr>
        <w:trPr>
          <w:trHeight w:val="230"/>
        </w:trPr>
        <w:tc>
          <w:tcPr>
            <w:tcW w:w="1420" w:type="dxa"/>
            <w:vAlign w:val="bottom"/>
          </w:tcPr>
          <w:p>
            <w:pPr>
              <w:jc w:val="center"/>
              <w:ind w:right="390"/>
              <w:spacing w:after="0"/>
              <w:rPr>
                <w:sz w:val="20"/>
                <w:szCs w:val="20"/>
                <w:color w:val="auto"/>
              </w:rPr>
            </w:pPr>
            <w:r>
              <w:rPr>
                <w:rFonts w:ascii="Arial" w:cs="Arial" w:eastAsia="Arial" w:hAnsi="Arial"/>
                <w:sz w:val="18"/>
                <w:szCs w:val="18"/>
                <w:color w:val="auto"/>
                <w:w w:val="91"/>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680" w:right="6640" w:hanging="668"/>
        <w:spacing w:after="0" w:line="477" w:lineRule="auto"/>
        <w:tabs>
          <w:tab w:leader="none" w:pos="2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780" w:right="5620" w:hanging="673"/>
        <w:spacing w:after="0" w:line="451"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1,035,577,528 (1)</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303"/>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12.</w:t>
            </w:r>
          </w:p>
        </w:tc>
        <w:tc>
          <w:tcPr>
            <w:tcW w:w="7020" w:type="dxa"/>
            <w:vAlign w:val="bottom"/>
          </w:tcPr>
          <w:p>
            <w:pPr>
              <w:ind w:left="220"/>
              <w:spacing w:after="0" w:line="207" w:lineRule="exact"/>
              <w:rPr>
                <w:sz w:val="20"/>
                <w:szCs w:val="20"/>
                <w:color w:val="auto"/>
              </w:rPr>
            </w:pPr>
            <w:r>
              <w:rPr>
                <w:rFonts w:ascii="Arial" w:cs="Arial" w:eastAsia="Arial" w:hAnsi="Arial"/>
                <w:sz w:val="18"/>
                <w:szCs w:val="18"/>
                <w:color w:val="auto"/>
                <w:w w:val="92"/>
              </w:rPr>
              <w:t xml:space="preserve">Check if the Aggregate Amount in Row (11) Excludes Certain Shares (See Instructions):   </w:t>
            </w:r>
            <w:r>
              <w:rPr>
                <w:rFonts w:ascii="MS PGothic" w:cs="MS PGothic" w:eastAsia="MS PGothic" w:hAnsi="MS PGothic"/>
                <w:sz w:val="18"/>
                <w:szCs w:val="18"/>
                <w:color w:val="auto"/>
                <w:w w:val="92"/>
              </w:rPr>
              <w:t>☐</w:t>
            </w:r>
          </w:p>
        </w:tc>
      </w:tr>
    </w:tbl>
    <w:p>
      <w:pPr>
        <w:spacing w:after="0" w:line="336" w:lineRule="exact"/>
        <w:rPr>
          <w:sz w:val="20"/>
          <w:szCs w:val="20"/>
          <w:color w:val="auto"/>
        </w:rPr>
      </w:pPr>
    </w:p>
    <w:p>
      <w:pPr>
        <w:ind w:left="780" w:hanging="673"/>
        <w:spacing w:after="0"/>
        <w:tabs>
          <w:tab w:leader="none" w:pos="78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49.1% (2)(3)</w:t>
      </w:r>
    </w:p>
    <w:p>
      <w:pPr>
        <w:spacing w:after="0" w:line="184" w:lineRule="exact"/>
        <w:rPr>
          <w:rFonts w:ascii="Arial" w:cs="Arial" w:eastAsia="Arial" w:hAnsi="Arial"/>
          <w:sz w:val="18"/>
          <w:szCs w:val="18"/>
          <w:color w:val="auto"/>
        </w:rPr>
      </w:pPr>
    </w:p>
    <w:p>
      <w:pPr>
        <w:ind w:left="780" w:hanging="673"/>
        <w:spacing w:after="0"/>
        <w:tabs>
          <w:tab w:leader="none" w:pos="7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19" w:lineRule="exact"/>
        <w:rPr>
          <w:rFonts w:ascii="Arial" w:cs="Arial" w:eastAsia="Arial" w:hAnsi="Arial"/>
          <w:sz w:val="18"/>
          <w:szCs w:val="18"/>
          <w:color w:val="auto"/>
        </w:rPr>
      </w:pPr>
    </w:p>
    <w:p>
      <w:pPr>
        <w:jc w:val="both"/>
        <w:ind w:left="340" w:hanging="332"/>
        <w:spacing w:after="0" w:line="270"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See Item 2 below under the subtitle </w:t>
      </w:r>
      <w:r>
        <w:rPr>
          <w:rFonts w:ascii="Arial" w:cs="Arial" w:eastAsia="Arial" w:hAnsi="Arial"/>
          <w:sz w:val="17"/>
          <w:szCs w:val="17"/>
          <w:i w:val="1"/>
          <w:iCs w:val="1"/>
          <w:color w:val="auto"/>
        </w:rPr>
        <w:t>Explanatory Note Regarding the Relationships of the Reporting Persons</w:t>
      </w:r>
      <w:r>
        <w:rPr>
          <w:rFonts w:ascii="Arial" w:cs="Arial" w:eastAsia="Arial" w:hAnsi="Arial"/>
          <w:sz w:val="17"/>
          <w:szCs w:val="17"/>
          <w:color w:val="auto"/>
        </w:rPr>
        <w:t xml:space="preserve"> for a description of the Reporting Persons’ shareholding structure, which determines their respective voting power. Includes (i) 204,572,624 Class A American Depository Shares (“</w:t>
      </w:r>
      <w:r>
        <w:rPr>
          <w:rFonts w:ascii="Arial" w:cs="Arial" w:eastAsia="Arial" w:hAnsi="Arial"/>
          <w:sz w:val="17"/>
          <w:szCs w:val="17"/>
          <w:b w:val="1"/>
          <w:bCs w:val="1"/>
          <w:color w:val="auto"/>
        </w:rPr>
        <w:t>Class A</w:t>
      </w:r>
      <w:r>
        <w:rPr>
          <w:rFonts w:ascii="Arial" w:cs="Arial" w:eastAsia="Arial" w:hAnsi="Arial"/>
          <w:sz w:val="17"/>
          <w:szCs w:val="17"/>
          <w:color w:val="auto"/>
        </w:rPr>
        <w:t xml:space="preserve"> </w:t>
      </w:r>
      <w:r>
        <w:rPr>
          <w:rFonts w:ascii="Arial" w:cs="Arial" w:eastAsia="Arial" w:hAnsi="Arial"/>
          <w:sz w:val="17"/>
          <w:szCs w:val="17"/>
          <w:b w:val="1"/>
          <w:bCs w:val="1"/>
          <w:color w:val="auto"/>
        </w:rPr>
        <w:t>ADSs</w:t>
      </w:r>
      <w:r>
        <w:rPr>
          <w:rFonts w:ascii="Arial" w:cs="Arial" w:eastAsia="Arial" w:hAnsi="Arial"/>
          <w:sz w:val="17"/>
          <w:szCs w:val="17"/>
          <w:color w:val="auto"/>
        </w:rPr>
        <w:t>”) and 814,219,838 Class B American Depositary Shares (“</w:t>
      </w:r>
      <w:r>
        <w:rPr>
          <w:rFonts w:ascii="Arial" w:cs="Arial" w:eastAsia="Arial" w:hAnsi="Arial"/>
          <w:sz w:val="17"/>
          <w:szCs w:val="17"/>
          <w:b w:val="1"/>
          <w:bCs w:val="1"/>
          <w:color w:val="auto"/>
        </w:rPr>
        <w:t>Class B ADSs</w:t>
      </w:r>
      <w:r>
        <w:rPr>
          <w:rFonts w:ascii="Arial" w:cs="Arial" w:eastAsia="Arial" w:hAnsi="Arial"/>
          <w:sz w:val="17"/>
          <w:szCs w:val="17"/>
          <w:color w:val="auto"/>
        </w:rPr>
        <w:t>”) directly held by Snita Holding B.V.; (ii) 12,106,514 Class A ADSs</w:t>
      </w:r>
      <w:r>
        <w:rPr>
          <w:rFonts w:ascii="Arial" w:cs="Arial" w:eastAsia="Arial" w:hAnsi="Arial"/>
          <w:sz w:val="17"/>
          <w:szCs w:val="17"/>
          <w:b w:val="1"/>
          <w:bCs w:val="1"/>
          <w:color w:val="auto"/>
        </w:rPr>
        <w:t xml:space="preserve"> </w:t>
      </w:r>
      <w:r>
        <w:rPr>
          <w:rFonts w:ascii="Arial" w:cs="Arial" w:eastAsia="Arial" w:hAnsi="Arial"/>
          <w:sz w:val="17"/>
          <w:szCs w:val="17"/>
          <w:color w:val="auto"/>
        </w:rPr>
        <w:t>directly held by GLY New Mobility 1. LP (“</w:t>
      </w:r>
      <w:r>
        <w:rPr>
          <w:rFonts w:ascii="Arial" w:cs="Arial" w:eastAsia="Arial" w:hAnsi="Arial"/>
          <w:sz w:val="17"/>
          <w:szCs w:val="17"/>
          <w:b w:val="1"/>
          <w:bCs w:val="1"/>
          <w:color w:val="auto"/>
        </w:rPr>
        <w:t>GLY New Mobility</w:t>
      </w:r>
      <w:r>
        <w:rPr>
          <w:rFonts w:ascii="Arial" w:cs="Arial" w:eastAsia="Arial" w:hAnsi="Arial"/>
          <w:sz w:val="17"/>
          <w:szCs w:val="17"/>
          <w:color w:val="auto"/>
        </w:rPr>
        <w:t>”); and (iii) 4,678,552 Class A ADSs directly held by Northpole GLY 1 LP (“</w:t>
      </w:r>
      <w:r>
        <w:rPr>
          <w:rFonts w:ascii="Arial" w:cs="Arial" w:eastAsia="Arial" w:hAnsi="Arial"/>
          <w:sz w:val="17"/>
          <w:szCs w:val="17"/>
          <w:b w:val="1"/>
          <w:bCs w:val="1"/>
          <w:color w:val="auto"/>
        </w:rPr>
        <w:t>Northpole 1</w:t>
      </w:r>
      <w:r>
        <w:rPr>
          <w:rFonts w:ascii="Arial" w:cs="Arial" w:eastAsia="Arial" w:hAnsi="Arial"/>
          <w:sz w:val="17"/>
          <w:szCs w:val="17"/>
          <w:color w:val="auto"/>
        </w:rPr>
        <w:t>”). Northpole 1 and GLY New Mobility have made and/or will further make distributions in species of the Issuer’s securities to its limited partners from time to time. Each Class A ADS represents one Class A Ordinary Share, par value $0.01 each (“</w:t>
      </w:r>
      <w:r>
        <w:rPr>
          <w:rFonts w:ascii="Arial" w:cs="Arial" w:eastAsia="Arial" w:hAnsi="Arial"/>
          <w:sz w:val="17"/>
          <w:szCs w:val="17"/>
          <w:b w:val="1"/>
          <w:bCs w:val="1"/>
          <w:color w:val="auto"/>
        </w:rPr>
        <w:t>Class A Share</w:t>
      </w:r>
      <w:r>
        <w:rPr>
          <w:rFonts w:ascii="Arial" w:cs="Arial" w:eastAsia="Arial" w:hAnsi="Arial"/>
          <w:sz w:val="17"/>
          <w:szCs w:val="17"/>
          <w:color w:val="auto"/>
        </w:rPr>
        <w:t>”). Each Class B ADS represents one Class B Ordinary Share (“</w:t>
      </w:r>
      <w:r>
        <w:rPr>
          <w:rFonts w:ascii="Arial" w:cs="Arial" w:eastAsia="Arial" w:hAnsi="Arial"/>
          <w:sz w:val="17"/>
          <w:szCs w:val="17"/>
          <w:b w:val="1"/>
          <w:bCs w:val="1"/>
          <w:color w:val="auto"/>
        </w:rPr>
        <w:t>Class B Share</w:t>
      </w:r>
      <w:r>
        <w:rPr>
          <w:rFonts w:ascii="Arial" w:cs="Arial" w:eastAsia="Arial" w:hAnsi="Arial"/>
          <w:sz w:val="17"/>
          <w:szCs w:val="17"/>
          <w:color w:val="auto"/>
        </w:rPr>
        <w:t>”).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180"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Calculated by dividing item 11 by the sum of (i) 467,677,673 Class A Shares in the form of Class A ADSs and (ii) 1,642,233,575 Class B Shares in the form of Class B ADSs, issued and outstanding as of December 31, 2022, as reported in the Issuer’s Form 20-F Annual Report filed on April 14, 2023 with the SEC. Assumes the conversion of the Class B Shares referred to in footnote 1 into Class A Shares.</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 of this calculation, the above excludes (i) 15,999,965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33"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6772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77227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3" w:lineRule="exact"/>
        <w:rPr>
          <w:rFonts w:ascii="Arial" w:cs="Arial" w:eastAsia="Arial" w:hAnsi="Arial"/>
          <w:sz w:val="18"/>
          <w:szCs w:val="18"/>
          <w:color w:val="auto"/>
        </w:rPr>
      </w:pPr>
    </w:p>
    <w:p>
      <w:pPr>
        <w:ind w:left="780" w:right="6100"/>
        <w:spacing w:after="0" w:line="323" w:lineRule="auto"/>
        <w:rPr>
          <w:rFonts w:ascii="Arial" w:cs="Arial" w:eastAsia="Arial" w:hAnsi="Arial"/>
          <w:sz w:val="18"/>
          <w:szCs w:val="18"/>
          <w:color w:val="auto"/>
        </w:rPr>
      </w:pPr>
      <w:r>
        <w:rPr>
          <w:rFonts w:ascii="Arial" w:cs="Arial" w:eastAsia="Arial" w:hAnsi="Arial"/>
          <w:sz w:val="16"/>
          <w:szCs w:val="16"/>
          <w:color w:val="auto"/>
        </w:rPr>
        <w:t>I.R.S. Identification Nos. of above persons (entities only): Shanghai Geely Zhaoyuan International Investment Co., Ltd</w:t>
      </w:r>
    </w:p>
    <w:p>
      <w:pPr>
        <w:spacing w:after="0" w:line="97" w:lineRule="exact"/>
        <w:rPr>
          <w:rFonts w:ascii="Arial" w:cs="Arial" w:eastAsia="Arial" w:hAnsi="Arial"/>
          <w:sz w:val="18"/>
          <w:szCs w:val="18"/>
          <w:color w:val="auto"/>
        </w:rPr>
      </w:pPr>
    </w:p>
    <w:p>
      <w:pPr>
        <w:ind w:left="780" w:hanging="673"/>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3" w:lineRule="exact"/>
        <w:rPr>
          <w:rFonts w:ascii="Arial" w:cs="Arial" w:eastAsia="Arial" w:hAnsi="Arial"/>
          <w:sz w:val="18"/>
          <w:szCs w:val="18"/>
          <w:color w:val="auto"/>
        </w:rPr>
      </w:pPr>
    </w:p>
    <w:p>
      <w:pPr>
        <w:ind w:left="1020" w:hanging="241"/>
        <w:spacing w:after="0" w:line="207" w:lineRule="exact"/>
        <w:tabs>
          <w:tab w:leader="none" w:pos="102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40" w:hanging="261"/>
        <w:spacing w:after="0" w:line="207" w:lineRule="exact"/>
        <w:tabs>
          <w:tab w:leader="none" w:pos="104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8" w:lineRule="exact"/>
        <w:rPr>
          <w:rFonts w:ascii="Arial" w:cs="Arial" w:eastAsia="Arial" w:hAnsi="Arial"/>
          <w:sz w:val="18"/>
          <w:szCs w:val="18"/>
          <w:color w:val="auto"/>
        </w:rPr>
      </w:pPr>
    </w:p>
    <w:p>
      <w:pPr>
        <w:ind w:left="780" w:hanging="673"/>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71" w:lineRule="exact"/>
        <w:rPr>
          <w:rFonts w:ascii="Arial" w:cs="Arial" w:eastAsia="Arial" w:hAnsi="Arial"/>
          <w:sz w:val="18"/>
          <w:szCs w:val="18"/>
          <w:color w:val="auto"/>
        </w:rPr>
      </w:pPr>
    </w:p>
    <w:p>
      <w:pPr>
        <w:ind w:left="780" w:hanging="673"/>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 OO, WC</w:t>
      </w:r>
    </w:p>
    <w:p>
      <w:pPr>
        <w:spacing w:after="0" w:line="355" w:lineRule="exact"/>
        <w:rPr>
          <w:rFonts w:ascii="Arial" w:cs="Arial" w:eastAsia="Arial" w:hAnsi="Arial"/>
          <w:sz w:val="18"/>
          <w:szCs w:val="18"/>
          <w:color w:val="auto"/>
        </w:rPr>
      </w:pPr>
    </w:p>
    <w:p>
      <w:pPr>
        <w:ind w:left="780" w:hanging="673"/>
        <w:spacing w:after="0" w:line="207" w:lineRule="exact"/>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780" w:right="7780" w:hanging="673"/>
        <w:spacing w:after="0" w:line="46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China</w:t>
      </w:r>
    </w:p>
    <w:p>
      <w:pPr>
        <w:spacing w:after="0" w:line="1" w:lineRule="exact"/>
        <w:rPr>
          <w:rFonts w:ascii="Arial" w:cs="Arial" w:eastAsia="Arial" w:hAnsi="Arial"/>
          <w:sz w:val="18"/>
          <w:szCs w:val="18"/>
          <w:color w:val="auto"/>
        </w:rPr>
      </w:pPr>
    </w:p>
    <w:p>
      <w:pPr>
        <w:ind w:left="2680" w:hanging="668"/>
        <w:spacing w:after="0"/>
        <w:tabs>
          <w:tab w:leader="none" w:pos="26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8,363,556,070 (1)</w:t>
            </w:r>
          </w:p>
        </w:tc>
        <w:tc>
          <w:tcPr>
            <w:tcW w:w="0" w:type="dxa"/>
            <w:vAlign w:val="bottom"/>
          </w:tcPr>
          <w:p>
            <w:pPr>
              <w:spacing w:after="0"/>
              <w:rPr>
                <w:sz w:val="1"/>
                <w:szCs w:val="1"/>
                <w:color w:val="auto"/>
              </w:rPr>
            </w:pPr>
          </w:p>
        </w:tc>
      </w:tr>
      <w:tr>
        <w:trPr>
          <w:trHeight w:val="88"/>
        </w:trPr>
        <w:tc>
          <w:tcPr>
            <w:tcW w:w="1420" w:type="dxa"/>
            <w:vAlign w:val="bottom"/>
            <w:vMerge w:val="restart"/>
          </w:tcPr>
          <w:p>
            <w:pPr>
              <w:jc w:val="center"/>
              <w:ind w:right="390"/>
              <w:spacing w:after="0"/>
              <w:rPr>
                <w:sz w:val="20"/>
                <w:szCs w:val="20"/>
                <w:color w:val="auto"/>
              </w:rPr>
            </w:pPr>
            <w:r>
              <w:rPr>
                <w:rFonts w:ascii="Arial" w:cs="Arial" w:eastAsia="Arial" w:hAnsi="Arial"/>
                <w:sz w:val="18"/>
                <w:szCs w:val="18"/>
                <w:color w:val="auto"/>
                <w:w w:val="92"/>
              </w:rPr>
              <w:t>Number of</w:t>
            </w:r>
          </w:p>
        </w:tc>
        <w:tc>
          <w:tcPr>
            <w:tcW w:w="50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420" w:type="dxa"/>
            <w:vAlign w:val="bottom"/>
            <w:vMerge w:val="continue"/>
          </w:tcPr>
          <w:p>
            <w:pPr>
              <w:spacing w:after="0"/>
              <w:rPr>
                <w:sz w:val="21"/>
                <w:szCs w:val="21"/>
                <w:color w:val="auto"/>
              </w:rPr>
            </w:pP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882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370"/>
              <w:spacing w:after="0"/>
              <w:rPr>
                <w:sz w:val="20"/>
                <w:szCs w:val="20"/>
                <w:color w:val="auto"/>
              </w:rPr>
            </w:pPr>
            <w:r>
              <w:rPr>
                <w:rFonts w:ascii="Arial" w:cs="Arial" w:eastAsia="Arial" w:hAnsi="Arial"/>
                <w:sz w:val="18"/>
                <w:szCs w:val="18"/>
                <w:color w:val="auto"/>
                <w:w w:val="84"/>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70"/>
              <w:spacing w:after="0"/>
              <w:rPr>
                <w:sz w:val="20"/>
                <w:szCs w:val="20"/>
                <w:color w:val="auto"/>
              </w:rPr>
            </w:pPr>
            <w:r>
              <w:rPr>
                <w:rFonts w:ascii="Arial" w:cs="Arial" w:eastAsia="Arial" w:hAnsi="Arial"/>
                <w:sz w:val="18"/>
                <w:szCs w:val="18"/>
                <w:color w:val="auto"/>
                <w:w w:val="96"/>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420" w:type="dxa"/>
            <w:vAlign w:val="bottom"/>
            <w:vMerge w:val="restart"/>
          </w:tcPr>
          <w:p>
            <w:pPr>
              <w:jc w:val="center"/>
              <w:ind w:right="390"/>
              <w:spacing w:after="0"/>
              <w:rPr>
                <w:sz w:val="20"/>
                <w:szCs w:val="20"/>
                <w:color w:val="auto"/>
              </w:rPr>
            </w:pPr>
            <w:r>
              <w:rPr>
                <w:rFonts w:ascii="Arial" w:cs="Arial" w:eastAsia="Arial" w:hAnsi="Arial"/>
                <w:sz w:val="18"/>
                <w:szCs w:val="18"/>
                <w:color w:val="auto"/>
                <w:w w:val="91"/>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420" w:type="dxa"/>
            <w:vAlign w:val="bottom"/>
            <w:vMerge w:val="continue"/>
          </w:tcPr>
          <w:p>
            <w:pPr>
              <w:spacing w:after="0"/>
              <w:rPr>
                <w:sz w:val="6"/>
                <w:szCs w:val="6"/>
                <w:color w:val="auto"/>
              </w:rPr>
            </w:pPr>
          </w:p>
        </w:tc>
        <w:tc>
          <w:tcPr>
            <w:tcW w:w="500" w:type="dxa"/>
            <w:vAlign w:val="bottom"/>
            <w:vMerge w:val="restart"/>
          </w:tcPr>
          <w:p>
            <w:pPr>
              <w:jc w:val="right"/>
              <w:ind w:right="190"/>
              <w:spacing w:after="0"/>
              <w:rPr>
                <w:sz w:val="20"/>
                <w:szCs w:val="20"/>
                <w:color w:val="auto"/>
              </w:rPr>
            </w:pPr>
            <w:r>
              <w:rPr>
                <w:rFonts w:ascii="Arial" w:cs="Arial" w:eastAsia="Arial" w:hAnsi="Arial"/>
                <w:sz w:val="18"/>
                <w:szCs w:val="18"/>
                <w:color w:val="auto"/>
              </w:rPr>
              <w:t>9.</w:t>
            </w: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390"/>
              <w:spacing w:after="0"/>
              <w:rPr>
                <w:sz w:val="20"/>
                <w:szCs w:val="20"/>
                <w:color w:val="auto"/>
              </w:rPr>
            </w:pPr>
            <w:r>
              <w:rPr>
                <w:rFonts w:ascii="Arial" w:cs="Arial" w:eastAsia="Arial" w:hAnsi="Arial"/>
                <w:sz w:val="18"/>
                <w:szCs w:val="18"/>
                <w:color w:val="auto"/>
                <w:w w:val="89"/>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70"/>
              <w:spacing w:after="0"/>
              <w:rPr>
                <w:sz w:val="20"/>
                <w:szCs w:val="20"/>
                <w:color w:val="auto"/>
              </w:rPr>
            </w:pPr>
            <w:r>
              <w:rPr>
                <w:rFonts w:ascii="Arial" w:cs="Arial" w:eastAsia="Arial" w:hAnsi="Arial"/>
                <w:sz w:val="18"/>
                <w:szCs w:val="18"/>
                <w:color w:val="auto"/>
                <w:w w:val="92"/>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1,035,577,528 (1)</w:t>
            </w:r>
          </w:p>
        </w:tc>
        <w:tc>
          <w:tcPr>
            <w:tcW w:w="0" w:type="dxa"/>
            <w:vAlign w:val="bottom"/>
          </w:tcPr>
          <w:p>
            <w:pPr>
              <w:spacing w:after="0"/>
              <w:rPr>
                <w:sz w:val="1"/>
                <w:szCs w:val="1"/>
                <w:color w:val="auto"/>
              </w:rPr>
            </w:pPr>
          </w:p>
        </w:tc>
      </w:tr>
      <w:tr>
        <w:trPr>
          <w:trHeight w:val="230"/>
        </w:trPr>
        <w:tc>
          <w:tcPr>
            <w:tcW w:w="1420" w:type="dxa"/>
            <w:vAlign w:val="bottom"/>
          </w:tcPr>
          <w:p>
            <w:pPr>
              <w:jc w:val="center"/>
              <w:ind w:right="390"/>
              <w:spacing w:after="0"/>
              <w:rPr>
                <w:sz w:val="20"/>
                <w:szCs w:val="20"/>
                <w:color w:val="auto"/>
              </w:rPr>
            </w:pPr>
            <w:r>
              <w:rPr>
                <w:rFonts w:ascii="Arial" w:cs="Arial" w:eastAsia="Arial" w:hAnsi="Arial"/>
                <w:sz w:val="18"/>
                <w:szCs w:val="18"/>
                <w:color w:val="auto"/>
                <w:w w:val="91"/>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680" w:right="6640" w:hanging="668"/>
        <w:spacing w:after="0" w:line="477" w:lineRule="auto"/>
        <w:tabs>
          <w:tab w:leader="none" w:pos="2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780" w:right="5620" w:hanging="673"/>
        <w:spacing w:after="0" w:line="451"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1,035,577,528 (1)</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303"/>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12.</w:t>
            </w:r>
          </w:p>
        </w:tc>
        <w:tc>
          <w:tcPr>
            <w:tcW w:w="7020" w:type="dxa"/>
            <w:vAlign w:val="bottom"/>
          </w:tcPr>
          <w:p>
            <w:pPr>
              <w:ind w:left="220"/>
              <w:spacing w:after="0" w:line="207" w:lineRule="exact"/>
              <w:rPr>
                <w:sz w:val="20"/>
                <w:szCs w:val="20"/>
                <w:color w:val="auto"/>
              </w:rPr>
            </w:pPr>
            <w:r>
              <w:rPr>
                <w:rFonts w:ascii="Arial" w:cs="Arial" w:eastAsia="Arial" w:hAnsi="Arial"/>
                <w:sz w:val="18"/>
                <w:szCs w:val="18"/>
                <w:color w:val="auto"/>
                <w:w w:val="92"/>
              </w:rPr>
              <w:t xml:space="preserve">Check if the Aggregate Amount in Row (11) Excludes Certain Shares (See Instructions):   </w:t>
            </w:r>
            <w:r>
              <w:rPr>
                <w:rFonts w:ascii="MS PGothic" w:cs="MS PGothic" w:eastAsia="MS PGothic" w:hAnsi="MS PGothic"/>
                <w:sz w:val="18"/>
                <w:szCs w:val="18"/>
                <w:color w:val="auto"/>
                <w:w w:val="92"/>
              </w:rPr>
              <w:t>☐</w:t>
            </w:r>
          </w:p>
        </w:tc>
      </w:tr>
    </w:tbl>
    <w:p>
      <w:pPr>
        <w:spacing w:after="0" w:line="336" w:lineRule="exact"/>
        <w:rPr>
          <w:sz w:val="20"/>
          <w:szCs w:val="20"/>
          <w:color w:val="auto"/>
        </w:rPr>
      </w:pPr>
    </w:p>
    <w:p>
      <w:pPr>
        <w:ind w:left="780" w:hanging="673"/>
        <w:spacing w:after="0"/>
        <w:tabs>
          <w:tab w:leader="none" w:pos="7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49.1% (2)(3)</w:t>
      </w:r>
    </w:p>
    <w:p>
      <w:pPr>
        <w:spacing w:after="0" w:line="184" w:lineRule="exact"/>
        <w:rPr>
          <w:rFonts w:ascii="Arial" w:cs="Arial" w:eastAsia="Arial" w:hAnsi="Arial"/>
          <w:sz w:val="18"/>
          <w:szCs w:val="18"/>
          <w:color w:val="auto"/>
        </w:rPr>
      </w:pPr>
    </w:p>
    <w:p>
      <w:pPr>
        <w:ind w:left="780" w:hanging="673"/>
        <w:spacing w:after="0"/>
        <w:tabs>
          <w:tab w:leader="none" w:pos="7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19" w:lineRule="exact"/>
        <w:rPr>
          <w:rFonts w:ascii="Arial" w:cs="Arial" w:eastAsia="Arial" w:hAnsi="Arial"/>
          <w:sz w:val="18"/>
          <w:szCs w:val="18"/>
          <w:color w:val="auto"/>
        </w:rPr>
      </w:pPr>
    </w:p>
    <w:p>
      <w:pPr>
        <w:jc w:val="both"/>
        <w:ind w:left="340" w:hanging="332"/>
        <w:spacing w:after="0" w:line="291"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See Item 2 below under the subtitle </w:t>
      </w:r>
      <w:r>
        <w:rPr>
          <w:rFonts w:ascii="Arial" w:cs="Arial" w:eastAsia="Arial" w:hAnsi="Arial"/>
          <w:sz w:val="16"/>
          <w:szCs w:val="16"/>
          <w:i w:val="1"/>
          <w:iCs w:val="1"/>
          <w:color w:val="auto"/>
        </w:rPr>
        <w:t>Explanatory Note Regarding the Relationships of the Reporting Persons</w:t>
      </w:r>
      <w:r>
        <w:rPr>
          <w:rFonts w:ascii="Arial" w:cs="Arial" w:eastAsia="Arial" w:hAnsi="Arial"/>
          <w:sz w:val="16"/>
          <w:szCs w:val="16"/>
          <w:color w:val="auto"/>
        </w:rPr>
        <w:t xml:space="preserve"> for a description of the Reporting Persons’ shareholding structure, which determines their respective voting power. Includes (i) 204,572,624 Class A ADSs and 814,219,838 Class B ADSs directly held by Snita Holding B.V.; (ii) 12,106,514 Class A ADSs directly held by GLY New Mobility ; and (iii) 4,678,552 Class A ADSs directly held by Northpole 1. Northpole 1 and GLY New Mobility have made and/or will further make distributions in species of the Issuer’s securities to its limited partners from time to time.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166"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Calculated by dividing item 11 by the sum of (i) 467,677,673 Class A Shares in the form of Class A ADSs and (ii) 1,642,233,575 Class B Shares in the form of Class B ADSs, issued and outstanding as of December 31, 2022, as reported in the Issuer’s Form 20-F Annual Report filed on April 14, 2023 with the SEC. Assumes the conversion of the Class B Shares referred to in footnote 1 into Class A Shares.</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purpose of this calculation, the above excludes (i) 15,999,965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565"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6772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77227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3" w:lineRule="exact"/>
        <w:rPr>
          <w:rFonts w:ascii="Arial" w:cs="Arial" w:eastAsia="Arial" w:hAnsi="Arial"/>
          <w:sz w:val="18"/>
          <w:szCs w:val="18"/>
          <w:color w:val="auto"/>
        </w:rPr>
      </w:pPr>
    </w:p>
    <w:p>
      <w:pPr>
        <w:jc w:val="both"/>
        <w:ind w:left="780" w:right="6280"/>
        <w:spacing w:after="0" w:line="323" w:lineRule="auto"/>
        <w:rPr>
          <w:rFonts w:ascii="Arial" w:cs="Arial" w:eastAsia="Arial" w:hAnsi="Arial"/>
          <w:sz w:val="18"/>
          <w:szCs w:val="18"/>
          <w:color w:val="auto"/>
        </w:rPr>
      </w:pPr>
      <w:r>
        <w:rPr>
          <w:rFonts w:ascii="Arial" w:cs="Arial" w:eastAsia="Arial" w:hAnsi="Arial"/>
          <w:sz w:val="16"/>
          <w:szCs w:val="16"/>
          <w:color w:val="auto"/>
        </w:rPr>
        <w:t>I.R.S. Identification Nos. of above persons (entities only): Beijing Geely Wanyuan International Investment Co., Ltd</w:t>
      </w:r>
    </w:p>
    <w:p>
      <w:pPr>
        <w:spacing w:after="0" w:line="97" w:lineRule="exact"/>
        <w:rPr>
          <w:rFonts w:ascii="Arial" w:cs="Arial" w:eastAsia="Arial" w:hAnsi="Arial"/>
          <w:sz w:val="18"/>
          <w:szCs w:val="18"/>
          <w:color w:val="auto"/>
        </w:rPr>
      </w:pPr>
    </w:p>
    <w:p>
      <w:pPr>
        <w:ind w:left="780" w:hanging="673"/>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3" w:lineRule="exact"/>
        <w:rPr>
          <w:rFonts w:ascii="Arial" w:cs="Arial" w:eastAsia="Arial" w:hAnsi="Arial"/>
          <w:sz w:val="18"/>
          <w:szCs w:val="18"/>
          <w:color w:val="auto"/>
        </w:rPr>
      </w:pPr>
    </w:p>
    <w:p>
      <w:pPr>
        <w:ind w:left="1020" w:hanging="241"/>
        <w:spacing w:after="0" w:line="207" w:lineRule="exact"/>
        <w:tabs>
          <w:tab w:leader="none" w:pos="102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40" w:hanging="261"/>
        <w:spacing w:after="0" w:line="207" w:lineRule="exact"/>
        <w:tabs>
          <w:tab w:leader="none" w:pos="104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8" w:lineRule="exact"/>
        <w:rPr>
          <w:rFonts w:ascii="Arial" w:cs="Arial" w:eastAsia="Arial" w:hAnsi="Arial"/>
          <w:sz w:val="18"/>
          <w:szCs w:val="18"/>
          <w:color w:val="auto"/>
        </w:rPr>
      </w:pPr>
    </w:p>
    <w:p>
      <w:pPr>
        <w:ind w:left="780" w:hanging="673"/>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71" w:lineRule="exact"/>
        <w:rPr>
          <w:rFonts w:ascii="Arial" w:cs="Arial" w:eastAsia="Arial" w:hAnsi="Arial"/>
          <w:sz w:val="18"/>
          <w:szCs w:val="18"/>
          <w:color w:val="auto"/>
        </w:rPr>
      </w:pPr>
    </w:p>
    <w:p>
      <w:pPr>
        <w:ind w:left="780" w:hanging="673"/>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 OO, WC</w:t>
      </w:r>
    </w:p>
    <w:p>
      <w:pPr>
        <w:spacing w:after="0" w:line="355" w:lineRule="exact"/>
        <w:rPr>
          <w:rFonts w:ascii="Arial" w:cs="Arial" w:eastAsia="Arial" w:hAnsi="Arial"/>
          <w:sz w:val="18"/>
          <w:szCs w:val="18"/>
          <w:color w:val="auto"/>
        </w:rPr>
      </w:pPr>
    </w:p>
    <w:p>
      <w:pPr>
        <w:ind w:left="780" w:hanging="673"/>
        <w:spacing w:after="0" w:line="207" w:lineRule="exact"/>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780" w:right="7780" w:hanging="673"/>
        <w:spacing w:after="0" w:line="46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China</w:t>
      </w:r>
    </w:p>
    <w:p>
      <w:pPr>
        <w:spacing w:after="0" w:line="1" w:lineRule="exact"/>
        <w:rPr>
          <w:rFonts w:ascii="Arial" w:cs="Arial" w:eastAsia="Arial" w:hAnsi="Arial"/>
          <w:sz w:val="18"/>
          <w:szCs w:val="18"/>
          <w:color w:val="auto"/>
        </w:rPr>
      </w:pPr>
    </w:p>
    <w:p>
      <w:pPr>
        <w:ind w:left="2680" w:hanging="668"/>
        <w:spacing w:after="0"/>
        <w:tabs>
          <w:tab w:leader="none" w:pos="26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8,363,556,070 (1)</w:t>
            </w:r>
          </w:p>
        </w:tc>
        <w:tc>
          <w:tcPr>
            <w:tcW w:w="0" w:type="dxa"/>
            <w:vAlign w:val="bottom"/>
          </w:tcPr>
          <w:p>
            <w:pPr>
              <w:spacing w:after="0"/>
              <w:rPr>
                <w:sz w:val="1"/>
                <w:szCs w:val="1"/>
                <w:color w:val="auto"/>
              </w:rPr>
            </w:pPr>
          </w:p>
        </w:tc>
      </w:tr>
      <w:tr>
        <w:trPr>
          <w:trHeight w:val="88"/>
        </w:trPr>
        <w:tc>
          <w:tcPr>
            <w:tcW w:w="1420" w:type="dxa"/>
            <w:vAlign w:val="bottom"/>
            <w:vMerge w:val="restart"/>
          </w:tcPr>
          <w:p>
            <w:pPr>
              <w:jc w:val="center"/>
              <w:ind w:right="390"/>
              <w:spacing w:after="0"/>
              <w:rPr>
                <w:sz w:val="20"/>
                <w:szCs w:val="20"/>
                <w:color w:val="auto"/>
              </w:rPr>
            </w:pPr>
            <w:r>
              <w:rPr>
                <w:rFonts w:ascii="Arial" w:cs="Arial" w:eastAsia="Arial" w:hAnsi="Arial"/>
                <w:sz w:val="18"/>
                <w:szCs w:val="18"/>
                <w:color w:val="auto"/>
                <w:w w:val="92"/>
              </w:rPr>
              <w:t>Number of</w:t>
            </w:r>
          </w:p>
        </w:tc>
        <w:tc>
          <w:tcPr>
            <w:tcW w:w="50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420" w:type="dxa"/>
            <w:vAlign w:val="bottom"/>
            <w:vMerge w:val="continue"/>
          </w:tcPr>
          <w:p>
            <w:pPr>
              <w:spacing w:after="0"/>
              <w:rPr>
                <w:sz w:val="21"/>
                <w:szCs w:val="21"/>
                <w:color w:val="auto"/>
              </w:rPr>
            </w:pP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882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370"/>
              <w:spacing w:after="0"/>
              <w:rPr>
                <w:sz w:val="20"/>
                <w:szCs w:val="20"/>
                <w:color w:val="auto"/>
              </w:rPr>
            </w:pPr>
            <w:r>
              <w:rPr>
                <w:rFonts w:ascii="Arial" w:cs="Arial" w:eastAsia="Arial" w:hAnsi="Arial"/>
                <w:sz w:val="18"/>
                <w:szCs w:val="18"/>
                <w:color w:val="auto"/>
                <w:w w:val="84"/>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70"/>
              <w:spacing w:after="0"/>
              <w:rPr>
                <w:sz w:val="20"/>
                <w:szCs w:val="20"/>
                <w:color w:val="auto"/>
              </w:rPr>
            </w:pPr>
            <w:r>
              <w:rPr>
                <w:rFonts w:ascii="Arial" w:cs="Arial" w:eastAsia="Arial" w:hAnsi="Arial"/>
                <w:sz w:val="18"/>
                <w:szCs w:val="18"/>
                <w:color w:val="auto"/>
                <w:w w:val="96"/>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420" w:type="dxa"/>
            <w:vAlign w:val="bottom"/>
            <w:vMerge w:val="restart"/>
          </w:tcPr>
          <w:p>
            <w:pPr>
              <w:jc w:val="center"/>
              <w:ind w:right="390"/>
              <w:spacing w:after="0"/>
              <w:rPr>
                <w:sz w:val="20"/>
                <w:szCs w:val="20"/>
                <w:color w:val="auto"/>
              </w:rPr>
            </w:pPr>
            <w:r>
              <w:rPr>
                <w:rFonts w:ascii="Arial" w:cs="Arial" w:eastAsia="Arial" w:hAnsi="Arial"/>
                <w:sz w:val="18"/>
                <w:szCs w:val="18"/>
                <w:color w:val="auto"/>
                <w:w w:val="91"/>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420" w:type="dxa"/>
            <w:vAlign w:val="bottom"/>
            <w:vMerge w:val="continue"/>
          </w:tcPr>
          <w:p>
            <w:pPr>
              <w:spacing w:after="0"/>
              <w:rPr>
                <w:sz w:val="6"/>
                <w:szCs w:val="6"/>
                <w:color w:val="auto"/>
              </w:rPr>
            </w:pPr>
          </w:p>
        </w:tc>
        <w:tc>
          <w:tcPr>
            <w:tcW w:w="500" w:type="dxa"/>
            <w:vAlign w:val="bottom"/>
            <w:vMerge w:val="restart"/>
          </w:tcPr>
          <w:p>
            <w:pPr>
              <w:jc w:val="right"/>
              <w:ind w:right="190"/>
              <w:spacing w:after="0"/>
              <w:rPr>
                <w:sz w:val="20"/>
                <w:szCs w:val="20"/>
                <w:color w:val="auto"/>
              </w:rPr>
            </w:pPr>
            <w:r>
              <w:rPr>
                <w:rFonts w:ascii="Arial" w:cs="Arial" w:eastAsia="Arial" w:hAnsi="Arial"/>
                <w:sz w:val="18"/>
                <w:szCs w:val="18"/>
                <w:color w:val="auto"/>
              </w:rPr>
              <w:t>9.</w:t>
            </w: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390"/>
              <w:spacing w:after="0"/>
              <w:rPr>
                <w:sz w:val="20"/>
                <w:szCs w:val="20"/>
                <w:color w:val="auto"/>
              </w:rPr>
            </w:pPr>
            <w:r>
              <w:rPr>
                <w:rFonts w:ascii="Arial" w:cs="Arial" w:eastAsia="Arial" w:hAnsi="Arial"/>
                <w:sz w:val="18"/>
                <w:szCs w:val="18"/>
                <w:color w:val="auto"/>
                <w:w w:val="89"/>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70"/>
              <w:spacing w:after="0"/>
              <w:rPr>
                <w:sz w:val="20"/>
                <w:szCs w:val="20"/>
                <w:color w:val="auto"/>
              </w:rPr>
            </w:pPr>
            <w:r>
              <w:rPr>
                <w:rFonts w:ascii="Arial" w:cs="Arial" w:eastAsia="Arial" w:hAnsi="Arial"/>
                <w:sz w:val="18"/>
                <w:szCs w:val="18"/>
                <w:color w:val="auto"/>
                <w:w w:val="92"/>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1,035,577,528 (1)</w:t>
            </w:r>
          </w:p>
        </w:tc>
        <w:tc>
          <w:tcPr>
            <w:tcW w:w="0" w:type="dxa"/>
            <w:vAlign w:val="bottom"/>
          </w:tcPr>
          <w:p>
            <w:pPr>
              <w:spacing w:after="0"/>
              <w:rPr>
                <w:sz w:val="1"/>
                <w:szCs w:val="1"/>
                <w:color w:val="auto"/>
              </w:rPr>
            </w:pPr>
          </w:p>
        </w:tc>
      </w:tr>
      <w:tr>
        <w:trPr>
          <w:trHeight w:val="230"/>
        </w:trPr>
        <w:tc>
          <w:tcPr>
            <w:tcW w:w="1420" w:type="dxa"/>
            <w:vAlign w:val="bottom"/>
          </w:tcPr>
          <w:p>
            <w:pPr>
              <w:jc w:val="center"/>
              <w:ind w:right="390"/>
              <w:spacing w:after="0"/>
              <w:rPr>
                <w:sz w:val="20"/>
                <w:szCs w:val="20"/>
                <w:color w:val="auto"/>
              </w:rPr>
            </w:pPr>
            <w:r>
              <w:rPr>
                <w:rFonts w:ascii="Arial" w:cs="Arial" w:eastAsia="Arial" w:hAnsi="Arial"/>
                <w:sz w:val="18"/>
                <w:szCs w:val="18"/>
                <w:color w:val="auto"/>
                <w:w w:val="91"/>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680" w:right="6640" w:hanging="668"/>
        <w:spacing w:after="0" w:line="477" w:lineRule="auto"/>
        <w:tabs>
          <w:tab w:leader="none" w:pos="2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780" w:right="5620" w:hanging="673"/>
        <w:spacing w:after="0" w:line="451"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1,035,577,528 (1)</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303"/>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12.</w:t>
            </w:r>
          </w:p>
        </w:tc>
        <w:tc>
          <w:tcPr>
            <w:tcW w:w="7020" w:type="dxa"/>
            <w:vAlign w:val="bottom"/>
          </w:tcPr>
          <w:p>
            <w:pPr>
              <w:ind w:left="220"/>
              <w:spacing w:after="0" w:line="207" w:lineRule="exact"/>
              <w:rPr>
                <w:sz w:val="20"/>
                <w:szCs w:val="20"/>
                <w:color w:val="auto"/>
              </w:rPr>
            </w:pPr>
            <w:r>
              <w:rPr>
                <w:rFonts w:ascii="Arial" w:cs="Arial" w:eastAsia="Arial" w:hAnsi="Arial"/>
                <w:sz w:val="18"/>
                <w:szCs w:val="18"/>
                <w:color w:val="auto"/>
                <w:w w:val="92"/>
              </w:rPr>
              <w:t xml:space="preserve">Check if the Aggregate Amount in Row (11) Excludes Certain Shares (See Instructions):   </w:t>
            </w:r>
            <w:r>
              <w:rPr>
                <w:rFonts w:ascii="MS PGothic" w:cs="MS PGothic" w:eastAsia="MS PGothic" w:hAnsi="MS PGothic"/>
                <w:sz w:val="18"/>
                <w:szCs w:val="18"/>
                <w:color w:val="auto"/>
                <w:w w:val="92"/>
              </w:rPr>
              <w:t>☐</w:t>
            </w:r>
          </w:p>
        </w:tc>
      </w:tr>
    </w:tbl>
    <w:p>
      <w:pPr>
        <w:spacing w:after="0" w:line="336" w:lineRule="exact"/>
        <w:rPr>
          <w:sz w:val="20"/>
          <w:szCs w:val="20"/>
          <w:color w:val="auto"/>
        </w:rPr>
      </w:pPr>
    </w:p>
    <w:p>
      <w:pPr>
        <w:ind w:left="780" w:hanging="673"/>
        <w:spacing w:after="0"/>
        <w:tabs>
          <w:tab w:leader="none" w:pos="7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49.1 (2)(3)</w:t>
      </w:r>
    </w:p>
    <w:p>
      <w:pPr>
        <w:spacing w:after="0" w:line="184" w:lineRule="exact"/>
        <w:rPr>
          <w:rFonts w:ascii="Arial" w:cs="Arial" w:eastAsia="Arial" w:hAnsi="Arial"/>
          <w:sz w:val="18"/>
          <w:szCs w:val="18"/>
          <w:color w:val="auto"/>
        </w:rPr>
      </w:pPr>
    </w:p>
    <w:p>
      <w:pPr>
        <w:ind w:left="780" w:hanging="673"/>
        <w:spacing w:after="0"/>
        <w:tabs>
          <w:tab w:leader="none" w:pos="7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19" w:lineRule="exact"/>
        <w:rPr>
          <w:rFonts w:ascii="Arial" w:cs="Arial" w:eastAsia="Arial" w:hAnsi="Arial"/>
          <w:sz w:val="18"/>
          <w:szCs w:val="18"/>
          <w:color w:val="auto"/>
        </w:rPr>
      </w:pPr>
    </w:p>
    <w:p>
      <w:pPr>
        <w:jc w:val="both"/>
        <w:ind w:left="340" w:hanging="332"/>
        <w:spacing w:after="0" w:line="291"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See Item 2 below under the subtitle </w:t>
      </w:r>
      <w:r>
        <w:rPr>
          <w:rFonts w:ascii="Arial" w:cs="Arial" w:eastAsia="Arial" w:hAnsi="Arial"/>
          <w:sz w:val="16"/>
          <w:szCs w:val="16"/>
          <w:i w:val="1"/>
          <w:iCs w:val="1"/>
          <w:color w:val="auto"/>
        </w:rPr>
        <w:t>Explanatory Note Regarding the Relationships of the Reporting Persons</w:t>
      </w:r>
      <w:r>
        <w:rPr>
          <w:rFonts w:ascii="Arial" w:cs="Arial" w:eastAsia="Arial" w:hAnsi="Arial"/>
          <w:sz w:val="16"/>
          <w:szCs w:val="16"/>
          <w:color w:val="auto"/>
        </w:rPr>
        <w:t xml:space="preserve"> for a description of the Reporting Persons’ shareholding structure, which determines their respective voting power. Includes (i) 204,572,624 Class A ADSs and 814,219,838 Class B ADSs directly held by Snita Holding B.V.; (ii) 12,106,514 Class A ADSs directly held by GLY New Mobility; and (iii) 4,678,552 Class A ADSs directly held by Northpole 1. Northpole 1 and GLY New Mobility have made and/or will further make distributions in species of the Issuer’s securities to its limited partners from time to time.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166"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Calculated by dividing item 11 by the sum of (i) 467,677,673 Class A Shares in the form of Class A ADSs and (ii) 1,642,233,575 Class B Shares in the form of Class B ADSs, issued and outstanding as of December 31, 2022, as reported in the Issuer’s Form 20-F Annual Report filed on April 14, 2023 with the SEC. Assumes the conversion of the Class B Shares referred to in footnote 1 into Class A Shares.</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purpose of this calculation, the above excludes (i) 15,999,965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565"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6772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677227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3" w:lineRule="exact"/>
        <w:rPr>
          <w:rFonts w:ascii="Arial" w:cs="Arial" w:eastAsia="Arial" w:hAnsi="Arial"/>
          <w:sz w:val="18"/>
          <w:szCs w:val="18"/>
          <w:color w:val="auto"/>
        </w:rPr>
      </w:pPr>
    </w:p>
    <w:p>
      <w:pPr>
        <w:jc w:val="both"/>
        <w:ind w:left="780" w:right="6280"/>
        <w:spacing w:after="0" w:line="323" w:lineRule="auto"/>
        <w:rPr>
          <w:rFonts w:ascii="Arial" w:cs="Arial" w:eastAsia="Arial" w:hAnsi="Arial"/>
          <w:sz w:val="18"/>
          <w:szCs w:val="18"/>
          <w:color w:val="auto"/>
        </w:rPr>
      </w:pPr>
      <w:r>
        <w:rPr>
          <w:rFonts w:ascii="Arial" w:cs="Arial" w:eastAsia="Arial" w:hAnsi="Arial"/>
          <w:sz w:val="16"/>
          <w:szCs w:val="16"/>
          <w:color w:val="auto"/>
        </w:rPr>
        <w:t>I.R.S. Identification Nos. of above persons (entities only): Beijing Geely Kaisheng International Investment Co., Ltd</w:t>
      </w:r>
    </w:p>
    <w:p>
      <w:pPr>
        <w:spacing w:after="0" w:line="97" w:lineRule="exact"/>
        <w:rPr>
          <w:rFonts w:ascii="Arial" w:cs="Arial" w:eastAsia="Arial" w:hAnsi="Arial"/>
          <w:sz w:val="18"/>
          <w:szCs w:val="18"/>
          <w:color w:val="auto"/>
        </w:rPr>
      </w:pPr>
    </w:p>
    <w:p>
      <w:pPr>
        <w:ind w:left="780" w:hanging="673"/>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3" w:lineRule="exact"/>
        <w:rPr>
          <w:rFonts w:ascii="Arial" w:cs="Arial" w:eastAsia="Arial" w:hAnsi="Arial"/>
          <w:sz w:val="18"/>
          <w:szCs w:val="18"/>
          <w:color w:val="auto"/>
        </w:rPr>
      </w:pPr>
    </w:p>
    <w:p>
      <w:pPr>
        <w:ind w:left="1020" w:hanging="241"/>
        <w:spacing w:after="0" w:line="207" w:lineRule="exact"/>
        <w:tabs>
          <w:tab w:leader="none" w:pos="102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40" w:hanging="261"/>
        <w:spacing w:after="0" w:line="207" w:lineRule="exact"/>
        <w:tabs>
          <w:tab w:leader="none" w:pos="104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8" w:lineRule="exact"/>
        <w:rPr>
          <w:rFonts w:ascii="Arial" w:cs="Arial" w:eastAsia="Arial" w:hAnsi="Arial"/>
          <w:sz w:val="18"/>
          <w:szCs w:val="18"/>
          <w:color w:val="auto"/>
        </w:rPr>
      </w:pPr>
    </w:p>
    <w:p>
      <w:pPr>
        <w:ind w:left="780" w:hanging="673"/>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71" w:lineRule="exact"/>
        <w:rPr>
          <w:rFonts w:ascii="Arial" w:cs="Arial" w:eastAsia="Arial" w:hAnsi="Arial"/>
          <w:sz w:val="18"/>
          <w:szCs w:val="18"/>
          <w:color w:val="auto"/>
        </w:rPr>
      </w:pPr>
    </w:p>
    <w:p>
      <w:pPr>
        <w:ind w:left="780" w:hanging="673"/>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Source of Funds (See Instruction): OO, WC</w:t>
      </w:r>
    </w:p>
    <w:p>
      <w:pPr>
        <w:spacing w:after="0" w:line="355" w:lineRule="exact"/>
        <w:rPr>
          <w:rFonts w:ascii="Arial" w:cs="Arial" w:eastAsia="Arial" w:hAnsi="Arial"/>
          <w:sz w:val="18"/>
          <w:szCs w:val="18"/>
          <w:color w:val="auto"/>
        </w:rPr>
      </w:pPr>
    </w:p>
    <w:p>
      <w:pPr>
        <w:ind w:left="780" w:hanging="673"/>
        <w:spacing w:after="0" w:line="207" w:lineRule="exact"/>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780" w:right="7780" w:hanging="673"/>
        <w:spacing w:after="0" w:line="46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China</w:t>
      </w:r>
    </w:p>
    <w:p>
      <w:pPr>
        <w:spacing w:after="0" w:line="1" w:lineRule="exact"/>
        <w:rPr>
          <w:rFonts w:ascii="Arial" w:cs="Arial" w:eastAsia="Arial" w:hAnsi="Arial"/>
          <w:sz w:val="18"/>
          <w:szCs w:val="18"/>
          <w:color w:val="auto"/>
        </w:rPr>
      </w:pPr>
    </w:p>
    <w:p>
      <w:pPr>
        <w:ind w:left="2680" w:hanging="668"/>
        <w:spacing w:after="0"/>
        <w:tabs>
          <w:tab w:leader="none" w:pos="26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8,363,556,070 (1)</w:t>
            </w:r>
          </w:p>
        </w:tc>
        <w:tc>
          <w:tcPr>
            <w:tcW w:w="0" w:type="dxa"/>
            <w:vAlign w:val="bottom"/>
          </w:tcPr>
          <w:p>
            <w:pPr>
              <w:spacing w:after="0"/>
              <w:rPr>
                <w:sz w:val="1"/>
                <w:szCs w:val="1"/>
                <w:color w:val="auto"/>
              </w:rPr>
            </w:pPr>
          </w:p>
        </w:tc>
      </w:tr>
      <w:tr>
        <w:trPr>
          <w:trHeight w:val="88"/>
        </w:trPr>
        <w:tc>
          <w:tcPr>
            <w:tcW w:w="1420" w:type="dxa"/>
            <w:vAlign w:val="bottom"/>
            <w:vMerge w:val="restart"/>
          </w:tcPr>
          <w:p>
            <w:pPr>
              <w:jc w:val="center"/>
              <w:ind w:right="390"/>
              <w:spacing w:after="0"/>
              <w:rPr>
                <w:sz w:val="20"/>
                <w:szCs w:val="20"/>
                <w:color w:val="auto"/>
              </w:rPr>
            </w:pPr>
            <w:r>
              <w:rPr>
                <w:rFonts w:ascii="Arial" w:cs="Arial" w:eastAsia="Arial" w:hAnsi="Arial"/>
                <w:sz w:val="18"/>
                <w:szCs w:val="18"/>
                <w:color w:val="auto"/>
                <w:w w:val="92"/>
              </w:rPr>
              <w:t>Number of</w:t>
            </w:r>
          </w:p>
        </w:tc>
        <w:tc>
          <w:tcPr>
            <w:tcW w:w="50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420" w:type="dxa"/>
            <w:vAlign w:val="bottom"/>
            <w:vMerge w:val="continue"/>
          </w:tcPr>
          <w:p>
            <w:pPr>
              <w:spacing w:after="0"/>
              <w:rPr>
                <w:sz w:val="21"/>
                <w:szCs w:val="21"/>
                <w:color w:val="auto"/>
              </w:rPr>
            </w:pP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882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370"/>
              <w:spacing w:after="0"/>
              <w:rPr>
                <w:sz w:val="20"/>
                <w:szCs w:val="20"/>
                <w:color w:val="auto"/>
              </w:rPr>
            </w:pPr>
            <w:r>
              <w:rPr>
                <w:rFonts w:ascii="Arial" w:cs="Arial" w:eastAsia="Arial" w:hAnsi="Arial"/>
                <w:sz w:val="18"/>
                <w:szCs w:val="18"/>
                <w:color w:val="auto"/>
                <w:w w:val="84"/>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70"/>
              <w:spacing w:after="0"/>
              <w:rPr>
                <w:sz w:val="20"/>
                <w:szCs w:val="20"/>
                <w:color w:val="auto"/>
              </w:rPr>
            </w:pPr>
            <w:r>
              <w:rPr>
                <w:rFonts w:ascii="Arial" w:cs="Arial" w:eastAsia="Arial" w:hAnsi="Arial"/>
                <w:sz w:val="18"/>
                <w:szCs w:val="18"/>
                <w:color w:val="auto"/>
                <w:w w:val="96"/>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420" w:type="dxa"/>
            <w:vAlign w:val="bottom"/>
            <w:vMerge w:val="restart"/>
          </w:tcPr>
          <w:p>
            <w:pPr>
              <w:jc w:val="center"/>
              <w:ind w:right="390"/>
              <w:spacing w:after="0"/>
              <w:rPr>
                <w:sz w:val="20"/>
                <w:szCs w:val="20"/>
                <w:color w:val="auto"/>
              </w:rPr>
            </w:pPr>
            <w:r>
              <w:rPr>
                <w:rFonts w:ascii="Arial" w:cs="Arial" w:eastAsia="Arial" w:hAnsi="Arial"/>
                <w:sz w:val="18"/>
                <w:szCs w:val="18"/>
                <w:color w:val="auto"/>
                <w:w w:val="91"/>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420" w:type="dxa"/>
            <w:vAlign w:val="bottom"/>
            <w:vMerge w:val="continue"/>
          </w:tcPr>
          <w:p>
            <w:pPr>
              <w:spacing w:after="0"/>
              <w:rPr>
                <w:sz w:val="6"/>
                <w:szCs w:val="6"/>
                <w:color w:val="auto"/>
              </w:rPr>
            </w:pPr>
          </w:p>
        </w:tc>
        <w:tc>
          <w:tcPr>
            <w:tcW w:w="500" w:type="dxa"/>
            <w:vAlign w:val="bottom"/>
            <w:vMerge w:val="restart"/>
          </w:tcPr>
          <w:p>
            <w:pPr>
              <w:jc w:val="right"/>
              <w:ind w:right="190"/>
              <w:spacing w:after="0"/>
              <w:rPr>
                <w:sz w:val="20"/>
                <w:szCs w:val="20"/>
                <w:color w:val="auto"/>
              </w:rPr>
            </w:pPr>
            <w:r>
              <w:rPr>
                <w:rFonts w:ascii="Arial" w:cs="Arial" w:eastAsia="Arial" w:hAnsi="Arial"/>
                <w:sz w:val="18"/>
                <w:szCs w:val="18"/>
                <w:color w:val="auto"/>
              </w:rPr>
              <w:t>9.</w:t>
            </w: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390"/>
              <w:spacing w:after="0"/>
              <w:rPr>
                <w:sz w:val="20"/>
                <w:szCs w:val="20"/>
                <w:color w:val="auto"/>
              </w:rPr>
            </w:pPr>
            <w:r>
              <w:rPr>
                <w:rFonts w:ascii="Arial" w:cs="Arial" w:eastAsia="Arial" w:hAnsi="Arial"/>
                <w:sz w:val="18"/>
                <w:szCs w:val="18"/>
                <w:color w:val="auto"/>
                <w:w w:val="89"/>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70"/>
              <w:spacing w:after="0"/>
              <w:rPr>
                <w:sz w:val="20"/>
                <w:szCs w:val="20"/>
                <w:color w:val="auto"/>
              </w:rPr>
            </w:pPr>
            <w:r>
              <w:rPr>
                <w:rFonts w:ascii="Arial" w:cs="Arial" w:eastAsia="Arial" w:hAnsi="Arial"/>
                <w:sz w:val="18"/>
                <w:szCs w:val="18"/>
                <w:color w:val="auto"/>
                <w:w w:val="92"/>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1,035,577,528 (1)</w:t>
            </w:r>
          </w:p>
        </w:tc>
        <w:tc>
          <w:tcPr>
            <w:tcW w:w="0" w:type="dxa"/>
            <w:vAlign w:val="bottom"/>
          </w:tcPr>
          <w:p>
            <w:pPr>
              <w:spacing w:after="0"/>
              <w:rPr>
                <w:sz w:val="1"/>
                <w:szCs w:val="1"/>
                <w:color w:val="auto"/>
              </w:rPr>
            </w:pPr>
          </w:p>
        </w:tc>
      </w:tr>
      <w:tr>
        <w:trPr>
          <w:trHeight w:val="230"/>
        </w:trPr>
        <w:tc>
          <w:tcPr>
            <w:tcW w:w="1420" w:type="dxa"/>
            <w:vAlign w:val="bottom"/>
          </w:tcPr>
          <w:p>
            <w:pPr>
              <w:jc w:val="center"/>
              <w:ind w:right="390"/>
              <w:spacing w:after="0"/>
              <w:rPr>
                <w:sz w:val="20"/>
                <w:szCs w:val="20"/>
                <w:color w:val="auto"/>
              </w:rPr>
            </w:pPr>
            <w:r>
              <w:rPr>
                <w:rFonts w:ascii="Arial" w:cs="Arial" w:eastAsia="Arial" w:hAnsi="Arial"/>
                <w:sz w:val="18"/>
                <w:szCs w:val="18"/>
                <w:color w:val="auto"/>
                <w:w w:val="91"/>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680" w:right="6640" w:hanging="668"/>
        <w:spacing w:after="0" w:line="477" w:lineRule="auto"/>
        <w:tabs>
          <w:tab w:leader="none" w:pos="26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780" w:right="5620" w:hanging="673"/>
        <w:spacing w:after="0" w:line="451"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1,035,577,528 (1)</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303"/>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12.</w:t>
            </w:r>
          </w:p>
        </w:tc>
        <w:tc>
          <w:tcPr>
            <w:tcW w:w="7020" w:type="dxa"/>
            <w:vAlign w:val="bottom"/>
          </w:tcPr>
          <w:p>
            <w:pPr>
              <w:ind w:left="220"/>
              <w:spacing w:after="0" w:line="207" w:lineRule="exact"/>
              <w:rPr>
                <w:sz w:val="20"/>
                <w:szCs w:val="20"/>
                <w:color w:val="auto"/>
              </w:rPr>
            </w:pPr>
            <w:r>
              <w:rPr>
                <w:rFonts w:ascii="Arial" w:cs="Arial" w:eastAsia="Arial" w:hAnsi="Arial"/>
                <w:sz w:val="18"/>
                <w:szCs w:val="18"/>
                <w:color w:val="auto"/>
                <w:w w:val="92"/>
              </w:rPr>
              <w:t xml:space="preserve">Check if the Aggregate Amount in Row (11) Excludes Certain Shares (See Instructions):   </w:t>
            </w:r>
            <w:r>
              <w:rPr>
                <w:rFonts w:ascii="MS PGothic" w:cs="MS PGothic" w:eastAsia="MS PGothic" w:hAnsi="MS PGothic"/>
                <w:sz w:val="18"/>
                <w:szCs w:val="18"/>
                <w:color w:val="auto"/>
                <w:w w:val="92"/>
              </w:rPr>
              <w:t>☐</w:t>
            </w:r>
          </w:p>
        </w:tc>
      </w:tr>
    </w:tbl>
    <w:p>
      <w:pPr>
        <w:spacing w:after="0" w:line="336" w:lineRule="exact"/>
        <w:rPr>
          <w:sz w:val="20"/>
          <w:szCs w:val="20"/>
          <w:color w:val="auto"/>
        </w:rPr>
      </w:pPr>
    </w:p>
    <w:p>
      <w:pPr>
        <w:ind w:left="780" w:hanging="673"/>
        <w:spacing w:after="0"/>
        <w:tabs>
          <w:tab w:leader="none" w:pos="7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49.1% (2)(3)</w:t>
      </w:r>
    </w:p>
    <w:p>
      <w:pPr>
        <w:spacing w:after="0" w:line="184" w:lineRule="exact"/>
        <w:rPr>
          <w:rFonts w:ascii="Arial" w:cs="Arial" w:eastAsia="Arial" w:hAnsi="Arial"/>
          <w:sz w:val="18"/>
          <w:szCs w:val="18"/>
          <w:color w:val="auto"/>
        </w:rPr>
      </w:pPr>
    </w:p>
    <w:p>
      <w:pPr>
        <w:ind w:left="780" w:hanging="673"/>
        <w:spacing w:after="0"/>
        <w:tabs>
          <w:tab w:leader="none" w:pos="7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19" w:lineRule="exact"/>
        <w:rPr>
          <w:rFonts w:ascii="Arial" w:cs="Arial" w:eastAsia="Arial" w:hAnsi="Arial"/>
          <w:sz w:val="18"/>
          <w:szCs w:val="18"/>
          <w:color w:val="auto"/>
        </w:rPr>
      </w:pPr>
    </w:p>
    <w:p>
      <w:pPr>
        <w:jc w:val="both"/>
        <w:ind w:left="340" w:hanging="332"/>
        <w:spacing w:after="0" w:line="291"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See Item 2 below under the subtitle </w:t>
      </w:r>
      <w:r>
        <w:rPr>
          <w:rFonts w:ascii="Arial" w:cs="Arial" w:eastAsia="Arial" w:hAnsi="Arial"/>
          <w:sz w:val="16"/>
          <w:szCs w:val="16"/>
          <w:i w:val="1"/>
          <w:iCs w:val="1"/>
          <w:color w:val="auto"/>
        </w:rPr>
        <w:t>Explanatory Note Regarding the Relationships of the Reporting Persons</w:t>
      </w:r>
      <w:r>
        <w:rPr>
          <w:rFonts w:ascii="Arial" w:cs="Arial" w:eastAsia="Arial" w:hAnsi="Arial"/>
          <w:sz w:val="16"/>
          <w:szCs w:val="16"/>
          <w:color w:val="auto"/>
        </w:rPr>
        <w:t xml:space="preserve"> for a description of the Reporting Persons’ shareholding structure, which determines their respective voting power. Includes (i) 204,572,624 Class A ADSs and 814,219,838 Class B ADSs directly held by Snita Holding B.V.; (ii) 12,106,514 Class A ADSs directly held by GLY New Mobility; and (iii) 4,678,552 Class A ADSs directly held by Northpole 1. Northpole 1 and GLY New Mobility have made and/or will further make distributions in species of the Issuer’s securities to its limited partners from time to time.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166"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Calculated by dividing item 11 by the sum of (i) 467,677,673 Class A Shares in the form of Class A ADSs and (ii) 1,642,233,575 Class B Shares in the form of Class B ADSs, issued and outstanding as of December 31, 2022, as reported in the Issuer’s Form 20-F Annual Report filed on April 14, 2023 with the SEC. Assumes the conversion of the Class B Shares referred to in footnote 1 into Class A Shares.</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purpose of this calculation, the above excludes (i) 15,999,965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565"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6772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677227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3" w:lineRule="exact"/>
        <w:rPr>
          <w:rFonts w:ascii="Arial" w:cs="Arial" w:eastAsia="Arial" w:hAnsi="Arial"/>
          <w:sz w:val="18"/>
          <w:szCs w:val="18"/>
          <w:color w:val="auto"/>
        </w:rPr>
      </w:pPr>
    </w:p>
    <w:p>
      <w:pPr>
        <w:ind w:left="780" w:right="62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Zhejiang Geely Holding Group Company Limited</w:t>
      </w:r>
    </w:p>
    <w:p>
      <w:pPr>
        <w:spacing w:after="0" w:line="120" w:lineRule="exact"/>
        <w:rPr>
          <w:rFonts w:ascii="Arial" w:cs="Arial" w:eastAsia="Arial" w:hAnsi="Arial"/>
          <w:sz w:val="18"/>
          <w:szCs w:val="18"/>
          <w:color w:val="auto"/>
        </w:rPr>
      </w:pPr>
    </w:p>
    <w:p>
      <w:pPr>
        <w:ind w:left="780" w:hanging="673"/>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3" w:lineRule="exact"/>
        <w:rPr>
          <w:rFonts w:ascii="Arial" w:cs="Arial" w:eastAsia="Arial" w:hAnsi="Arial"/>
          <w:sz w:val="18"/>
          <w:szCs w:val="18"/>
          <w:color w:val="auto"/>
        </w:rPr>
      </w:pPr>
    </w:p>
    <w:p>
      <w:pPr>
        <w:ind w:left="1020" w:hanging="241"/>
        <w:spacing w:after="0" w:line="207" w:lineRule="exact"/>
        <w:tabs>
          <w:tab w:leader="none" w:pos="102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40" w:hanging="261"/>
        <w:spacing w:after="0" w:line="207" w:lineRule="exact"/>
        <w:tabs>
          <w:tab w:leader="none" w:pos="104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8" w:lineRule="exact"/>
        <w:rPr>
          <w:rFonts w:ascii="Arial" w:cs="Arial" w:eastAsia="Arial" w:hAnsi="Arial"/>
          <w:sz w:val="18"/>
          <w:szCs w:val="18"/>
          <w:color w:val="auto"/>
        </w:rPr>
      </w:pPr>
    </w:p>
    <w:p>
      <w:pPr>
        <w:ind w:left="780" w:hanging="673"/>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71" w:lineRule="exact"/>
        <w:rPr>
          <w:rFonts w:ascii="Arial" w:cs="Arial" w:eastAsia="Arial" w:hAnsi="Arial"/>
          <w:sz w:val="18"/>
          <w:szCs w:val="18"/>
          <w:color w:val="auto"/>
        </w:rPr>
      </w:pPr>
    </w:p>
    <w:p>
      <w:pPr>
        <w:ind w:left="780" w:hanging="673"/>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 OO, WC</w:t>
      </w:r>
    </w:p>
    <w:p>
      <w:pPr>
        <w:spacing w:after="0" w:line="355" w:lineRule="exact"/>
        <w:rPr>
          <w:rFonts w:ascii="Arial" w:cs="Arial" w:eastAsia="Arial" w:hAnsi="Arial"/>
          <w:sz w:val="18"/>
          <w:szCs w:val="18"/>
          <w:color w:val="auto"/>
        </w:rPr>
      </w:pPr>
    </w:p>
    <w:p>
      <w:pPr>
        <w:ind w:left="780" w:hanging="673"/>
        <w:spacing w:after="0" w:line="207" w:lineRule="exact"/>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780" w:right="7780" w:hanging="673"/>
        <w:spacing w:after="0" w:line="46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China</w:t>
      </w:r>
    </w:p>
    <w:p>
      <w:pPr>
        <w:spacing w:after="0" w:line="1" w:lineRule="exact"/>
        <w:rPr>
          <w:rFonts w:ascii="Arial" w:cs="Arial" w:eastAsia="Arial" w:hAnsi="Arial"/>
          <w:sz w:val="18"/>
          <w:szCs w:val="18"/>
          <w:color w:val="auto"/>
        </w:rPr>
      </w:pPr>
    </w:p>
    <w:p>
      <w:pPr>
        <w:ind w:left="2680" w:hanging="668"/>
        <w:spacing w:after="0"/>
        <w:tabs>
          <w:tab w:leader="none" w:pos="26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8,363,556,070 (1)</w:t>
            </w:r>
          </w:p>
        </w:tc>
        <w:tc>
          <w:tcPr>
            <w:tcW w:w="0" w:type="dxa"/>
            <w:vAlign w:val="bottom"/>
          </w:tcPr>
          <w:p>
            <w:pPr>
              <w:spacing w:after="0"/>
              <w:rPr>
                <w:sz w:val="1"/>
                <w:szCs w:val="1"/>
                <w:color w:val="auto"/>
              </w:rPr>
            </w:pPr>
          </w:p>
        </w:tc>
      </w:tr>
      <w:tr>
        <w:trPr>
          <w:trHeight w:val="88"/>
        </w:trPr>
        <w:tc>
          <w:tcPr>
            <w:tcW w:w="1420" w:type="dxa"/>
            <w:vAlign w:val="bottom"/>
            <w:vMerge w:val="restart"/>
          </w:tcPr>
          <w:p>
            <w:pPr>
              <w:jc w:val="center"/>
              <w:ind w:right="390"/>
              <w:spacing w:after="0"/>
              <w:rPr>
                <w:sz w:val="20"/>
                <w:szCs w:val="20"/>
                <w:color w:val="auto"/>
              </w:rPr>
            </w:pPr>
            <w:r>
              <w:rPr>
                <w:rFonts w:ascii="Arial" w:cs="Arial" w:eastAsia="Arial" w:hAnsi="Arial"/>
                <w:sz w:val="18"/>
                <w:szCs w:val="18"/>
                <w:color w:val="auto"/>
                <w:w w:val="92"/>
              </w:rPr>
              <w:t>Number of</w:t>
            </w:r>
          </w:p>
        </w:tc>
        <w:tc>
          <w:tcPr>
            <w:tcW w:w="50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420" w:type="dxa"/>
            <w:vAlign w:val="bottom"/>
            <w:vMerge w:val="continue"/>
          </w:tcPr>
          <w:p>
            <w:pPr>
              <w:spacing w:after="0"/>
              <w:rPr>
                <w:sz w:val="21"/>
                <w:szCs w:val="21"/>
                <w:color w:val="auto"/>
              </w:rPr>
            </w:pP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882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370"/>
              <w:spacing w:after="0"/>
              <w:rPr>
                <w:sz w:val="20"/>
                <w:szCs w:val="20"/>
                <w:color w:val="auto"/>
              </w:rPr>
            </w:pPr>
            <w:r>
              <w:rPr>
                <w:rFonts w:ascii="Arial" w:cs="Arial" w:eastAsia="Arial" w:hAnsi="Arial"/>
                <w:sz w:val="18"/>
                <w:szCs w:val="18"/>
                <w:color w:val="auto"/>
                <w:w w:val="84"/>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70"/>
              <w:spacing w:after="0"/>
              <w:rPr>
                <w:sz w:val="20"/>
                <w:szCs w:val="20"/>
                <w:color w:val="auto"/>
              </w:rPr>
            </w:pPr>
            <w:r>
              <w:rPr>
                <w:rFonts w:ascii="Arial" w:cs="Arial" w:eastAsia="Arial" w:hAnsi="Arial"/>
                <w:sz w:val="18"/>
                <w:szCs w:val="18"/>
                <w:color w:val="auto"/>
                <w:w w:val="96"/>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420" w:type="dxa"/>
            <w:vAlign w:val="bottom"/>
            <w:vMerge w:val="restart"/>
          </w:tcPr>
          <w:p>
            <w:pPr>
              <w:jc w:val="center"/>
              <w:ind w:right="390"/>
              <w:spacing w:after="0"/>
              <w:rPr>
                <w:sz w:val="20"/>
                <w:szCs w:val="20"/>
                <w:color w:val="auto"/>
              </w:rPr>
            </w:pPr>
            <w:r>
              <w:rPr>
                <w:rFonts w:ascii="Arial" w:cs="Arial" w:eastAsia="Arial" w:hAnsi="Arial"/>
                <w:sz w:val="18"/>
                <w:szCs w:val="18"/>
                <w:color w:val="auto"/>
                <w:w w:val="91"/>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420" w:type="dxa"/>
            <w:vAlign w:val="bottom"/>
            <w:vMerge w:val="continue"/>
          </w:tcPr>
          <w:p>
            <w:pPr>
              <w:spacing w:after="0"/>
              <w:rPr>
                <w:sz w:val="6"/>
                <w:szCs w:val="6"/>
                <w:color w:val="auto"/>
              </w:rPr>
            </w:pPr>
          </w:p>
        </w:tc>
        <w:tc>
          <w:tcPr>
            <w:tcW w:w="500" w:type="dxa"/>
            <w:vAlign w:val="bottom"/>
            <w:vMerge w:val="restart"/>
          </w:tcPr>
          <w:p>
            <w:pPr>
              <w:jc w:val="right"/>
              <w:ind w:right="190"/>
              <w:spacing w:after="0"/>
              <w:rPr>
                <w:sz w:val="20"/>
                <w:szCs w:val="20"/>
                <w:color w:val="auto"/>
              </w:rPr>
            </w:pPr>
            <w:r>
              <w:rPr>
                <w:rFonts w:ascii="Arial" w:cs="Arial" w:eastAsia="Arial" w:hAnsi="Arial"/>
                <w:sz w:val="18"/>
                <w:szCs w:val="18"/>
                <w:color w:val="auto"/>
              </w:rPr>
              <w:t>9.</w:t>
            </w: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390"/>
              <w:spacing w:after="0"/>
              <w:rPr>
                <w:sz w:val="20"/>
                <w:szCs w:val="20"/>
                <w:color w:val="auto"/>
              </w:rPr>
            </w:pPr>
            <w:r>
              <w:rPr>
                <w:rFonts w:ascii="Arial" w:cs="Arial" w:eastAsia="Arial" w:hAnsi="Arial"/>
                <w:sz w:val="18"/>
                <w:szCs w:val="18"/>
                <w:color w:val="auto"/>
                <w:w w:val="89"/>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70"/>
              <w:spacing w:after="0"/>
              <w:rPr>
                <w:sz w:val="20"/>
                <w:szCs w:val="20"/>
                <w:color w:val="auto"/>
              </w:rPr>
            </w:pPr>
            <w:r>
              <w:rPr>
                <w:rFonts w:ascii="Arial" w:cs="Arial" w:eastAsia="Arial" w:hAnsi="Arial"/>
                <w:sz w:val="18"/>
                <w:szCs w:val="18"/>
                <w:color w:val="auto"/>
                <w:w w:val="92"/>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1,035,577,528 (1)</w:t>
            </w:r>
          </w:p>
        </w:tc>
        <w:tc>
          <w:tcPr>
            <w:tcW w:w="0" w:type="dxa"/>
            <w:vAlign w:val="bottom"/>
          </w:tcPr>
          <w:p>
            <w:pPr>
              <w:spacing w:after="0"/>
              <w:rPr>
                <w:sz w:val="1"/>
                <w:szCs w:val="1"/>
                <w:color w:val="auto"/>
              </w:rPr>
            </w:pPr>
          </w:p>
        </w:tc>
      </w:tr>
      <w:tr>
        <w:trPr>
          <w:trHeight w:val="230"/>
        </w:trPr>
        <w:tc>
          <w:tcPr>
            <w:tcW w:w="1420" w:type="dxa"/>
            <w:vAlign w:val="bottom"/>
          </w:tcPr>
          <w:p>
            <w:pPr>
              <w:jc w:val="center"/>
              <w:ind w:right="390"/>
              <w:spacing w:after="0"/>
              <w:rPr>
                <w:sz w:val="20"/>
                <w:szCs w:val="20"/>
                <w:color w:val="auto"/>
              </w:rPr>
            </w:pPr>
            <w:r>
              <w:rPr>
                <w:rFonts w:ascii="Arial" w:cs="Arial" w:eastAsia="Arial" w:hAnsi="Arial"/>
                <w:sz w:val="18"/>
                <w:szCs w:val="18"/>
                <w:color w:val="auto"/>
                <w:w w:val="91"/>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680" w:right="6640" w:hanging="668"/>
        <w:spacing w:after="0" w:line="477" w:lineRule="auto"/>
        <w:tabs>
          <w:tab w:leader="none" w:pos="26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780" w:right="5620" w:hanging="673"/>
        <w:spacing w:after="0" w:line="451"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1,035,577,528 (1)</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303"/>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12.</w:t>
            </w:r>
          </w:p>
        </w:tc>
        <w:tc>
          <w:tcPr>
            <w:tcW w:w="7020" w:type="dxa"/>
            <w:vAlign w:val="bottom"/>
          </w:tcPr>
          <w:p>
            <w:pPr>
              <w:ind w:left="220"/>
              <w:spacing w:after="0" w:line="207" w:lineRule="exact"/>
              <w:rPr>
                <w:sz w:val="20"/>
                <w:szCs w:val="20"/>
                <w:color w:val="auto"/>
              </w:rPr>
            </w:pPr>
            <w:r>
              <w:rPr>
                <w:rFonts w:ascii="Arial" w:cs="Arial" w:eastAsia="Arial" w:hAnsi="Arial"/>
                <w:sz w:val="18"/>
                <w:szCs w:val="18"/>
                <w:color w:val="auto"/>
                <w:w w:val="92"/>
              </w:rPr>
              <w:t xml:space="preserve">Check if the Aggregate Amount in Row (11) Excludes Certain Shares (See Instructions):   </w:t>
            </w:r>
            <w:r>
              <w:rPr>
                <w:rFonts w:ascii="MS PGothic" w:cs="MS PGothic" w:eastAsia="MS PGothic" w:hAnsi="MS PGothic"/>
                <w:sz w:val="18"/>
                <w:szCs w:val="18"/>
                <w:color w:val="auto"/>
                <w:w w:val="92"/>
              </w:rPr>
              <w:t>☐</w:t>
            </w:r>
          </w:p>
        </w:tc>
      </w:tr>
    </w:tbl>
    <w:p>
      <w:pPr>
        <w:spacing w:after="0" w:line="336" w:lineRule="exact"/>
        <w:rPr>
          <w:sz w:val="20"/>
          <w:szCs w:val="20"/>
          <w:color w:val="auto"/>
        </w:rPr>
      </w:pPr>
    </w:p>
    <w:p>
      <w:pPr>
        <w:ind w:left="780" w:hanging="673"/>
        <w:spacing w:after="0"/>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49.1% (2)(3)</w:t>
      </w:r>
    </w:p>
    <w:p>
      <w:pPr>
        <w:spacing w:after="0" w:line="184" w:lineRule="exact"/>
        <w:rPr>
          <w:rFonts w:ascii="Arial" w:cs="Arial" w:eastAsia="Arial" w:hAnsi="Arial"/>
          <w:sz w:val="18"/>
          <w:szCs w:val="18"/>
          <w:color w:val="auto"/>
        </w:rPr>
      </w:pPr>
    </w:p>
    <w:p>
      <w:pPr>
        <w:ind w:left="780" w:hanging="673"/>
        <w:spacing w:after="0"/>
        <w:tabs>
          <w:tab w:leader="none" w:pos="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19" w:lineRule="exact"/>
        <w:rPr>
          <w:rFonts w:ascii="Arial" w:cs="Arial" w:eastAsia="Arial" w:hAnsi="Arial"/>
          <w:sz w:val="18"/>
          <w:szCs w:val="18"/>
          <w:color w:val="auto"/>
        </w:rPr>
      </w:pPr>
    </w:p>
    <w:p>
      <w:pPr>
        <w:jc w:val="both"/>
        <w:ind w:left="340" w:hanging="332"/>
        <w:spacing w:after="0" w:line="291"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See Item 2 below under the subtitle </w:t>
      </w:r>
      <w:r>
        <w:rPr>
          <w:rFonts w:ascii="Arial" w:cs="Arial" w:eastAsia="Arial" w:hAnsi="Arial"/>
          <w:sz w:val="16"/>
          <w:szCs w:val="16"/>
          <w:i w:val="1"/>
          <w:iCs w:val="1"/>
          <w:color w:val="auto"/>
        </w:rPr>
        <w:t>Explanatory Note Regarding the Relationships of the Reporting Persons</w:t>
      </w:r>
      <w:r>
        <w:rPr>
          <w:rFonts w:ascii="Arial" w:cs="Arial" w:eastAsia="Arial" w:hAnsi="Arial"/>
          <w:sz w:val="16"/>
          <w:szCs w:val="16"/>
          <w:color w:val="auto"/>
        </w:rPr>
        <w:t xml:space="preserve"> for a description of the Reporting Persons’ shareholding structure, which determines their respective voting power. Includes (i) 204,572,624 Class A ADSs and 814,219,838 Class B ADSs directly held by Snita Holding B.V.; (ii) 12,106,514 Class A ADSs directly held by GLY New Mobility; and (iii) 4,678,552 Class A ADSs directly held by Northpole 1. Northpole 1 and GLY New Mobility have made and/or will further make distributions in species of the Issuer’s securities to its limited partners from time to time.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166"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Calculated by dividing item 11 by the sum of (i) 467,677,673 Class A Shares in the form of Class A ADSs and (ii) 1,642,233,575 Class B Shares in the form of Class B ADSs, issued and outstanding as of December 31, 2022, as reported in the Issuer’s Form 20-F Annual Report filed on April 14, 2023 with the SEC. Assumes the conversion of the Class B Shares referred to in footnote 1 into Class A Shares.</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purpose of this calculation, the above excludes (i) 15,999,965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565"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6772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677227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3" w:lineRule="exact"/>
        <w:rPr>
          <w:rFonts w:ascii="Arial" w:cs="Arial" w:eastAsia="Arial" w:hAnsi="Arial"/>
          <w:sz w:val="18"/>
          <w:szCs w:val="18"/>
          <w:color w:val="auto"/>
        </w:rPr>
      </w:pPr>
    </w:p>
    <w:p>
      <w:pPr>
        <w:ind w:left="780" w:right="6280"/>
        <w:spacing w:after="0" w:line="26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Eric Li (Shufu Li)</w:t>
      </w:r>
    </w:p>
    <w:p>
      <w:pPr>
        <w:spacing w:after="0" w:line="144" w:lineRule="exact"/>
        <w:rPr>
          <w:rFonts w:ascii="Arial" w:cs="Arial" w:eastAsia="Arial" w:hAnsi="Arial"/>
          <w:sz w:val="18"/>
          <w:szCs w:val="18"/>
          <w:color w:val="auto"/>
        </w:rPr>
      </w:pPr>
    </w:p>
    <w:p>
      <w:pPr>
        <w:ind w:left="780" w:hanging="673"/>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3" w:lineRule="exact"/>
        <w:rPr>
          <w:rFonts w:ascii="Arial" w:cs="Arial" w:eastAsia="Arial" w:hAnsi="Arial"/>
          <w:sz w:val="18"/>
          <w:szCs w:val="18"/>
          <w:color w:val="auto"/>
        </w:rPr>
      </w:pPr>
    </w:p>
    <w:p>
      <w:pPr>
        <w:ind w:left="1020" w:hanging="241"/>
        <w:spacing w:after="0" w:line="207" w:lineRule="exact"/>
        <w:tabs>
          <w:tab w:leader="none" w:pos="1020" w:val="left"/>
        </w:tabs>
        <w:numPr>
          <w:ilvl w:val="1"/>
          <w:numId w:val="2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40" w:hanging="261"/>
        <w:spacing w:after="0" w:line="207" w:lineRule="exact"/>
        <w:tabs>
          <w:tab w:leader="none" w:pos="1040" w:val="left"/>
        </w:tabs>
        <w:numPr>
          <w:ilvl w:val="1"/>
          <w:numId w:val="2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8" w:lineRule="exact"/>
        <w:rPr>
          <w:rFonts w:ascii="Arial" w:cs="Arial" w:eastAsia="Arial" w:hAnsi="Arial"/>
          <w:sz w:val="18"/>
          <w:szCs w:val="18"/>
          <w:color w:val="auto"/>
        </w:rPr>
      </w:pPr>
    </w:p>
    <w:p>
      <w:pPr>
        <w:ind w:left="780" w:hanging="673"/>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71" w:lineRule="exact"/>
        <w:rPr>
          <w:rFonts w:ascii="Arial" w:cs="Arial" w:eastAsia="Arial" w:hAnsi="Arial"/>
          <w:sz w:val="18"/>
          <w:szCs w:val="18"/>
          <w:color w:val="auto"/>
        </w:rPr>
      </w:pPr>
    </w:p>
    <w:p>
      <w:pPr>
        <w:ind w:left="780" w:hanging="673"/>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Source of Funds (See Instruction): OO, WC</w:t>
      </w:r>
    </w:p>
    <w:p>
      <w:pPr>
        <w:spacing w:after="0" w:line="355" w:lineRule="exact"/>
        <w:rPr>
          <w:rFonts w:ascii="Arial" w:cs="Arial" w:eastAsia="Arial" w:hAnsi="Arial"/>
          <w:sz w:val="18"/>
          <w:szCs w:val="18"/>
          <w:color w:val="auto"/>
        </w:rPr>
      </w:pPr>
    </w:p>
    <w:p>
      <w:pPr>
        <w:ind w:left="780" w:hanging="673"/>
        <w:spacing w:after="0" w:line="207" w:lineRule="exact"/>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780" w:right="7780" w:hanging="673"/>
        <w:spacing w:after="0" w:line="469"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 China</w:t>
      </w:r>
    </w:p>
    <w:p>
      <w:pPr>
        <w:spacing w:after="0" w:line="1" w:lineRule="exact"/>
        <w:rPr>
          <w:rFonts w:ascii="Arial" w:cs="Arial" w:eastAsia="Arial" w:hAnsi="Arial"/>
          <w:sz w:val="18"/>
          <w:szCs w:val="18"/>
          <w:color w:val="auto"/>
        </w:rPr>
      </w:pPr>
    </w:p>
    <w:p>
      <w:pPr>
        <w:ind w:left="2680" w:hanging="668"/>
        <w:spacing w:after="0"/>
        <w:tabs>
          <w:tab w:leader="none" w:pos="26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16,643,693,462 (1)</w:t>
            </w:r>
          </w:p>
        </w:tc>
        <w:tc>
          <w:tcPr>
            <w:tcW w:w="0" w:type="dxa"/>
            <w:vAlign w:val="bottom"/>
          </w:tcPr>
          <w:p>
            <w:pPr>
              <w:spacing w:after="0"/>
              <w:rPr>
                <w:sz w:val="1"/>
                <w:szCs w:val="1"/>
                <w:color w:val="auto"/>
              </w:rPr>
            </w:pPr>
          </w:p>
        </w:tc>
      </w:tr>
      <w:tr>
        <w:trPr>
          <w:trHeight w:val="88"/>
        </w:trPr>
        <w:tc>
          <w:tcPr>
            <w:tcW w:w="1420" w:type="dxa"/>
            <w:vAlign w:val="bottom"/>
            <w:vMerge w:val="restart"/>
          </w:tcPr>
          <w:p>
            <w:pPr>
              <w:jc w:val="center"/>
              <w:ind w:right="390"/>
              <w:spacing w:after="0"/>
              <w:rPr>
                <w:sz w:val="20"/>
                <w:szCs w:val="20"/>
                <w:color w:val="auto"/>
              </w:rPr>
            </w:pPr>
            <w:r>
              <w:rPr>
                <w:rFonts w:ascii="Arial" w:cs="Arial" w:eastAsia="Arial" w:hAnsi="Arial"/>
                <w:sz w:val="18"/>
                <w:szCs w:val="18"/>
                <w:color w:val="auto"/>
                <w:w w:val="92"/>
              </w:rPr>
              <w:t>Number of</w:t>
            </w:r>
          </w:p>
        </w:tc>
        <w:tc>
          <w:tcPr>
            <w:tcW w:w="50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1420" w:type="dxa"/>
            <w:vAlign w:val="bottom"/>
            <w:vMerge w:val="continue"/>
          </w:tcPr>
          <w:p>
            <w:pPr>
              <w:spacing w:after="0"/>
              <w:rPr>
                <w:sz w:val="21"/>
                <w:szCs w:val="21"/>
                <w:color w:val="auto"/>
              </w:rPr>
            </w:pP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882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370"/>
              <w:spacing w:after="0"/>
              <w:rPr>
                <w:sz w:val="20"/>
                <w:szCs w:val="20"/>
                <w:color w:val="auto"/>
              </w:rPr>
            </w:pPr>
            <w:r>
              <w:rPr>
                <w:rFonts w:ascii="Arial" w:cs="Arial" w:eastAsia="Arial" w:hAnsi="Arial"/>
                <w:sz w:val="18"/>
                <w:szCs w:val="18"/>
                <w:color w:val="auto"/>
                <w:w w:val="84"/>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70"/>
              <w:spacing w:after="0"/>
              <w:rPr>
                <w:sz w:val="20"/>
                <w:szCs w:val="20"/>
                <w:color w:val="auto"/>
              </w:rPr>
            </w:pPr>
            <w:r>
              <w:rPr>
                <w:rFonts w:ascii="Arial" w:cs="Arial" w:eastAsia="Arial" w:hAnsi="Arial"/>
                <w:sz w:val="18"/>
                <w:szCs w:val="18"/>
                <w:color w:val="auto"/>
                <w:w w:val="96"/>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420" w:type="dxa"/>
            <w:vAlign w:val="bottom"/>
            <w:vMerge w:val="restart"/>
          </w:tcPr>
          <w:p>
            <w:pPr>
              <w:jc w:val="center"/>
              <w:ind w:right="390"/>
              <w:spacing w:after="0"/>
              <w:rPr>
                <w:sz w:val="20"/>
                <w:szCs w:val="20"/>
                <w:color w:val="auto"/>
              </w:rPr>
            </w:pPr>
            <w:r>
              <w:rPr>
                <w:rFonts w:ascii="Arial" w:cs="Arial" w:eastAsia="Arial" w:hAnsi="Arial"/>
                <w:sz w:val="18"/>
                <w:szCs w:val="18"/>
                <w:color w:val="auto"/>
                <w:w w:val="91"/>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420" w:type="dxa"/>
            <w:vAlign w:val="bottom"/>
            <w:vMerge w:val="continue"/>
          </w:tcPr>
          <w:p>
            <w:pPr>
              <w:spacing w:after="0"/>
              <w:rPr>
                <w:sz w:val="6"/>
                <w:szCs w:val="6"/>
                <w:color w:val="auto"/>
              </w:rPr>
            </w:pPr>
          </w:p>
        </w:tc>
        <w:tc>
          <w:tcPr>
            <w:tcW w:w="500" w:type="dxa"/>
            <w:vAlign w:val="bottom"/>
            <w:vMerge w:val="restart"/>
          </w:tcPr>
          <w:p>
            <w:pPr>
              <w:jc w:val="right"/>
              <w:ind w:right="190"/>
              <w:spacing w:after="0"/>
              <w:rPr>
                <w:sz w:val="20"/>
                <w:szCs w:val="20"/>
                <w:color w:val="auto"/>
              </w:rPr>
            </w:pPr>
            <w:r>
              <w:rPr>
                <w:rFonts w:ascii="Arial" w:cs="Arial" w:eastAsia="Arial" w:hAnsi="Arial"/>
                <w:sz w:val="18"/>
                <w:szCs w:val="18"/>
                <w:color w:val="auto"/>
              </w:rPr>
              <w:t>9.</w:t>
            </w: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Pr>
          <w:p>
            <w:pPr>
              <w:jc w:val="center"/>
              <w:ind w:right="390"/>
              <w:spacing w:after="0"/>
              <w:rPr>
                <w:sz w:val="20"/>
                <w:szCs w:val="20"/>
                <w:color w:val="auto"/>
              </w:rPr>
            </w:pPr>
            <w:r>
              <w:rPr>
                <w:rFonts w:ascii="Arial" w:cs="Arial" w:eastAsia="Arial" w:hAnsi="Arial"/>
                <w:sz w:val="18"/>
                <w:szCs w:val="18"/>
                <w:color w:val="auto"/>
                <w:w w:val="89"/>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370"/>
              <w:spacing w:after="0"/>
              <w:rPr>
                <w:sz w:val="20"/>
                <w:szCs w:val="20"/>
                <w:color w:val="auto"/>
              </w:rPr>
            </w:pPr>
            <w:r>
              <w:rPr>
                <w:rFonts w:ascii="Arial" w:cs="Arial" w:eastAsia="Arial" w:hAnsi="Arial"/>
                <w:sz w:val="18"/>
                <w:szCs w:val="18"/>
                <w:color w:val="auto"/>
                <w:w w:val="92"/>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1,863,591,287 (1)</w:t>
            </w:r>
          </w:p>
        </w:tc>
        <w:tc>
          <w:tcPr>
            <w:tcW w:w="0" w:type="dxa"/>
            <w:vAlign w:val="bottom"/>
          </w:tcPr>
          <w:p>
            <w:pPr>
              <w:spacing w:after="0"/>
              <w:rPr>
                <w:sz w:val="1"/>
                <w:szCs w:val="1"/>
                <w:color w:val="auto"/>
              </w:rPr>
            </w:pPr>
          </w:p>
        </w:tc>
      </w:tr>
      <w:tr>
        <w:trPr>
          <w:trHeight w:val="230"/>
        </w:trPr>
        <w:tc>
          <w:tcPr>
            <w:tcW w:w="1420" w:type="dxa"/>
            <w:vAlign w:val="bottom"/>
          </w:tcPr>
          <w:p>
            <w:pPr>
              <w:jc w:val="center"/>
              <w:ind w:right="390"/>
              <w:spacing w:after="0"/>
              <w:rPr>
                <w:sz w:val="20"/>
                <w:szCs w:val="20"/>
                <w:color w:val="auto"/>
              </w:rPr>
            </w:pPr>
            <w:r>
              <w:rPr>
                <w:rFonts w:ascii="Arial" w:cs="Arial" w:eastAsia="Arial" w:hAnsi="Arial"/>
                <w:sz w:val="18"/>
                <w:szCs w:val="18"/>
                <w:color w:val="auto"/>
                <w:w w:val="91"/>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680" w:right="6640" w:hanging="668"/>
        <w:spacing w:after="0" w:line="477" w:lineRule="auto"/>
        <w:tabs>
          <w:tab w:leader="none" w:pos="2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780" w:right="5620" w:hanging="673"/>
        <w:spacing w:after="0" w:line="451"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1,863,591,287 (1)</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303"/>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12.</w:t>
            </w:r>
          </w:p>
        </w:tc>
        <w:tc>
          <w:tcPr>
            <w:tcW w:w="7020" w:type="dxa"/>
            <w:vAlign w:val="bottom"/>
          </w:tcPr>
          <w:p>
            <w:pPr>
              <w:ind w:left="220"/>
              <w:spacing w:after="0" w:line="207" w:lineRule="exact"/>
              <w:rPr>
                <w:sz w:val="20"/>
                <w:szCs w:val="20"/>
                <w:color w:val="auto"/>
              </w:rPr>
            </w:pPr>
            <w:r>
              <w:rPr>
                <w:rFonts w:ascii="Arial" w:cs="Arial" w:eastAsia="Arial" w:hAnsi="Arial"/>
                <w:sz w:val="18"/>
                <w:szCs w:val="18"/>
                <w:color w:val="auto"/>
                <w:w w:val="92"/>
              </w:rPr>
              <w:t xml:space="preserve">Check if the Aggregate Amount in Row (11) Excludes Certain Shares (See Instructions):   </w:t>
            </w:r>
            <w:r>
              <w:rPr>
                <w:rFonts w:ascii="MS PGothic" w:cs="MS PGothic" w:eastAsia="MS PGothic" w:hAnsi="MS PGothic"/>
                <w:sz w:val="18"/>
                <w:szCs w:val="18"/>
                <w:color w:val="auto"/>
                <w:w w:val="92"/>
              </w:rPr>
              <w:t>☐</w:t>
            </w:r>
          </w:p>
        </w:tc>
      </w:tr>
    </w:tbl>
    <w:p>
      <w:pPr>
        <w:spacing w:after="0" w:line="336" w:lineRule="exact"/>
        <w:rPr>
          <w:sz w:val="20"/>
          <w:szCs w:val="20"/>
          <w:color w:val="auto"/>
        </w:rPr>
      </w:pPr>
    </w:p>
    <w:p>
      <w:pPr>
        <w:ind w:left="780" w:hanging="673"/>
        <w:spacing w:after="0"/>
        <w:tabs>
          <w:tab w:leader="none" w:pos="7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88.3% (2)(3)</w:t>
      </w:r>
    </w:p>
    <w:p>
      <w:pPr>
        <w:spacing w:after="0" w:line="184" w:lineRule="exact"/>
        <w:rPr>
          <w:rFonts w:ascii="Arial" w:cs="Arial" w:eastAsia="Arial" w:hAnsi="Arial"/>
          <w:sz w:val="18"/>
          <w:szCs w:val="18"/>
          <w:color w:val="auto"/>
        </w:rPr>
      </w:pPr>
    </w:p>
    <w:p>
      <w:pPr>
        <w:ind w:left="780" w:hanging="673"/>
        <w:spacing w:after="0"/>
        <w:tabs>
          <w:tab w:leader="none" w:pos="7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19" w:lineRule="exact"/>
        <w:rPr>
          <w:rFonts w:ascii="Arial" w:cs="Arial" w:eastAsia="Arial" w:hAnsi="Arial"/>
          <w:sz w:val="18"/>
          <w:szCs w:val="18"/>
          <w:color w:val="auto"/>
        </w:rPr>
      </w:pPr>
    </w:p>
    <w:p>
      <w:pPr>
        <w:jc w:val="both"/>
        <w:ind w:left="340" w:hanging="332"/>
        <w:spacing w:after="0" w:line="270"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See Item 2 below under the subtitle </w:t>
      </w:r>
      <w:r>
        <w:rPr>
          <w:rFonts w:ascii="Arial" w:cs="Arial" w:eastAsia="Arial" w:hAnsi="Arial"/>
          <w:sz w:val="17"/>
          <w:szCs w:val="17"/>
          <w:i w:val="1"/>
          <w:iCs w:val="1"/>
          <w:color w:val="auto"/>
        </w:rPr>
        <w:t>Explanatory Note Regarding the Relationships of the Reporting Persons</w:t>
      </w:r>
      <w:r>
        <w:rPr>
          <w:rFonts w:ascii="Arial" w:cs="Arial" w:eastAsia="Arial" w:hAnsi="Arial"/>
          <w:sz w:val="17"/>
          <w:szCs w:val="17"/>
          <w:color w:val="auto"/>
        </w:rPr>
        <w:t xml:space="preserve"> for a description of the Reporting Persons’ shareholding structure, which determines their respective voting power. Includes (i) 828,013,737 Class B ADSs held directly by PSD Investment Limited; (ii) 204,572,624 Class A ADSs and 814,219,838 Class B ADSs directly held by Snita Holding B.V.; (iii) 12,106,514 Class A ADSs directly held by GLY New Mobility; (iv) 4,678,552 Class A ADSs directly held by Northpole 1; (v) 5 Class A ADSs held directly by Saxo Capital Markets HK Limited (“</w:t>
      </w:r>
      <w:r>
        <w:rPr>
          <w:rFonts w:ascii="Arial" w:cs="Arial" w:eastAsia="Arial" w:hAnsi="Arial"/>
          <w:sz w:val="17"/>
          <w:szCs w:val="17"/>
          <w:b w:val="1"/>
          <w:bCs w:val="1"/>
          <w:color w:val="auto"/>
        </w:rPr>
        <w:t>Saxo HK</w:t>
      </w:r>
      <w:r>
        <w:rPr>
          <w:rFonts w:ascii="Arial" w:cs="Arial" w:eastAsia="Arial" w:hAnsi="Arial"/>
          <w:sz w:val="17"/>
          <w:szCs w:val="17"/>
          <w:color w:val="auto"/>
        </w:rPr>
        <w:t>”); and (vi) 17 Class A ADSs directly held by Saxo Capital Markets Pte. Ltd (“</w:t>
      </w:r>
      <w:r>
        <w:rPr>
          <w:rFonts w:ascii="Arial" w:cs="Arial" w:eastAsia="Arial" w:hAnsi="Arial"/>
          <w:sz w:val="17"/>
          <w:szCs w:val="17"/>
          <w:b w:val="1"/>
          <w:bCs w:val="1"/>
          <w:color w:val="auto"/>
        </w:rPr>
        <w:t>Saxo SG</w:t>
      </w:r>
      <w:r>
        <w:rPr>
          <w:rFonts w:ascii="Arial" w:cs="Arial" w:eastAsia="Arial" w:hAnsi="Arial"/>
          <w:sz w:val="17"/>
          <w:szCs w:val="17"/>
          <w:color w:val="auto"/>
        </w:rPr>
        <w:t>”). Northpole 1 and GLY New Mobility have made and/or will further make distributions in species of the Issuer’s securities to its limited partners from time to time.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180"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Calculated by dividing item 11 by the sum of (i) 467,677,673 Class A Shares in the form of Class A ADSs and (ii) 1,642,233,575 Class B Shares in the form of Class B ADSs, issued and outstanding as of December 31, 2022, as reported in the Issuer’s Form 20-F Annual Report filed on April 14, 2023 with the SEC. Assumes the conversion of the Class B Shares referred to in footnote 1 into Class A Shares.</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purpose of this calculation, the above excludes (i) 15,999,965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06"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This Amendment No. 2 (this “Amendment”) amends the statement on the Amendment No. 1 to the Schedule 13D filed on December 23, 2022 (the “Amendment No. 1”), which amends the Schedule 13D originally filed on July 7, 2022 (together with the Amendment No.1, the “Schedule 13D”), by Polestar Automotive Holding Limited, PSD Investment Limited, PSD Capital Limited, PSINV AB, Snita Holding B.V., Volvo Car Corporation, Volvo Car AB, Geely Sweden Holdings AB, Shanghai Geely Zhaoyuan International Investment Co., Ltd, Beijing Geely Wanyuan International Investment Co., Ltd, Beijing Geely Kaisheng International Investment Co., Ltd, Zhejiang Geely Holding Group Company Limited, and Eric Li (Shufu Li). Capitalized terms used but not defined herein have the meanings given to such terms in the Schedule 13D. Except as otherwise provided herein, each Item of the Schedule 13D remains unchanged.</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reporting persons for this Amendment are Geely Sweden Holdings AB, Shanghai Geely Zhaoyuan International Investment Co., Ltd, Beijing Geely Wanyuan International Investment Co., Ltd, Beijing Geely Kaisheng International Investment Co., Ltd, Zhejiang Geely Holding Group Company Limited, and Eric Li (Shufu Li) (all of the foregoing, collectively, the “Reporting Persons”).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Polestar Automotive Holding Limited and PSINV AB, who were reporting persons for the Schedule 13D, are not required to participate in this Amendment because they have made exit filings and are no longer reporting persons for purposes of the Schedule 13D and any subsequent amendments thereto.</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PSD Investment Limited, PSD Capital Limited, Snita Holding B.V., Volvo Car Corporation, and Volvo Car AB, who were also reporting persons for the Schedule 13D, are not required to participate in this Amendment because their respective shareholdings in the Issuer remain unchanged since the filing of the Amendment No.1, and the change of their beneficial ownership is caused by the change in the amount of outstanding securities of the Issuer and is not substantial.</w:t>
      </w:r>
    </w:p>
    <w:p>
      <w:pPr>
        <w:spacing w:after="0" w:line="1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The change in the Reporting Persons’ beneficial ownership is caused by the distributions in species to limited partners who are not affiliated with the Reporting Persons and other forms of disposition of the Issuers’ shares by GLY New Mobility, Northpole 1, and Northpole 2 during January to May 2023, which entities are indirectly controlled by the Reporting Persons. Saxo HK and Saxo SG, which are indirectly controlled by one of the Reporting Persons, Eric Li (Shufu Li), received distributions in species of the Issuer’s shares from Northpole 2. Northpole 2 no longer holds any share of the Issuer. </w:t>
      </w:r>
      <w:r>
        <w:rPr>
          <w:rFonts w:ascii="Arial" w:cs="Arial" w:eastAsia="Arial" w:hAnsi="Arial"/>
          <w:sz w:val="16"/>
          <w:szCs w:val="16"/>
          <w:b w:val="1"/>
          <w:bCs w:val="1"/>
          <w:i w:val="1"/>
          <w:iCs w:val="1"/>
          <w:color w:val="auto"/>
        </w:rPr>
        <w:t>See</w:t>
      </w:r>
      <w:r>
        <w:rPr>
          <w:rFonts w:ascii="Arial" w:cs="Arial" w:eastAsia="Arial" w:hAnsi="Arial"/>
          <w:sz w:val="16"/>
          <w:szCs w:val="16"/>
          <w:b w:val="1"/>
          <w:bCs w:val="1"/>
          <w:color w:val="auto"/>
        </w:rPr>
        <w:t xml:space="preserve"> Item 2 below under the subtitle </w:t>
      </w:r>
      <w:r>
        <w:rPr>
          <w:rFonts w:ascii="Arial" w:cs="Arial" w:eastAsia="Arial" w:hAnsi="Arial"/>
          <w:sz w:val="16"/>
          <w:szCs w:val="16"/>
          <w:b w:val="1"/>
          <w:bCs w:val="1"/>
          <w:i w:val="1"/>
          <w:iCs w:val="1"/>
          <w:color w:val="auto"/>
        </w:rPr>
        <w:t>Explanatory Note Regarding the Relationships of the Reporting Persons - Non-Reporting</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Persons Indirectly Controlled by the Reporting Persons </w:t>
      </w:r>
      <w:r>
        <w:rPr>
          <w:rFonts w:ascii="Arial" w:cs="Arial" w:eastAsia="Arial" w:hAnsi="Arial"/>
          <w:sz w:val="16"/>
          <w:szCs w:val="16"/>
          <w:b w:val="1"/>
          <w:bCs w:val="1"/>
          <w:color w:val="auto"/>
        </w:rPr>
        <w:t>for a description of the shareholding structure of the abovementioned entities.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Item 2 of the Schedule 13D is hereby amended in its entirety as follows. Certain information about PSD Investment Limited, PSD Capital Limited, Snita Holding B.V., Volvo Car Corporation, and Volvo Car AB are omitted because they are not Reporting Persons for purposes of this Amendment.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 (b), (c), (f)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Geely Sweden Holdings AB (“Geely Sweden”)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Residence or business address: Box 10038, 400 70 Göteborg, Sweden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 of Incorporation/Organization/Citizenship: Sweden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Entity Type: Swedish Private Limited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Shanghai Geely Zhaoyuan International Investment Co., Ltd (“Shanghai Geely”)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Residence or business address: Room 1478, Building 10, No. 1630 Yecheng Road, Jiangding District, Shanghai, China</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 of Incorporation/Organization/Citizenship: China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Entity Type: Chinese Limited Liability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Beijing Geely Wanyuan International Investment Co. Ltd (“Beijing Geely Wanyuan”)</w:t>
      </w:r>
    </w:p>
    <w:p>
      <w:pPr>
        <w:spacing w:after="0" w:line="229" w:lineRule="exact"/>
        <w:rPr>
          <w:sz w:val="20"/>
          <w:szCs w:val="20"/>
          <w:color w:val="auto"/>
        </w:rPr>
      </w:pPr>
    </w:p>
    <w:p>
      <w:pPr>
        <w:ind w:left="660"/>
        <w:spacing w:after="0" w:line="258" w:lineRule="auto"/>
        <w:rPr>
          <w:sz w:val="20"/>
          <w:szCs w:val="20"/>
          <w:color w:val="auto"/>
        </w:rPr>
      </w:pPr>
      <w:r>
        <w:rPr>
          <w:rFonts w:ascii="Arial" w:cs="Arial" w:eastAsia="Arial" w:hAnsi="Arial"/>
          <w:sz w:val="18"/>
          <w:szCs w:val="18"/>
          <w:color w:val="auto"/>
        </w:rPr>
        <w:t>Residence or business address: Room 409, Level 4, Building 4, Yard 4, Yongchang Zhong Road, Beijing Economic-Technological Development Area, Beijing, China</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 of Incorporation/Organization/Citizenship: China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Entity Type: Chinese Limited Liability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 Geely Kaisheng International Investment Co., Ltd. (“Beijing Geely Kaisheng”)</w:t>
      </w:r>
    </w:p>
    <w:p>
      <w:pPr>
        <w:spacing w:after="0" w:line="229" w:lineRule="exact"/>
        <w:rPr>
          <w:sz w:val="20"/>
          <w:szCs w:val="20"/>
          <w:color w:val="auto"/>
        </w:rPr>
      </w:pPr>
    </w:p>
    <w:p>
      <w:pPr>
        <w:ind w:left="660"/>
        <w:spacing w:after="0" w:line="258" w:lineRule="auto"/>
        <w:rPr>
          <w:sz w:val="20"/>
          <w:szCs w:val="20"/>
          <w:color w:val="auto"/>
        </w:rPr>
      </w:pPr>
      <w:r>
        <w:rPr>
          <w:rFonts w:ascii="Arial" w:cs="Arial" w:eastAsia="Arial" w:hAnsi="Arial"/>
          <w:sz w:val="18"/>
          <w:szCs w:val="18"/>
          <w:color w:val="auto"/>
        </w:rPr>
        <w:t>Residence or business address: Room 409, Level 4, Building 4, Yard 4, Yongchang Zhong Road, Beijing Economic-Technological Development Area, Beijing, China</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 of Incorporation/Organization/Citizenship: China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Entity Type: Chinese Limited Liability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Zhejiang Geely Holding Group Company Limited (“Zhejiang Geely”)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Residence or business address: No. 1760 Jiangling Road, Binjiang District, Hangzhou, Zhejiang, China</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 of Incorporation/Organization/Citizenship: China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Entity Type: Chinese Limited Liability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Li (Shufu Li)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Residence or business address: Room 303, Building 12, No. 980 Mingzhou Road, Xinqi Street, Beilun District, Ningbo, Zhejiang, China</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Citizenship: China</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Geely Sweden, Shanghai Geely, Beijing Geely Wanyuan, and Beijing Geely Kaisheng are holding companies which, through their subsidiaries, operates premium electric performance car brands as well as designing related products, and hold shares in or on behalf of certain other entities and individuals.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business of Zhejiang Geely is automobile manufacturing.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Explanatory Note Regarding the Relationships of the Reporting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and Indirect Shareholders of Snita Holding B.V. (“</w:t>
      </w:r>
      <w:r>
        <w:rPr>
          <w:rFonts w:ascii="Arial" w:cs="Arial" w:eastAsia="Arial" w:hAnsi="Arial"/>
          <w:sz w:val="18"/>
          <w:szCs w:val="18"/>
          <w:b w:val="1"/>
          <w:bCs w:val="1"/>
          <w:u w:val="single" w:color="auto"/>
          <w:color w:val="auto"/>
        </w:rPr>
        <w:t>Snita</w:t>
      </w:r>
      <w:r>
        <w:rPr>
          <w:rFonts w:ascii="Arial" w:cs="Arial" w:eastAsia="Arial" w:hAnsi="Arial"/>
          <w:sz w:val="18"/>
          <w:szCs w:val="18"/>
          <w:u w:val="single" w:color="auto"/>
          <w:color w:val="auto"/>
        </w:rPr>
        <w:t>”)</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June 23, 2022, (i) Snita is 100% owned by Volvo Car Corporation (“</w:t>
      </w:r>
      <w:r>
        <w:rPr>
          <w:rFonts w:ascii="Arial" w:cs="Arial" w:eastAsia="Arial" w:hAnsi="Arial"/>
          <w:sz w:val="17"/>
          <w:szCs w:val="17"/>
          <w:b w:val="1"/>
          <w:bCs w:val="1"/>
          <w:color w:val="auto"/>
        </w:rPr>
        <w:t>Volvo Cars</w:t>
      </w:r>
      <w:r>
        <w:rPr>
          <w:rFonts w:ascii="Arial" w:cs="Arial" w:eastAsia="Arial" w:hAnsi="Arial"/>
          <w:sz w:val="17"/>
          <w:szCs w:val="17"/>
          <w:color w:val="auto"/>
        </w:rPr>
        <w:t>”), (ii) Volvo Cars is 100% owned by Volvo Car AB (“</w:t>
      </w:r>
      <w:r>
        <w:rPr>
          <w:rFonts w:ascii="Arial" w:cs="Arial" w:eastAsia="Arial" w:hAnsi="Arial"/>
          <w:sz w:val="17"/>
          <w:szCs w:val="17"/>
          <w:b w:val="1"/>
          <w:bCs w:val="1"/>
          <w:color w:val="auto"/>
        </w:rPr>
        <w:t>VCAB</w:t>
      </w:r>
      <w:r>
        <w:rPr>
          <w:rFonts w:ascii="Arial" w:cs="Arial" w:eastAsia="Arial" w:hAnsi="Arial"/>
          <w:sz w:val="17"/>
          <w:szCs w:val="17"/>
          <w:color w:val="auto"/>
        </w:rPr>
        <w:t>”), (iii) VCAB is 82% owned by Geely Sweden and 18% owned by stock exchange investors, (iv) Geely Sweden is 100% owned by Shanghai Geely, (v) Shanghai Geely is 60.96% owned by Beijing Geely Wanyuan and 39,04% owned by Zhejiang Geely, (vi) Beijing Geely Wanyuan is 100% owned by Beijing Geely Kaisheng, (vii) Beijing Geely Kaisheng is 100% owned by Zhejiang Geely, and (viii) Zhejiang Geely is 91.9% owned by Eric Li (Shufu Li) (including (x) 82.2% of the shares of Zhejiang Geely directly held by Eric Li (Shufu Li), and (y) 9.7% of the shares of Zhejiang Geely indirectly held by Eric Li (Shufu Li), over which he shares the voting and dispositive power with a person who is not a Reporting Person to this Schedule 13D).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of this Amendment, the shareholding structure among Snita and its direct and indirect shareholders described above remain unchanged.</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Therefore, Reporting Persons that are direct or indirect shareholders of Snita, including Geely Sweden, Shanghai Geely, Beijing Geely Wanyuan, Beijing Geely Kaisheng, Zhejiang Geely, and Eric Li (Shufu Li) have the sole voting and dispositive power with respect to 100% of the Class A Shares of the Issuer directly held by Snita.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Direct and Indirect Shareholders of PSD Investment Limited (“</w:t>
      </w:r>
      <w:r>
        <w:rPr>
          <w:rFonts w:ascii="Arial" w:cs="Arial" w:eastAsia="Arial" w:hAnsi="Arial"/>
          <w:sz w:val="18"/>
          <w:szCs w:val="18"/>
          <w:b w:val="1"/>
          <w:bCs w:val="1"/>
          <w:u w:val="single" w:color="auto"/>
          <w:color w:val="auto"/>
        </w:rPr>
        <w:t>PSD Investment</w:t>
      </w:r>
      <w:r>
        <w:rPr>
          <w:rFonts w:ascii="Arial" w:cs="Arial" w:eastAsia="Arial" w:hAnsi="Arial"/>
          <w:sz w:val="18"/>
          <w:szCs w:val="18"/>
          <w:u w:val="single" w:color="auto"/>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of June 23, 2022, PSD Investment is 100% owned by PSD Capital Limited (“</w:t>
      </w:r>
      <w:r>
        <w:rPr>
          <w:rFonts w:ascii="Arial" w:cs="Arial" w:eastAsia="Arial" w:hAnsi="Arial"/>
          <w:sz w:val="17"/>
          <w:szCs w:val="17"/>
          <w:b w:val="1"/>
          <w:bCs w:val="1"/>
          <w:color w:val="auto"/>
        </w:rPr>
        <w:t>PSD Capital</w:t>
      </w:r>
      <w:r>
        <w:rPr>
          <w:rFonts w:ascii="Arial" w:cs="Arial" w:eastAsia="Arial" w:hAnsi="Arial"/>
          <w:sz w:val="17"/>
          <w:szCs w:val="17"/>
          <w:color w:val="auto"/>
        </w:rPr>
        <w:t>”), and PSD Capital is 100% owned by Eric Li (Shufu Li).</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Amendment, the shareholding structure among PSD Investment and its direct and indirect shareholders described above remain unchanged.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conclusion, Reporting Persons are direct or indirect shareholders of Snita and PSD Investment, including Geely Sweden, Shanghai Geely, Beijing Geely Wanyuan, Beijing Geely Kaisheng, Zhejiang Geely, and Eric Li (Shufu Li).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Non-Reporting Persons Indirectly Controlled by the Reporting Persons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Eric Li (Shufu Li) directly or indirectly owns approximately 91.9% of equity interests in Zhejiang Geely (includes (x) 82.2% of the shares of Zhejiang Geely directly held by Eric Li (Shufu Li), and (y) 9.7% of the shares of Zhejiang Geely indirectly held by Eric Li (Shufu Li), over which he shares the voting and dispositive power with a person who is not a Reporting Person to this Schedule 13D). Eric Li (Shufu Li), through Zhejiang Geely, Beijing Geely Kaisheng, Beijing Geely Wanyuan, Shanghai Geely, and Geely Sweden (all of the foregoing, collectively, the “</w:t>
      </w:r>
      <w:r>
        <w:rPr>
          <w:rFonts w:ascii="Arial" w:cs="Arial" w:eastAsia="Arial" w:hAnsi="Arial"/>
          <w:sz w:val="17"/>
          <w:szCs w:val="17"/>
          <w:b w:val="1"/>
          <w:bCs w:val="1"/>
          <w:color w:val="auto"/>
        </w:rPr>
        <w:t>Geely Reporting Persons</w:t>
      </w:r>
      <w:r>
        <w:rPr>
          <w:rFonts w:ascii="Arial" w:cs="Arial" w:eastAsia="Arial" w:hAnsi="Arial"/>
          <w:sz w:val="17"/>
          <w:szCs w:val="17"/>
          <w:color w:val="auto"/>
        </w:rPr>
        <w:t>”), owns approximately 86.0% of GLy Capital Management Partners (Cayman) Limited. GLy Capital Management Partners (Cayman) Limited controls (i) Northpole GLY GP1, the general partner of Northpole GLY 1 LP (“</w:t>
      </w:r>
      <w:r>
        <w:rPr>
          <w:rFonts w:ascii="Arial" w:cs="Arial" w:eastAsia="Arial" w:hAnsi="Arial"/>
          <w:sz w:val="17"/>
          <w:szCs w:val="17"/>
          <w:b w:val="1"/>
          <w:bCs w:val="1"/>
          <w:color w:val="auto"/>
        </w:rPr>
        <w:t>Northpole 1</w:t>
      </w:r>
      <w:r>
        <w:rPr>
          <w:rFonts w:ascii="Arial" w:cs="Arial" w:eastAsia="Arial" w:hAnsi="Arial"/>
          <w:sz w:val="17"/>
          <w:szCs w:val="17"/>
          <w:color w:val="auto"/>
        </w:rPr>
        <w:t>”) and Northpole GLY 2 LP (“</w:t>
      </w:r>
      <w:r>
        <w:rPr>
          <w:rFonts w:ascii="Arial" w:cs="Arial" w:eastAsia="Arial" w:hAnsi="Arial"/>
          <w:sz w:val="17"/>
          <w:szCs w:val="17"/>
          <w:b w:val="1"/>
          <w:bCs w:val="1"/>
          <w:color w:val="auto"/>
        </w:rPr>
        <w:t>Northpole 2</w:t>
      </w:r>
      <w:r>
        <w:rPr>
          <w:rFonts w:ascii="Arial" w:cs="Arial" w:eastAsia="Arial" w:hAnsi="Arial"/>
          <w:sz w:val="17"/>
          <w:szCs w:val="17"/>
          <w:color w:val="auto"/>
        </w:rPr>
        <w:t>”), and (ii) GLY New Mobility GP1, the general partner of GLY New Mobility 1. LP (“</w:t>
      </w:r>
      <w:r>
        <w:rPr>
          <w:rFonts w:ascii="Arial" w:cs="Arial" w:eastAsia="Arial" w:hAnsi="Arial"/>
          <w:sz w:val="17"/>
          <w:szCs w:val="17"/>
          <w:b w:val="1"/>
          <w:bCs w:val="1"/>
          <w:color w:val="auto"/>
        </w:rPr>
        <w:t>GLY New Mobility</w:t>
      </w:r>
      <w:r>
        <w:rPr>
          <w:rFonts w:ascii="Arial" w:cs="Arial" w:eastAsia="Arial" w:hAnsi="Arial"/>
          <w:sz w:val="17"/>
          <w:szCs w:val="17"/>
          <w:color w:val="auto"/>
        </w:rPr>
        <w:t xml:space="preserve">”). </w:t>
      </w:r>
      <w:r>
        <w:rPr>
          <w:rFonts w:ascii="Arial" w:cs="Arial" w:eastAsia="Arial" w:hAnsi="Arial"/>
          <w:sz w:val="17"/>
          <w:szCs w:val="17"/>
          <w:i w:val="1"/>
          <w:iCs w:val="1"/>
          <w:color w:val="auto"/>
        </w:rPr>
        <w:t>See</w:t>
      </w:r>
      <w:r>
        <w:rPr>
          <w:rFonts w:ascii="Arial" w:cs="Arial" w:eastAsia="Arial" w:hAnsi="Arial"/>
          <w:sz w:val="17"/>
          <w:szCs w:val="17"/>
          <w:color w:val="auto"/>
        </w:rPr>
        <w:t xml:space="preserve"> subtitle “</w:t>
      </w:r>
      <w:r>
        <w:rPr>
          <w:rFonts w:ascii="Arial" w:cs="Arial" w:eastAsia="Arial" w:hAnsi="Arial"/>
          <w:sz w:val="17"/>
          <w:szCs w:val="17"/>
          <w:u w:val="single" w:color="auto"/>
          <w:color w:val="auto"/>
        </w:rPr>
        <w:t>Direct and Indirect Shareholders of Snita</w:t>
      </w:r>
      <w:r>
        <w:rPr>
          <w:rFonts w:ascii="Arial" w:cs="Arial" w:eastAsia="Arial" w:hAnsi="Arial"/>
          <w:sz w:val="17"/>
          <w:szCs w:val="17"/>
          <w:color w:val="auto"/>
        </w:rPr>
        <w:t>” above for a description of the shareholding structure of the Geely Reporting Persons.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Consequently, Eric Li (Shufu Li) and the Geely Reporting Persons are deemed to have beneficial ownership over shares of the Issuer directly held by (i)</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GLY New Mobility, (ii) Northpole 1, and (iii) Northpole 2 (collectively, the “</w:t>
      </w:r>
      <w:r>
        <w:rPr>
          <w:rFonts w:ascii="Arial" w:cs="Arial" w:eastAsia="Arial" w:hAnsi="Arial"/>
          <w:sz w:val="16"/>
          <w:szCs w:val="16"/>
          <w:b w:val="1"/>
          <w:bCs w:val="1"/>
          <w:color w:val="auto"/>
        </w:rPr>
        <w:t>Gly Funds</w:t>
      </w:r>
      <w:r>
        <w:rPr>
          <w:rFonts w:ascii="Arial" w:cs="Arial" w:eastAsia="Arial" w:hAnsi="Arial"/>
          <w:sz w:val="16"/>
          <w:szCs w:val="16"/>
          <w:color w:val="auto"/>
        </w:rPr>
        <w:t>”; and together with Saxo HK and Saxo SG, collectively, the “</w:t>
      </w:r>
      <w:r>
        <w:rPr>
          <w:rFonts w:ascii="Arial" w:cs="Arial" w:eastAsia="Arial" w:hAnsi="Arial"/>
          <w:sz w:val="16"/>
          <w:szCs w:val="16"/>
          <w:b w:val="1"/>
          <w:bCs w:val="1"/>
          <w:color w:val="auto"/>
        </w:rPr>
        <w:t>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Persons</w:t>
      </w:r>
      <w:r>
        <w:rPr>
          <w:rFonts w:ascii="Arial" w:cs="Arial" w:eastAsia="Arial" w:hAnsi="Arial"/>
          <w:sz w:val="18"/>
          <w:szCs w:val="18"/>
          <w:color w:val="auto"/>
        </w:rPr>
        <w:t>”) for purposes of this Schedule 13D.</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Additionally, each of Saxo Capital Markets HK Limited (“</w:t>
      </w:r>
      <w:r>
        <w:rPr>
          <w:rFonts w:ascii="Arial" w:cs="Arial" w:eastAsia="Arial" w:hAnsi="Arial"/>
          <w:sz w:val="18"/>
          <w:szCs w:val="18"/>
          <w:b w:val="1"/>
          <w:bCs w:val="1"/>
          <w:color w:val="auto"/>
        </w:rPr>
        <w:t>Saxo HK</w:t>
      </w:r>
      <w:r>
        <w:rPr>
          <w:rFonts w:ascii="Arial" w:cs="Arial" w:eastAsia="Arial" w:hAnsi="Arial"/>
          <w:sz w:val="18"/>
          <w:szCs w:val="18"/>
          <w:color w:val="auto"/>
        </w:rPr>
        <w:t>”) and Saxo Capital Markets Pte. Ltd (“</w:t>
      </w:r>
      <w:r>
        <w:rPr>
          <w:rFonts w:ascii="Arial" w:cs="Arial" w:eastAsia="Arial" w:hAnsi="Arial"/>
          <w:sz w:val="18"/>
          <w:szCs w:val="18"/>
          <w:b w:val="1"/>
          <w:bCs w:val="1"/>
          <w:color w:val="auto"/>
        </w:rPr>
        <w:t>Saxo SG</w:t>
      </w:r>
      <w:r>
        <w:rPr>
          <w:rFonts w:ascii="Arial" w:cs="Arial" w:eastAsia="Arial" w:hAnsi="Arial"/>
          <w:sz w:val="18"/>
          <w:szCs w:val="18"/>
          <w:color w:val="auto"/>
        </w:rPr>
        <w:t>”) is 100% owned by Saxo Bank A/S, which is 50.89% owned and controlled by Geely Financials Denmark A/S. Geely Financials Denmark A/S is 51% owned and controlled by Geely Group Limited, which is100% owned by Eric Li (Shufu Li).</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Consequently, Eric Li (Shufu Li) is deemed to have beneficial ownership over shares of the Issuer directly held by (i) Saxo HK and (ii) Saxo SG for purposes of this Schedule 13D.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January to May 2023, GLY New Mobility, Northpole 1, and Northpole 2 made distributions in species to their respective limited partners and otherwise disposed of the shares of the Issuer. Northpole 2 no longer holds any share of the Issuer. Saxo HK and Saxo SG obtained the shares of the Issuer through distributions in species made by Northpole 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 of the Reporting Persons have been charged or convicted in a criminal proceeding during the last five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None of the Reporting Persons have been a party to a civil proceeding of a judicial or administrative body of competent jurisdiction during the last five years where such person, as result of such proceeding, was or became subject to a judgment, decree or final order enjoining future violations of, or prohibiting or mandating activities subject to, federal or state securities laws or finding any violation with respect to such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hereby amended in its entirety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acquired the Shares covered by this Schedule 13D for investment purposes.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Reporting Persons will routinely monitor a wide variety of investment considerations, including, without limitation, current and anticipated future trading prices for the Shares, the Issuer’s operations, assets, prospects, business development, markets and capitalization, the Issuer’s management and personnel, Issuer-related competitive and strategic matters, general economic, financial market and industry conditions, as well as other investment considerations. The Reporting Persons expect to discuss their investment in the Issuer and the foregoing investment considerations with the Issuer’s Board of Directors (“</w:t>
      </w:r>
      <w:r>
        <w:rPr>
          <w:rFonts w:ascii="Arial" w:cs="Arial" w:eastAsia="Arial" w:hAnsi="Arial"/>
          <w:sz w:val="17"/>
          <w:szCs w:val="17"/>
          <w:b w:val="1"/>
          <w:bCs w:val="1"/>
          <w:color w:val="auto"/>
        </w:rPr>
        <w:t>Board of Directors</w:t>
      </w:r>
      <w:r>
        <w:rPr>
          <w:rFonts w:ascii="Arial" w:cs="Arial" w:eastAsia="Arial" w:hAnsi="Arial"/>
          <w:sz w:val="17"/>
          <w:szCs w:val="17"/>
          <w:color w:val="auto"/>
        </w:rPr>
        <w:t>”), management, other investors, industry analysts and others. These considerations, these discussions and other factors may result in the Reporting Persons’ consideration of various alternatives with respect to their investment, including possible changes in the present Board of Directors and/or management of the Issuer or other alternatives to increase stockholder value. The Reporting Persons may also enter into confidentiality or similar agreements with the Issuer and, subject to such an agreement or otherwise, exchange information with the Issuer. In addition, the Reporting Persons may acquire additional Issuer securities in the public markets, in privately negotiated transactions or otherwise or may determine to sell, trade or otherwise dispose of all or some holdings in the Issuer in the public markets, in privately negotiated transactions or otherwise, or take any other lawful action they deem to be in their best interests.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Non-Reporting Persons, which are not Reporting Persons to this Schedule 13D but indirectly controlled by the Geely Reporting Persons and/or Eric Li (Shufu Li), as applicable, may, from time to time, sell the securities of the Issuer that they directly hold on the open market, make distributions in species to their respective limited partners who are not affiliated with the Reporting Persons, or hold the Issuer’s shares on behalf of clients who are not affiliated with the Reporting Persons, as applicable. For purpose of this Schedule 13D, securities of the Issuer directly held by the Non-Reporting Persons are deemed to be beneficially owned by the Geely Reporting Persons and/or Eric Li (Shufu Li), as applicable. </w:t>
      </w:r>
      <w:r>
        <w:rPr>
          <w:rFonts w:ascii="Arial" w:cs="Arial" w:eastAsia="Arial" w:hAnsi="Arial"/>
          <w:sz w:val="17"/>
          <w:szCs w:val="17"/>
          <w:i w:val="1"/>
          <w:iCs w:val="1"/>
          <w:color w:val="auto"/>
        </w:rPr>
        <w:t>See</w:t>
      </w:r>
      <w:r>
        <w:rPr>
          <w:rFonts w:ascii="Arial" w:cs="Arial" w:eastAsia="Arial" w:hAnsi="Arial"/>
          <w:sz w:val="17"/>
          <w:szCs w:val="17"/>
          <w:color w:val="auto"/>
        </w:rPr>
        <w:t xml:space="preserve"> subtitle “</w:t>
      </w:r>
      <w:r>
        <w:rPr>
          <w:rFonts w:ascii="Arial" w:cs="Arial" w:eastAsia="Arial" w:hAnsi="Arial"/>
          <w:sz w:val="17"/>
          <w:szCs w:val="17"/>
          <w:u w:val="single" w:color="auto"/>
          <w:color w:val="auto"/>
        </w:rPr>
        <w:t>Non-Reporting Persons Indirectly Controlled</w:t>
      </w:r>
      <w:r>
        <w:rPr>
          <w:rFonts w:ascii="Arial" w:cs="Arial" w:eastAsia="Arial" w:hAnsi="Arial"/>
          <w:sz w:val="17"/>
          <w:szCs w:val="17"/>
          <w:color w:val="auto"/>
        </w:rPr>
        <w:t xml:space="preserve"> </w:t>
      </w:r>
      <w:r>
        <w:rPr>
          <w:rFonts w:ascii="Arial" w:cs="Arial" w:eastAsia="Arial" w:hAnsi="Arial"/>
          <w:sz w:val="17"/>
          <w:szCs w:val="17"/>
          <w:u w:val="single" w:color="auto"/>
          <w:color w:val="auto"/>
        </w:rPr>
        <w:t>by the Reporting Persons</w:t>
      </w:r>
      <w:r>
        <w:rPr>
          <w:rFonts w:ascii="Arial" w:cs="Arial" w:eastAsia="Arial" w:hAnsi="Arial"/>
          <w:sz w:val="17"/>
          <w:szCs w:val="17"/>
          <w:color w:val="auto"/>
        </w:rPr>
        <w:t>” above for a description of the Non-Reporting Persons’ shareholding structure.</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Except as set forth in this Schedule 13D, no Reporting Person has any present plans or proposals that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of any of its subsidiaries; (d) any change in the present board of directors or management of the Issuer, including any plans or proposals to change the number or term of such directors or to fill any existing vacancies on such board; (e) any material change in the present capitalization or dividend policy of the Issuer; (f) any other material change in the Issuer’s business or corporate structure; (g) changes in the Issuer’s charter, bylaws or instruments corresponding thereto or other actions that may impede the acquisition of control of the Issuer by any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Exchange Act; or (j) any action similar to any of those enumerated in subclauses (a)-(i) above. There is no assurance that the Reporting Persons will develop any plans or proposals with respect to any of these matters. However, the Reporting Persons reserve the right to formulate plans or proposals which would relate to or result in the transactions described in subclauses (a) through (j) of this Item 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5(a)—(c) of the Schedule 13D are each hereby amended and restated in their entirety as follows: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(b) The responses of the Reporting Persons with respect to Rows 7 through 13 of the respective cover pages of the individual Reporting Persons to this Amendment are incorporated herein by reference.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Geely Sweden, Shanghai Geely, Beijing Geely Wanyuan, Beijing Geely Kaisheng, and Zhejiang Geely’s aggregate percentage of beneficial ownership is approximately 49.1% of the outstanding shares of the Issuer.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Eric Li (Shufu Li)’ s aggregate percentage of beneficial ownership is approximately 88.3% of the outstanding shares of the Issuer.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percentages of beneficial ownership above are calculated by dividing the Reporting Persons’ response in Row 11 of their respective cover pages by the sum of (i) 467,677,673 Class A Shares in the form of Class A ADSs and (ii) 1,642,233,575 Class B Shares in the form of Class B ADSs, issued and outstanding as of December 31, 2022, as reported in the Issuer’s Form 20-F Annual Report filed on April 14, 2023 with the SEC. Assumes the conversion of Class B Shares into Class A Shares.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 of this calculation, the above excludes (i) 15,999,965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GEELY SWEDEN HOLDINGS AB</w:t>
      </w:r>
    </w:p>
    <w:p>
      <w:pPr>
        <w:spacing w:after="0" w:line="225"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Dated: July 12, 2023</w:t>
      </w:r>
      <w:r>
        <w:rPr>
          <w:sz w:val="20"/>
          <w:szCs w:val="20"/>
          <w:color w:val="auto"/>
        </w:rPr>
        <w:tab/>
      </w:r>
      <w:r>
        <w:rPr>
          <w:rFonts w:ascii="Arial" w:cs="Arial" w:eastAsia="Arial" w:hAnsi="Arial"/>
          <w:sz w:val="17"/>
          <w:szCs w:val="17"/>
          <w:color w:val="auto"/>
        </w:rPr>
        <w:t>/s/ Eric Li (Shufu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9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Eric Li (Shufu Li)</w:t>
      </w:r>
    </w:p>
    <w:p>
      <w:pPr>
        <w:spacing w:after="0" w:line="23" w:lineRule="exact"/>
        <w:rPr>
          <w:sz w:val="20"/>
          <w:szCs w:val="20"/>
          <w:color w:val="auto"/>
        </w:rPr>
      </w:pPr>
    </w:p>
    <w:p>
      <w:pPr>
        <w:ind w:left="6740"/>
        <w:spacing w:after="0"/>
        <w:tabs>
          <w:tab w:leader="none" w:pos="7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Donghui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9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Donghui Li</w:t>
      </w:r>
    </w:p>
    <w:p>
      <w:pPr>
        <w:spacing w:after="0" w:line="23" w:lineRule="exact"/>
        <w:rPr>
          <w:sz w:val="20"/>
          <w:szCs w:val="20"/>
          <w:color w:val="auto"/>
        </w:rPr>
      </w:pPr>
    </w:p>
    <w:p>
      <w:pPr>
        <w:ind w:left="6740"/>
        <w:spacing w:after="0"/>
        <w:tabs>
          <w:tab w:leader="none" w:pos="7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SHANGHAI GEELY ZHAOYUAN INTERNATIONAL</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INVESTMENT CO., LTD</w:t>
      </w:r>
    </w:p>
    <w:p>
      <w:pPr>
        <w:spacing w:after="0" w:line="211"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Dated: July 12, 2023</w:t>
      </w:r>
      <w:r>
        <w:rPr>
          <w:sz w:val="20"/>
          <w:szCs w:val="20"/>
          <w:color w:val="auto"/>
        </w:rPr>
        <w:tab/>
      </w:r>
      <w:r>
        <w:rPr>
          <w:rFonts w:ascii="Arial" w:cs="Arial" w:eastAsia="Arial" w:hAnsi="Arial"/>
          <w:sz w:val="17"/>
          <w:szCs w:val="17"/>
          <w:color w:val="auto"/>
        </w:rPr>
        <w:t>/s/ Donghui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9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Donghui Li</w:t>
      </w:r>
    </w:p>
    <w:p>
      <w:pPr>
        <w:spacing w:after="0" w:line="23" w:lineRule="exact"/>
        <w:rPr>
          <w:sz w:val="20"/>
          <w:szCs w:val="20"/>
          <w:color w:val="auto"/>
        </w:rPr>
      </w:pPr>
    </w:p>
    <w:p>
      <w:pPr>
        <w:ind w:left="6740"/>
        <w:spacing w:after="0"/>
        <w:tabs>
          <w:tab w:leader="none" w:pos="7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BEIJING GEELY WANYUAN INTERNATIONAL</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INVESTMENT CO., LTD</w:t>
      </w:r>
    </w:p>
    <w:p>
      <w:pPr>
        <w:spacing w:after="0" w:line="211"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Dated: July 12, 2023</w:t>
      </w:r>
      <w:r>
        <w:rPr>
          <w:sz w:val="20"/>
          <w:szCs w:val="20"/>
          <w:color w:val="auto"/>
        </w:rPr>
        <w:tab/>
      </w:r>
      <w:r>
        <w:rPr>
          <w:rFonts w:ascii="Arial" w:cs="Arial" w:eastAsia="Arial" w:hAnsi="Arial"/>
          <w:sz w:val="17"/>
          <w:szCs w:val="17"/>
          <w:color w:val="auto"/>
        </w:rPr>
        <w:t>/s/ Donghui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9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Donghui Li</w:t>
      </w:r>
    </w:p>
    <w:p>
      <w:pPr>
        <w:spacing w:after="0" w:line="23" w:lineRule="exact"/>
        <w:rPr>
          <w:sz w:val="20"/>
          <w:szCs w:val="20"/>
          <w:color w:val="auto"/>
        </w:rPr>
      </w:pPr>
    </w:p>
    <w:p>
      <w:pPr>
        <w:ind w:left="6740"/>
        <w:spacing w:after="0"/>
        <w:tabs>
          <w:tab w:leader="none" w:pos="7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BEIJING GEELY KAISHENG INTERNATIONAL</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INVESTMENT CO., LTD</w:t>
      </w:r>
    </w:p>
    <w:p>
      <w:pPr>
        <w:spacing w:after="0" w:line="211"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Dated: July 12, 2023</w:t>
      </w:r>
      <w:r>
        <w:rPr>
          <w:sz w:val="20"/>
          <w:szCs w:val="20"/>
          <w:color w:val="auto"/>
        </w:rPr>
        <w:tab/>
      </w:r>
      <w:r>
        <w:rPr>
          <w:rFonts w:ascii="Arial" w:cs="Arial" w:eastAsia="Arial" w:hAnsi="Arial"/>
          <w:sz w:val="17"/>
          <w:szCs w:val="17"/>
          <w:color w:val="auto"/>
        </w:rPr>
        <w:t>/s/ Donghui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9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Donghui Li</w:t>
      </w:r>
    </w:p>
    <w:p>
      <w:pPr>
        <w:spacing w:after="0" w:line="23" w:lineRule="exact"/>
        <w:rPr>
          <w:sz w:val="20"/>
          <w:szCs w:val="20"/>
          <w:color w:val="auto"/>
        </w:rPr>
      </w:pPr>
    </w:p>
    <w:p>
      <w:pPr>
        <w:ind w:left="6740"/>
        <w:spacing w:after="0"/>
        <w:tabs>
          <w:tab w:leader="none" w:pos="7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ZHEJIANG GEELY HOLDING GROUP COMPANY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Dated: July 12, 2023</w:t>
      </w:r>
      <w:r>
        <w:rPr>
          <w:sz w:val="20"/>
          <w:szCs w:val="20"/>
          <w:color w:val="auto"/>
        </w:rPr>
        <w:tab/>
      </w:r>
      <w:r>
        <w:rPr>
          <w:rFonts w:ascii="Arial" w:cs="Arial" w:eastAsia="Arial" w:hAnsi="Arial"/>
          <w:sz w:val="17"/>
          <w:szCs w:val="17"/>
          <w:color w:val="auto"/>
        </w:rPr>
        <w:t>/s/ Donghui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9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Donghui Li</w:t>
      </w:r>
    </w:p>
    <w:p>
      <w:pPr>
        <w:spacing w:after="0" w:line="23" w:lineRule="exact"/>
        <w:rPr>
          <w:sz w:val="20"/>
          <w:szCs w:val="20"/>
          <w:color w:val="auto"/>
        </w:rPr>
      </w:pPr>
    </w:p>
    <w:p>
      <w:pPr>
        <w:ind w:left="6740"/>
        <w:spacing w:after="0"/>
        <w:tabs>
          <w:tab w:leader="none" w:pos="7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Legal Representative &amp; Director</w:t>
      </w:r>
    </w:p>
    <w:p>
      <w:pPr>
        <w:spacing w:after="0" w:line="211"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Dated: July 12, 2023</w:t>
      </w:r>
      <w:r>
        <w:rPr>
          <w:sz w:val="20"/>
          <w:szCs w:val="20"/>
          <w:color w:val="auto"/>
        </w:rPr>
        <w:tab/>
      </w:r>
      <w:r>
        <w:rPr>
          <w:rFonts w:ascii="Arial" w:cs="Arial" w:eastAsia="Arial" w:hAnsi="Arial"/>
          <w:sz w:val="17"/>
          <w:szCs w:val="17"/>
          <w:color w:val="auto"/>
        </w:rPr>
        <w:t>/s/ Eric Li (Shufu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9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Eric Li (Shufu Li)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SCHEDULE A-1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 with Respect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Officers and Directors of the Undersigned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sets forth as to each of the executive officers (if any) and directors of the undersigned: his/her name; his/her business address; his/her present principal occupation or employment and the name, principal business and address of any corporation or other organization in which such employment is conducted.</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Geely Sweden Holdings AB (“Geely Sweden”)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specified, the principal employer of each such individual is Geely Sweden. The business address of Geely Sweden is Box 10038, 400 70 Göteborg, Sweden.</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7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38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Title</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Citizenship</w:t>
            </w:r>
          </w:p>
        </w:tc>
      </w:tr>
      <w:tr>
        <w:trPr>
          <w:trHeight w:val="210"/>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Eric Li (Shufu Li)</w:t>
            </w:r>
          </w:p>
        </w:tc>
        <w:tc>
          <w:tcPr>
            <w:tcW w:w="3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Donghui Li</w:t>
            </w:r>
          </w:p>
        </w:tc>
        <w:tc>
          <w:tcPr>
            <w:tcW w:w="3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Hans Erik Oscarsson</w:t>
            </w:r>
          </w:p>
        </w:tc>
        <w:tc>
          <w:tcPr>
            <w:tcW w:w="3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Sweden</w:t>
            </w:r>
          </w:p>
        </w:tc>
      </w:tr>
      <w:tr>
        <w:trPr>
          <w:trHeight w:val="210"/>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Lone Fönss Schröder</w:t>
            </w:r>
          </w:p>
        </w:tc>
        <w:tc>
          <w:tcPr>
            <w:tcW w:w="3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Denmark</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Shanghai Geely Zhaoyuan International Investment Co., Ltd (“Shanghai Geely”)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specified, the principal employer of each such individual is Shanghai Geely. The business address of Shanghai Geely is Room 1478, Building 10, No. 1630 Yecheng Road, Jiangding District, Shanghai, China.</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12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Title</w:t>
            </w:r>
          </w:p>
        </w:tc>
        <w:tc>
          <w:tcPr>
            <w:tcW w:w="256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Citizenship</w:t>
            </w:r>
          </w:p>
        </w:tc>
      </w:tr>
      <w:tr>
        <w:trPr>
          <w:trHeight w:val="210"/>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Conghui An</w:t>
            </w: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256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Donghui Li</w:t>
            </w: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256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Zhaoxing Wang</w:t>
            </w: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256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Xueliang Yu</w:t>
            </w: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256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649"/>
        </w:trPr>
        <w:tc>
          <w:tcPr>
            <w:tcW w:w="37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1730"/>
              <w:spacing w:after="0"/>
              <w:rPr>
                <w:sz w:val="20"/>
                <w:szCs w:val="20"/>
                <w:color w:val="auto"/>
              </w:rPr>
            </w:pPr>
            <w:r>
              <w:rPr>
                <w:rFonts w:ascii="Arial" w:cs="Arial" w:eastAsia="Arial" w:hAnsi="Arial"/>
                <w:sz w:val="18"/>
                <w:szCs w:val="18"/>
                <w:color w:val="auto"/>
              </w:rPr>
              <w:t>13</w:t>
            </w: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Beijing Geely Wanyuan International Investment Co. Ltd (“Beijing Geely Wanyuan”)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Unless otherwise specified, the principal employer of each such individual is Beijing Geely Wanyuan. The business address of Beijing Geely Wanyuan is Room 409, Level 4, Building 4, Yard 4, Yongchang Zhong Road, Beijing Economic-Technological Development Area, Beijing, China.</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7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38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Title</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Citizenship</w:t>
            </w:r>
          </w:p>
        </w:tc>
      </w:tr>
      <w:tr>
        <w:trPr>
          <w:trHeight w:val="210"/>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Conghui An</w:t>
            </w:r>
          </w:p>
        </w:tc>
        <w:tc>
          <w:tcPr>
            <w:tcW w:w="3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Donghui Li</w:t>
            </w:r>
          </w:p>
        </w:tc>
        <w:tc>
          <w:tcPr>
            <w:tcW w:w="3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Zhaoxing Wang</w:t>
            </w:r>
          </w:p>
        </w:tc>
        <w:tc>
          <w:tcPr>
            <w:tcW w:w="3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 Geely Kaisheng International Investment Co., Ltd. (“Beijing Geely Kaisheng”)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Unless otherwise specified, the principal employer of each such individual is Beijing Geely Kaisheng. The business address of Beijing Geely Kaisheng is Room 409, Level 4, Building 4, Yard 4, Yongchang Zhong Road, Beijing Economic-Technological Development Area, Beijing, China.</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7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38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Title</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Citizenship</w:t>
            </w:r>
          </w:p>
        </w:tc>
      </w:tr>
      <w:tr>
        <w:trPr>
          <w:trHeight w:val="210"/>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Conghui An</w:t>
            </w:r>
          </w:p>
        </w:tc>
        <w:tc>
          <w:tcPr>
            <w:tcW w:w="3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Donghui Li</w:t>
            </w:r>
          </w:p>
        </w:tc>
        <w:tc>
          <w:tcPr>
            <w:tcW w:w="3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Zhaoxing Wang</w:t>
            </w:r>
          </w:p>
        </w:tc>
        <w:tc>
          <w:tcPr>
            <w:tcW w:w="3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Zhejiang Geely Holding Group Company Limited (“Zhejiang Geely”)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specified, the principal employer of each such individual is Zhejiang Geely. The business address of Zhejiang Geely is No. 1760 Jiangling Road, Binjiang District, Hangzhou, Zhejiang, China.</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7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38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Title</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Citizenship</w:t>
            </w:r>
          </w:p>
        </w:tc>
      </w:tr>
      <w:tr>
        <w:trPr>
          <w:trHeight w:val="210"/>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Eric Li (Shufu Li)</w:t>
            </w:r>
          </w:p>
        </w:tc>
        <w:tc>
          <w:tcPr>
            <w:tcW w:w="3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Donghui Li</w:t>
            </w:r>
          </w:p>
        </w:tc>
        <w:tc>
          <w:tcPr>
            <w:tcW w:w="3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Jian Yang</w:t>
            </w:r>
          </w:p>
        </w:tc>
        <w:tc>
          <w:tcPr>
            <w:tcW w:w="3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Hong Sun</w:t>
            </w:r>
          </w:p>
        </w:tc>
        <w:tc>
          <w:tcPr>
            <w:tcW w:w="3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3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Weilie Ye</w:t>
            </w:r>
          </w:p>
        </w:tc>
        <w:tc>
          <w:tcPr>
            <w:tcW w:w="3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500"/>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
    <w:nsid w:val="431BD7B7"/>
    <w:multiLevelType w:val="hybridMultilevel"/>
    <w:lvl w:ilvl="0">
      <w:lvlJc w:val="left"/>
      <w:lvlText w:val="%1"/>
      <w:numFmt w:val="decimal"/>
      <w:start w:val="1"/>
    </w:lvl>
    <w:lvl w:ilvl="1">
      <w:lvlJc w:val="left"/>
      <w:lvlText w:val="%2."/>
      <w:numFmt w:val="decimal"/>
      <w:start w:val="10"/>
    </w:lvl>
  </w:abstractNum>
  <w:abstractNum w:abstractNumId="4">
    <w:nsid w:val="3F2DBA31"/>
    <w:multiLevelType w:val="hybridMultilevel"/>
    <w:lvl w:ilvl="0">
      <w:lvlJc w:val="left"/>
      <w:lvlText w:val="%1."/>
      <w:numFmt w:val="decimal"/>
      <w:start w:val="11"/>
    </w:lvl>
    <w:lvl w:ilvl="1">
      <w:lvlJc w:val="left"/>
      <w:lvlText w:val="%2"/>
      <w:numFmt w:val="decimal"/>
      <w:start w:val="1"/>
    </w:lvl>
  </w:abstractNum>
  <w:abstractNum w:abstractNumId="5">
    <w:nsid w:val="7C83E458"/>
    <w:multiLevelType w:val="hybridMultilevel"/>
    <w:lvl w:ilvl="0">
      <w:lvlJc w:val="left"/>
      <w:lvlText w:val="%1"/>
      <w:numFmt w:val="decimal"/>
      <w:start w:val="1"/>
    </w:lvl>
    <w:lvl w:ilvl="1">
      <w:lvlJc w:val="left"/>
      <w:lvlText w:val="%2."/>
      <w:numFmt w:val="decimal"/>
      <w:start w:val="13"/>
    </w:lvl>
  </w:abstractNum>
  <w:abstractNum w:abstractNumId="6">
    <w:nsid w:val="257130A3"/>
    <w:multiLevelType w:val="hybridMultilevel"/>
    <w:lvl w:ilvl="0">
      <w:lvlJc w:val="left"/>
      <w:lvlText w:val="(%1)"/>
      <w:numFmt w:val="decimal"/>
      <w:start w:val="1"/>
    </w:lvl>
    <w:lvl w:ilvl="1">
      <w:lvlJc w:val="left"/>
      <w:lvlText w:val="%2"/>
      <w:numFmt w:val="decimal"/>
      <w:start w:val="1"/>
    </w:lvl>
  </w:abstractNum>
  <w:abstractNum w:abstractNumId="7">
    <w:nsid w:val="62BBD95A"/>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8">
    <w:nsid w:val="436C6125"/>
    <w:multiLevelType w:val="hybridMultilevel"/>
    <w:lvl w:ilvl="0">
      <w:lvlJc w:val="left"/>
      <w:lvlText w:val="%1"/>
      <w:numFmt w:val="decimal"/>
      <w:start w:val="1"/>
    </w:lvl>
    <w:lvl w:ilvl="1">
      <w:lvlJc w:val="left"/>
      <w:lvlText w:val="%2."/>
      <w:numFmt w:val="decimal"/>
      <w:start w:val="10"/>
    </w:lvl>
  </w:abstractNum>
  <w:abstractNum w:abstractNumId="9">
    <w:nsid w:val="628C895D"/>
    <w:multiLevelType w:val="hybridMultilevel"/>
    <w:lvl w:ilvl="0">
      <w:lvlJc w:val="left"/>
      <w:lvlText w:val="%1."/>
      <w:numFmt w:val="decimal"/>
      <w:start w:val="11"/>
    </w:lvl>
    <w:lvl w:ilvl="1">
      <w:lvlJc w:val="left"/>
      <w:lvlText w:val="%2"/>
      <w:numFmt w:val="decimal"/>
      <w:start w:val="1"/>
    </w:lvl>
  </w:abstractNum>
  <w:abstractNum w:abstractNumId="10">
    <w:nsid w:val="333AB105"/>
    <w:multiLevelType w:val="hybridMultilevel"/>
    <w:lvl w:ilvl="0">
      <w:lvlJc w:val="left"/>
      <w:lvlText w:val="%1"/>
      <w:numFmt w:val="decimal"/>
      <w:start w:val="1"/>
    </w:lvl>
    <w:lvl w:ilvl="1">
      <w:lvlJc w:val="left"/>
      <w:lvlText w:val="%2."/>
      <w:numFmt w:val="decimal"/>
      <w:start w:val="13"/>
    </w:lvl>
  </w:abstractNum>
  <w:abstractNum w:abstractNumId="11">
    <w:nsid w:val="721DA317"/>
    <w:multiLevelType w:val="hybridMultilevel"/>
    <w:lvl w:ilvl="0">
      <w:lvlJc w:val="left"/>
      <w:lvlText w:val="(%1)"/>
      <w:numFmt w:val="decimal"/>
      <w:start w:val="1"/>
    </w:lvl>
    <w:lvl w:ilvl="1">
      <w:lvlJc w:val="left"/>
      <w:lvlText w:val="%2"/>
      <w:numFmt w:val="decimal"/>
      <w:start w:val="1"/>
    </w:lvl>
  </w:abstractNum>
  <w:abstractNum w:abstractNumId="12">
    <w:nsid w:val="2443A8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3">
    <w:nsid w:val="2D1D5AE9"/>
    <w:multiLevelType w:val="hybridMultilevel"/>
    <w:lvl w:ilvl="0">
      <w:lvlJc w:val="left"/>
      <w:lvlText w:val="%1"/>
      <w:numFmt w:val="decimal"/>
      <w:start w:val="1"/>
    </w:lvl>
    <w:lvl w:ilvl="1">
      <w:lvlJc w:val="left"/>
      <w:lvlText w:val="%2."/>
      <w:numFmt w:val="decimal"/>
      <w:start w:val="10"/>
    </w:lvl>
  </w:abstractNum>
  <w:abstractNum w:abstractNumId="14">
    <w:nsid w:val="6763845E"/>
    <w:multiLevelType w:val="hybridMultilevel"/>
    <w:lvl w:ilvl="0">
      <w:lvlJc w:val="left"/>
      <w:lvlText w:val="%1."/>
      <w:numFmt w:val="decimal"/>
      <w:start w:val="11"/>
    </w:lvl>
    <w:lvl w:ilvl="1">
      <w:lvlJc w:val="left"/>
      <w:lvlText w:val="%2"/>
      <w:numFmt w:val="decimal"/>
      <w:start w:val="1"/>
    </w:lvl>
  </w:abstractNum>
  <w:abstractNum w:abstractNumId="15">
    <w:nsid w:val="75A2A8D4"/>
    <w:multiLevelType w:val="hybridMultilevel"/>
    <w:lvl w:ilvl="0">
      <w:lvlJc w:val="left"/>
      <w:lvlText w:val="%1"/>
      <w:numFmt w:val="decimal"/>
      <w:start w:val="1"/>
    </w:lvl>
    <w:lvl w:ilvl="1">
      <w:lvlJc w:val="left"/>
      <w:lvlText w:val="%2."/>
      <w:numFmt w:val="decimal"/>
      <w:start w:val="13"/>
    </w:lvl>
  </w:abstractNum>
  <w:abstractNum w:abstractNumId="16">
    <w:nsid w:val="8EDBDAB"/>
    <w:multiLevelType w:val="hybridMultilevel"/>
    <w:lvl w:ilvl="0">
      <w:lvlJc w:val="left"/>
      <w:lvlText w:val="(%1)"/>
      <w:numFmt w:val="decimal"/>
      <w:start w:val="1"/>
    </w:lvl>
    <w:lvl w:ilvl="1">
      <w:lvlJc w:val="left"/>
      <w:lvlText w:val="%2"/>
      <w:numFmt w:val="decimal"/>
      <w:start w:val="1"/>
    </w:lvl>
  </w:abstractNum>
  <w:abstractNum w:abstractNumId="17">
    <w:nsid w:val="79838CB2"/>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8">
    <w:nsid w:val="4353D0CD"/>
    <w:multiLevelType w:val="hybridMultilevel"/>
    <w:lvl w:ilvl="0">
      <w:lvlJc w:val="left"/>
      <w:lvlText w:val="%1"/>
      <w:numFmt w:val="decimal"/>
      <w:start w:val="1"/>
    </w:lvl>
    <w:lvl w:ilvl="1">
      <w:lvlJc w:val="left"/>
      <w:lvlText w:val="%2."/>
      <w:numFmt w:val="decimal"/>
      <w:start w:val="10"/>
    </w:lvl>
  </w:abstractNum>
  <w:abstractNum w:abstractNumId="19">
    <w:nsid w:val="B03E0C6"/>
    <w:multiLevelType w:val="hybridMultilevel"/>
    <w:lvl w:ilvl="0">
      <w:lvlJc w:val="left"/>
      <w:lvlText w:val="%1."/>
      <w:numFmt w:val="decimal"/>
      <w:start w:val="11"/>
    </w:lvl>
    <w:lvl w:ilvl="1">
      <w:lvlJc w:val="left"/>
      <w:lvlText w:val="%2"/>
      <w:numFmt w:val="decimal"/>
      <w:start w:val="1"/>
    </w:lvl>
  </w:abstractNum>
  <w:abstractNum w:abstractNumId="20">
    <w:nsid w:val="189A769B"/>
    <w:multiLevelType w:val="hybridMultilevel"/>
    <w:lvl w:ilvl="0">
      <w:lvlJc w:val="left"/>
      <w:lvlText w:val="%1"/>
      <w:numFmt w:val="decimal"/>
      <w:start w:val="1"/>
    </w:lvl>
    <w:lvl w:ilvl="1">
      <w:lvlJc w:val="left"/>
      <w:lvlText w:val="%2."/>
      <w:numFmt w:val="decimal"/>
      <w:start w:val="13"/>
    </w:lvl>
  </w:abstractNum>
  <w:abstractNum w:abstractNumId="21">
    <w:nsid w:val="54E49EB4"/>
    <w:multiLevelType w:val="hybridMultilevel"/>
    <w:lvl w:ilvl="0">
      <w:lvlJc w:val="left"/>
      <w:lvlText w:val="(%1)"/>
      <w:numFmt w:val="decimal"/>
      <w:start w:val="1"/>
    </w:lvl>
    <w:lvl w:ilvl="1">
      <w:lvlJc w:val="left"/>
      <w:lvlText w:val="%2"/>
      <w:numFmt w:val="decimal"/>
      <w:start w:val="1"/>
    </w:lvl>
  </w:abstractNum>
  <w:abstractNum w:abstractNumId="22">
    <w:nsid w:val="71F324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3">
    <w:nsid w:val="2CA88611"/>
    <w:multiLevelType w:val="hybridMultilevel"/>
    <w:lvl w:ilvl="0">
      <w:lvlJc w:val="left"/>
      <w:lvlText w:val="%1"/>
      <w:numFmt w:val="decimal"/>
      <w:start w:val="1"/>
    </w:lvl>
    <w:lvl w:ilvl="1">
      <w:lvlJc w:val="left"/>
      <w:lvlText w:val="%2."/>
      <w:numFmt w:val="decimal"/>
      <w:start w:val="10"/>
    </w:lvl>
  </w:abstractNum>
  <w:abstractNum w:abstractNumId="24">
    <w:nsid w:val="836C40E"/>
    <w:multiLevelType w:val="hybridMultilevel"/>
    <w:lvl w:ilvl="0">
      <w:lvlJc w:val="left"/>
      <w:lvlText w:val="%1."/>
      <w:numFmt w:val="decimal"/>
      <w:start w:val="11"/>
    </w:lvl>
    <w:lvl w:ilvl="1">
      <w:lvlJc w:val="left"/>
      <w:lvlText w:val="%2"/>
      <w:numFmt w:val="decimal"/>
      <w:start w:val="1"/>
    </w:lvl>
  </w:abstractNum>
  <w:abstractNum w:abstractNumId="25">
    <w:nsid w:val="2901D82"/>
    <w:multiLevelType w:val="hybridMultilevel"/>
    <w:lvl w:ilvl="0">
      <w:lvlJc w:val="left"/>
      <w:lvlText w:val="%1"/>
      <w:numFmt w:val="decimal"/>
      <w:start w:val="1"/>
    </w:lvl>
    <w:lvl w:ilvl="1">
      <w:lvlJc w:val="left"/>
      <w:lvlText w:val="%2."/>
      <w:numFmt w:val="decimal"/>
      <w:start w:val="13"/>
    </w:lvl>
  </w:abstractNum>
  <w:abstractNum w:abstractNumId="26">
    <w:nsid w:val="3A95F874"/>
    <w:multiLevelType w:val="hybridMultilevel"/>
    <w:lvl w:ilvl="0">
      <w:lvlJc w:val="left"/>
      <w:lvlText w:val="(%1)"/>
      <w:numFmt w:val="decimal"/>
      <w:start w:val="1"/>
    </w:lvl>
    <w:lvl w:ilvl="1">
      <w:lvlJc w:val="left"/>
      <w:lvlText w:val="%2"/>
      <w:numFmt w:val="decimal"/>
      <w:start w:val="1"/>
    </w:lvl>
  </w:abstractNum>
  <w:abstractNum w:abstractNumId="27">
    <w:nsid w:val="8138641"/>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8">
    <w:nsid w:val="1E7FF521"/>
    <w:multiLevelType w:val="hybridMultilevel"/>
    <w:lvl w:ilvl="0">
      <w:lvlJc w:val="left"/>
      <w:lvlText w:val="%1"/>
      <w:numFmt w:val="decimal"/>
      <w:start w:val="1"/>
    </w:lvl>
    <w:lvl w:ilvl="1">
      <w:lvlJc w:val="left"/>
      <w:lvlText w:val="%2."/>
      <w:numFmt w:val="decimal"/>
      <w:start w:val="10"/>
    </w:lvl>
  </w:abstractNum>
  <w:abstractNum w:abstractNumId="29">
    <w:nsid w:val="7C3DBD3D"/>
    <w:multiLevelType w:val="hybridMultilevel"/>
    <w:lvl w:ilvl="0">
      <w:lvlJc w:val="left"/>
      <w:lvlText w:val="%1."/>
      <w:numFmt w:val="decimal"/>
      <w:start w:val="11"/>
    </w:lvl>
    <w:lvl w:ilvl="1">
      <w:lvlJc w:val="left"/>
      <w:lvlText w:val="%2"/>
      <w:numFmt w:val="decimal"/>
      <w:start w:val="1"/>
    </w:lvl>
  </w:abstractNum>
  <w:abstractNum w:abstractNumId="30">
    <w:nsid w:val="737B8DDC"/>
    <w:multiLevelType w:val="hybridMultilevel"/>
    <w:lvl w:ilvl="0">
      <w:lvlJc w:val="left"/>
      <w:lvlText w:val="%1"/>
      <w:numFmt w:val="decimal"/>
      <w:start w:val="1"/>
    </w:lvl>
    <w:lvl w:ilvl="1">
      <w:lvlJc w:val="left"/>
      <w:lvlText w:val="%2."/>
      <w:numFmt w:val="decimal"/>
      <w:start w:val="13"/>
    </w:lvl>
  </w:abstractNum>
  <w:abstractNum w:abstractNumId="31">
    <w:nsid w:val="6CEAF087"/>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2023-07-12T13:00:10Z</dcterms:created>
  <dcterms:modified xsi:type="dcterms:W3CDTF">2023-07-12T13:00:10Z</dcterms:modified>
</cp:coreProperties>
</file>