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Polestar Automotive Holding UK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7"/>
          <w:szCs w:val="17"/>
          <w:b w:val="1"/>
          <w:bCs w:val="1"/>
          <w:color w:val="auto"/>
        </w:rPr>
        <w:t>Polestar Automotive Holding UK PLC</w:t>
      </w:r>
    </w:p>
    <w:p>
      <w:pPr>
        <w:spacing w:after="0" w:line="21"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(Commission File No. 001-40265)</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8, 2022, the following communication was made available by Polestar on Facebook: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5572125" cy="3780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2125" cy="3780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4"/>
          <w:szCs w:val="24"/>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Certain statements in this communication (“Communication”)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PLC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ectPr>
          <w:pgSz w:w="11900" w:h="16838" w:orient="portrait"/>
          <w:cols w:equalWidth="0" w:num="1">
            <w:col w:w="11020"/>
          </w:cols>
          <w:pgMar w:left="440" w:top="225" w:right="439" w:bottom="1440" w:gutter="0" w:footer="0" w:header="0"/>
        </w:sectPr>
      </w:pPr>
    </w:p>
    <w:bookmarkStart w:id="1" w:name="page2"/>
    <w:bookmarkEnd w:id="1"/>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the Company and Gores Guggenheim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w:t>
      </w:r>
    </w:p>
    <w:p>
      <w:pPr>
        <w:spacing w:after="0" w:line="200" w:lineRule="exact"/>
        <w:rPr>
          <w:sz w:val="20"/>
          <w:szCs w:val="20"/>
          <w:color w:val="auto"/>
        </w:rPr>
      </w:pPr>
    </w:p>
    <w:p>
      <w:pPr>
        <w:ind w:left="4"/>
        <w:spacing w:after="0" w:line="265" w:lineRule="auto"/>
        <w:rPr>
          <w:sz w:val="20"/>
          <w:szCs w:val="20"/>
          <w:color w:val="auto"/>
        </w:rPr>
      </w:pPr>
      <w:r>
        <w:rPr>
          <w:rFonts w:ascii="Times New Roman" w:cs="Times New Roman" w:eastAsia="Times New Roman" w:hAnsi="Times New Roman"/>
          <w:sz w:val="17"/>
          <w:szCs w:val="17"/>
          <w:color w:val="auto"/>
        </w:rPr>
        <w:t>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w:t>
      </w:r>
    </w:p>
    <w:p>
      <w:pPr>
        <w:spacing w:after="0" w:line="1" w:lineRule="exact"/>
        <w:rPr>
          <w:sz w:val="20"/>
          <w:szCs w:val="20"/>
          <w:color w:val="auto"/>
        </w:rPr>
      </w:pPr>
    </w:p>
    <w:p>
      <w:pPr>
        <w:ind w:left="4" w:hanging="4"/>
        <w:spacing w:after="0" w:line="251" w:lineRule="auto"/>
        <w:tabs>
          <w:tab w:leader="none" w:pos="3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fuel and energy prices; (24) the impact of the global COVID-19 pandemic, inflation, interest rate changes, the ongoing conflict between Ukraine and Russia, supply chain disruptions and logistical constraints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Definitive 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93"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ectPr>
          <w:pgSz w:w="11900" w:h="16838" w:orient="portrait"/>
          <w:cols w:equalWidth="0" w:num="1">
            <w:col w:w="11004"/>
          </w:cols>
          <w:pgMar w:left="436"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 ListCo has filed with the SEC a registration statement on Form F-4 containing a proxy statement of the Gores Guggenheim and a prospectus, which the SEC declared effective on May 25, 2022 and (b) Gores Guggenheim has filed a definitive proxy statement relating to the Business Combination (the “Definitive Proxy Statement”) and has mailed the Definitive Proxy Statement and other relevant materials to its stockholders and warrant holders, each as of May 18, 2022, the record date established for voting on the Business Combination and the other matters to be voted upon at the Special Meeting and Warrant Holder Meeting. The Definitive Proxy Statement contains important information about the Business Combination and the other matters to be voted upon at the meetings of Gores Guggenheim’s stockholders and warrant holders. This communication does not contain all the information that should be considered concerning the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Definitive Proxy Statement and other documents filed or to be filed in connection with the Business Combination, as these materials will contain important information about Gores Guggenheim, Polestar, ListCo and the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Gores Guggenheim and certain of its directors and executive officers may be deemed participants in the solicitation of proxies from Gores Guggenheim’s stockholders with respect to the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and ListCo, and certain of their directors and executive officers may also be deemed to be participants in the solicitation of proxies from the stockholders of Gores Guggenheim in connection with the Business Combination. A list of the names of such directors and executive officers and information regarding their interests in the Business Combination is included in the Definitive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and Non-Solicitation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2022-06-08T16:03:01Z</dcterms:created>
  <dcterms:modified xsi:type="dcterms:W3CDTF">2022-06-08T16:03:01Z</dcterms:modified>
</cp:coreProperties>
</file>