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12, 2022</w:t>
      </w:r>
    </w:p>
    <w:p>
      <w:pPr>
        <w:spacing w:after="0" w:line="31"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845"/>
              <w:spacing w:after="0"/>
              <w:rPr>
                <w:sz w:val="20"/>
                <w:szCs w:val="20"/>
                <w:color w:val="auto"/>
              </w:rPr>
            </w:pPr>
            <w:r>
              <w:rPr>
                <w:rFonts w:ascii="Times New Roman" w:cs="Times New Roman" w:eastAsia="Times New Roman" w:hAnsi="Times New Roman"/>
                <w:sz w:val="16"/>
                <w:szCs w:val="16"/>
                <w:b w:val="1"/>
                <w:bCs w:val="1"/>
                <w:color w:val="auto"/>
              </w:rPr>
              <w:t>England and Wales</w:t>
            </w:r>
          </w:p>
        </w:tc>
        <w:tc>
          <w:tcPr>
            <w:tcW w:w="376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3711</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48"/>
        </w:trPr>
        <w:tc>
          <w:tcPr>
            <w:tcW w:w="290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Thomas Ingenlath</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Assar Gabrielssons Väg 9</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405 31 Göteborg, Sweden</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Polestar Automotive Holding USA Inc.</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777 MacArthur Blvd</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Mahwah, NY 07430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(949) 735-1834</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9"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2660" w:type="dxa"/>
            <w:vAlign w:val="bottom"/>
          </w:tcPr>
          <w:p>
            <w:pPr>
              <w:spacing w:after="0"/>
              <w:rPr>
                <w:sz w:val="18"/>
                <w:szCs w:val="18"/>
                <w:color w:val="auto"/>
              </w:rPr>
            </w:pPr>
          </w:p>
        </w:tc>
        <w:tc>
          <w:tcPr>
            <w:tcW w:w="344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c>
          <w:tcPr>
            <w:tcW w:w="3360" w:type="dxa"/>
            <w:vAlign w:val="bottom"/>
          </w:tcPr>
          <w:p>
            <w:pPr>
              <w:spacing w:after="0"/>
              <w:rPr>
                <w:sz w:val="18"/>
                <w:szCs w:val="18"/>
                <w:color w:val="auto"/>
              </w:rPr>
            </w:pPr>
          </w:p>
        </w:tc>
      </w:tr>
      <w:tr>
        <w:trPr>
          <w:trHeight w:val="233"/>
        </w:trPr>
        <w:tc>
          <w:tcPr>
            <w:tcW w:w="266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Christian O. Nagler</w:t>
            </w:r>
          </w:p>
        </w:tc>
        <w:tc>
          <w:tcPr>
            <w:tcW w:w="34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Alex Lloyd</w:t>
            </w:r>
          </w:p>
        </w:tc>
        <w:tc>
          <w:tcPr>
            <w:tcW w:w="3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Stuart Boyd</w:t>
            </w:r>
          </w:p>
        </w:tc>
      </w:tr>
      <w:tr>
        <w:trPr>
          <w:trHeight w:val="203"/>
        </w:trPr>
        <w:tc>
          <w:tcPr>
            <w:tcW w:w="266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Timothy Cruickshank</w:t>
            </w:r>
          </w:p>
        </w:tc>
        <w:tc>
          <w:tcPr>
            <w:tcW w:w="34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3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Kirkland &amp; Ellis International LLP</w:t>
            </w:r>
          </w:p>
        </w:tc>
      </w:tr>
      <w:tr>
        <w:trPr>
          <w:trHeight w:val="203"/>
        </w:trPr>
        <w:tc>
          <w:tcPr>
            <w:tcW w:w="266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34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200 Clarendon Street</w:t>
            </w:r>
          </w:p>
        </w:tc>
        <w:tc>
          <w:tcPr>
            <w:tcW w:w="3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30 St Mary Axe</w:t>
            </w:r>
          </w:p>
        </w:tc>
      </w:tr>
      <w:tr>
        <w:trPr>
          <w:trHeight w:val="203"/>
        </w:trPr>
        <w:tc>
          <w:tcPr>
            <w:tcW w:w="266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601 Lexington Avenue</w:t>
            </w:r>
          </w:p>
        </w:tc>
        <w:tc>
          <w:tcPr>
            <w:tcW w:w="34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Boston, MA 02116</w:t>
            </w:r>
          </w:p>
        </w:tc>
        <w:tc>
          <w:tcPr>
            <w:tcW w:w="3360" w:type="dxa"/>
            <w:vAlign w:val="bottom"/>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London EC3A 8AF, United Kingdom</w:t>
            </w:r>
          </w:p>
        </w:tc>
      </w:tr>
      <w:tr>
        <w:trPr>
          <w:trHeight w:val="203"/>
        </w:trPr>
        <w:tc>
          <w:tcPr>
            <w:tcW w:w="266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w w:val="99"/>
              </w:rPr>
              <w:t>New York, NY 10022</w:t>
            </w:r>
          </w:p>
        </w:tc>
        <w:tc>
          <w:tcPr>
            <w:tcW w:w="34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Tel: (617) 385-7500</w:t>
            </w:r>
          </w:p>
        </w:tc>
        <w:tc>
          <w:tcPr>
            <w:tcW w:w="3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Tel.: +44 20 7469 2000</w:t>
            </w:r>
          </w:p>
        </w:tc>
      </w:tr>
      <w:tr>
        <w:trPr>
          <w:trHeight w:val="203"/>
        </w:trPr>
        <w:tc>
          <w:tcPr>
            <w:tcW w:w="266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Tel: (212) 446-4800</w:t>
            </w:r>
          </w:p>
        </w:tc>
        <w:tc>
          <w:tcPr>
            <w:tcW w:w="34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12"/>
        </w:trPr>
        <w:tc>
          <w:tcPr>
            <w:tcW w:w="266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Fax: (212) 446-4900</w:t>
            </w:r>
          </w:p>
        </w:tc>
        <w:tc>
          <w:tcPr>
            <w:tcW w:w="344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48" w:lineRule="exact"/>
        <w:rPr>
          <w:sz w:val="24"/>
          <w:szCs w:val="24"/>
          <w:color w:val="auto"/>
        </w:rPr>
      </w:pPr>
    </w:p>
    <w:p>
      <w:pPr>
        <w:ind w:left="120" w:right="12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ind w:left="12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1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1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3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66" w:lineRule="exact"/>
        <w:rPr>
          <w:sz w:val="24"/>
          <w:szCs w:val="24"/>
          <w:color w:val="auto"/>
        </w:rPr>
      </w:pPr>
    </w:p>
    <w:p>
      <w:pPr>
        <w:ind w:left="120" w:right="220" w:firstLine="44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8" w:lineRule="exact"/>
        <w:rPr>
          <w:sz w:val="24"/>
          <w:szCs w:val="24"/>
          <w:color w:val="auto"/>
        </w:rPr>
      </w:pPr>
    </w:p>
    <w:p>
      <w:pPr>
        <w:ind w:left="540" w:right="280" w:hanging="424"/>
        <w:spacing w:after="0" w:line="298"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69850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ind w:left="120" w:right="1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are not an offer to sell these securities and are not soliciting an offer to buy these securities in any jurisdiction where such offer or sale is not permitted.</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FF4338"/>
        </w:rPr>
        <w:t>SUBJECT TO COMPLETION, DATED JULY 12, 2022</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Polestar Automotive Holding UK PLC</w:t>
      </w:r>
    </w:p>
    <w:p>
      <w:pPr>
        <w:spacing w:after="0" w:line="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2,203,977,609 CLASS A ADSs,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24,999,965 CLASS A ADSs ISSUABLE UPON CONVERSION OF CLASS C ADSs AND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9,000,000 Class C-2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0"/>
          <w:szCs w:val="20"/>
          <w:color w:val="auto"/>
        </w:rPr>
      </w:pPr>
    </w:p>
    <w:p>
      <w:pPr>
        <w:ind w:left="120" w:right="20"/>
        <w:spacing w:after="0" w:line="225"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5"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4"/>
          <w:szCs w:val="14"/>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w:t>
      </w:r>
    </w:p>
    <w:p>
      <w:pPr>
        <w:spacing w:after="0" w:line="15" w:lineRule="exact"/>
        <w:rPr>
          <w:sz w:val="20"/>
          <w:szCs w:val="20"/>
          <w:color w:val="auto"/>
        </w:rPr>
      </w:pPr>
    </w:p>
    <w:p>
      <w:pPr>
        <w:ind w:left="120"/>
        <w:spacing w:after="0" w:line="241" w:lineRule="auto"/>
        <w:rPr>
          <w:sz w:val="20"/>
          <w:szCs w:val="20"/>
          <w:color w:val="auto"/>
        </w:rPr>
      </w:pPr>
      <w:r>
        <w:rPr>
          <w:rFonts w:ascii="Times New Roman" w:cs="Times New Roman" w:eastAsia="Times New Roman" w:hAnsi="Times New Roman"/>
          <w:sz w:val="14"/>
          <w:szCs w:val="14"/>
          <w:color w:val="auto"/>
        </w:rPr>
        <w:t>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w:t>
      </w:r>
    </w:p>
    <w:p>
      <w:pPr>
        <w:spacing w:after="0" w:line="15" w:lineRule="exact"/>
        <w:rPr>
          <w:sz w:val="20"/>
          <w:szCs w:val="20"/>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“Plan of Distribution.”</w:t>
      </w:r>
    </w:p>
    <w:p>
      <w:pPr>
        <w:spacing w:after="0" w:line="1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4"/>
          <w:szCs w:val="14"/>
          <w:color w:val="auto"/>
        </w:rPr>
        <w:t>Our Class A ADSs and Class C-1 ADSs are listed on the Nasdaq Stock Market LLC (“Nasdaq”), under the trading symbols “PSNY” and “PSNYW,” respectively. On July 8, 2022, the closing price for our Class A ADSs on Nasdaq was $10.09. On July 8, 2022, the closing price for our Class C-1 ADSs on Nasdaq was $2.22.</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Class A ADSs and Class C ADSs being offered for resale in this prospectus (collectively, the “Resale Securities”) represent a substantial percentage of the total outstanding Class A ADSs</w:t>
      </w:r>
    </w:p>
    <w:p>
      <w:pPr>
        <w:ind w:left="120"/>
        <w:spacing w:after="0" w:line="226" w:lineRule="auto"/>
        <w:rPr>
          <w:sz w:val="20"/>
          <w:szCs w:val="20"/>
          <w:color w:val="auto"/>
        </w:rPr>
      </w:pPr>
      <w:r>
        <w:rPr>
          <w:rFonts w:ascii="Times New Roman" w:cs="Times New Roman" w:eastAsia="Times New Roman" w:hAnsi="Times New Roman"/>
          <w:sz w:val="14"/>
          <w:szCs w:val="14"/>
          <w:color w:val="auto"/>
        </w:rPr>
        <w:t>as of the date of this prospectus. The outstanding Class A ADSs being offered in this prospectus represent approximately 438.2% of our outstanding Class A ADSs, assuming the Earn Out</w:t>
      </w:r>
    </w:p>
    <w:p>
      <w:pPr>
        <w:ind w:left="120"/>
        <w:spacing w:after="0" w:line="222" w:lineRule="auto"/>
        <w:rPr>
          <w:sz w:val="20"/>
          <w:szCs w:val="20"/>
          <w:color w:val="auto"/>
        </w:rPr>
      </w:pPr>
      <w:r>
        <w:rPr>
          <w:rFonts w:ascii="Times New Roman" w:cs="Times New Roman" w:eastAsia="Times New Roman" w:hAnsi="Times New Roman"/>
          <w:sz w:val="14"/>
          <w:szCs w:val="14"/>
          <w:color w:val="auto"/>
        </w:rPr>
        <w:t>Shares issuable pursuant to the Business Combination Agreement are not outstanding, or approximately 472.0% assuming they are outstanding. Additionally, if all the Class C ADSs are</w:t>
      </w:r>
    </w:p>
    <w:p>
      <w:pPr>
        <w:ind w:left="120"/>
        <w:spacing w:after="0" w:line="221" w:lineRule="auto"/>
        <w:rPr>
          <w:sz w:val="20"/>
          <w:szCs w:val="20"/>
          <w:color w:val="auto"/>
        </w:rPr>
      </w:pPr>
      <w:r>
        <w:rPr>
          <w:rFonts w:ascii="Times New Roman" w:cs="Times New Roman" w:eastAsia="Times New Roman" w:hAnsi="Times New Roman"/>
          <w:sz w:val="14"/>
          <w:szCs w:val="14"/>
          <w:color w:val="auto"/>
        </w:rPr>
        <w:t>exercised and all Class A ADSs are issued to a service provider in exchange for the performance of marketing consulting services, the Selling Securityholders would own an additional</w:t>
      </w:r>
    </w:p>
    <w:p>
      <w:pPr>
        <w:ind w:left="120"/>
        <w:spacing w:after="0" w:line="221" w:lineRule="auto"/>
        <w:rPr>
          <w:sz w:val="20"/>
          <w:szCs w:val="20"/>
          <w:color w:val="auto"/>
        </w:rPr>
      </w:pPr>
      <w:r>
        <w:rPr>
          <w:rFonts w:ascii="Times New Roman" w:cs="Times New Roman" w:eastAsia="Times New Roman" w:hAnsi="Times New Roman"/>
          <w:sz w:val="14"/>
          <w:szCs w:val="14"/>
          <w:color w:val="auto"/>
        </w:rPr>
        <w:t>25,499,965 shares of Class A ADSs, representing an additional 5.5% of the total outstanding Class A ADSs. The sale of all the securities being offered in this prospectus, or the perception that</w:t>
      </w:r>
    </w:p>
    <w:p>
      <w:pPr>
        <w:ind w:left="120"/>
        <w:spacing w:after="0" w:line="222" w:lineRule="auto"/>
        <w:rPr>
          <w:sz w:val="20"/>
          <w:szCs w:val="20"/>
          <w:color w:val="auto"/>
        </w:rPr>
      </w:pPr>
      <w:r>
        <w:rPr>
          <w:rFonts w:ascii="Times New Roman" w:cs="Times New Roman" w:eastAsia="Times New Roman" w:hAnsi="Times New Roman"/>
          <w:sz w:val="14"/>
          <w:szCs w:val="14"/>
          <w:color w:val="auto"/>
        </w:rPr>
        <w:t>these sales could occur, could result in a significant decline in the public trading price of our securities. The frequency of such sales could cause the market price of our securities to decline or</w:t>
      </w:r>
    </w:p>
    <w:p>
      <w:pPr>
        <w:ind w:left="120"/>
        <w:spacing w:after="0" w:line="221" w:lineRule="auto"/>
        <w:rPr>
          <w:sz w:val="20"/>
          <w:szCs w:val="20"/>
          <w:color w:val="auto"/>
        </w:rPr>
      </w:pPr>
      <w:r>
        <w:rPr>
          <w:rFonts w:ascii="Times New Roman" w:cs="Times New Roman" w:eastAsia="Times New Roman" w:hAnsi="Times New Roman"/>
          <w:sz w:val="14"/>
          <w:szCs w:val="14"/>
          <w:color w:val="auto"/>
        </w:rPr>
        <w:t>increase the volatility in the market price of our securities. For example, certain lock-up restrictions entered into in connection with the Business Combination will expire in six months</w:t>
      </w:r>
    </w:p>
    <w:p>
      <w:pPr>
        <w:ind w:left="120"/>
        <w:spacing w:after="0" w:line="221" w:lineRule="auto"/>
        <w:rPr>
          <w:sz w:val="20"/>
          <w:szCs w:val="20"/>
          <w:color w:val="auto"/>
        </w:rPr>
      </w:pPr>
      <w:r>
        <w:rPr>
          <w:rFonts w:ascii="Times New Roman" w:cs="Times New Roman" w:eastAsia="Times New Roman" w:hAnsi="Times New Roman"/>
          <w:sz w:val="14"/>
          <w:szCs w:val="14"/>
          <w:color w:val="auto"/>
        </w:rPr>
        <w:t>following closing of the Business Combination. Despite such a decline in the public trading price of our securities, the Selling Securityholders may still experience a positive rate of return on</w:t>
      </w:r>
    </w:p>
    <w:p>
      <w:pPr>
        <w:ind w:left="120"/>
        <w:spacing w:after="0" w:line="222" w:lineRule="auto"/>
        <w:rPr>
          <w:sz w:val="20"/>
          <w:szCs w:val="20"/>
          <w:color w:val="auto"/>
        </w:rPr>
      </w:pPr>
      <w:r>
        <w:rPr>
          <w:rFonts w:ascii="Times New Roman" w:cs="Times New Roman" w:eastAsia="Times New Roman" w:hAnsi="Times New Roman"/>
          <w:sz w:val="14"/>
          <w:szCs w:val="14"/>
          <w:color w:val="auto"/>
        </w:rPr>
        <w:t>the securities they purchased due to the differences in the purchase prices described above and the public trading price of our securities. Based on the closing price of our Class A ADSs of</w:t>
      </w:r>
    </w:p>
    <w:p>
      <w:pPr>
        <w:ind w:left="120"/>
        <w:spacing w:after="0" w:line="221" w:lineRule="auto"/>
        <w:rPr>
          <w:sz w:val="20"/>
          <w:szCs w:val="20"/>
          <w:color w:val="auto"/>
        </w:rPr>
      </w:pPr>
      <w:r>
        <w:rPr>
          <w:rFonts w:ascii="Times New Roman" w:cs="Times New Roman" w:eastAsia="Times New Roman" w:hAnsi="Times New Roman"/>
          <w:sz w:val="14"/>
          <w:szCs w:val="14"/>
          <w:color w:val="auto"/>
        </w:rPr>
        <w:t>$10.09 as of July 8, 2022, upon the sale of our Class A ADSs, (a) Parent may experience a potential profit of up to $0.09 per Class A ADS, (b) GGI Sponsor, the PIPE Investors and Snita may</w:t>
      </w:r>
    </w:p>
    <w:p>
      <w:pPr>
        <w:ind w:left="120"/>
        <w:spacing w:after="0" w:line="222" w:lineRule="auto"/>
        <w:rPr>
          <w:sz w:val="20"/>
          <w:szCs w:val="20"/>
          <w:color w:val="auto"/>
        </w:rPr>
      </w:pPr>
      <w:r>
        <w:rPr>
          <w:rFonts w:ascii="Times New Roman" w:cs="Times New Roman" w:eastAsia="Times New Roman" w:hAnsi="Times New Roman"/>
          <w:sz w:val="14"/>
          <w:szCs w:val="14"/>
          <w:color w:val="auto"/>
        </w:rPr>
        <w:t>experience a potential profit of up to $1.48 per Subscription Share, (c) the GGI Sponsor may experience a potential profit of approximately $10.09 per Class A ADS issued to the GGI</w:t>
      </w:r>
    </w:p>
    <w:p>
      <w:pPr>
        <w:ind w:left="120"/>
        <w:spacing w:after="0" w:line="221" w:lineRule="auto"/>
        <w:rPr>
          <w:sz w:val="20"/>
          <w:szCs w:val="20"/>
          <w:color w:val="auto"/>
        </w:rPr>
      </w:pPr>
      <w:r>
        <w:rPr>
          <w:rFonts w:ascii="Times New Roman" w:cs="Times New Roman" w:eastAsia="Times New Roman" w:hAnsi="Times New Roman"/>
          <w:sz w:val="14"/>
          <w:szCs w:val="14"/>
          <w:color w:val="auto"/>
        </w:rPr>
        <w:t>Sponsor upon conversion of the shares of GGI Class F Common Stock, (d) Snita may experience a potential profit of up to $0.09 per Class A ADS issued to Snita upon conversion of the</w:t>
      </w:r>
    </w:p>
    <w:p>
      <w:pPr>
        <w:ind w:left="120"/>
        <w:spacing w:after="0" w:line="221" w:lineRule="auto"/>
        <w:rPr>
          <w:sz w:val="20"/>
          <w:szCs w:val="20"/>
          <w:color w:val="auto"/>
        </w:rPr>
      </w:pPr>
      <w:r>
        <w:rPr>
          <w:rFonts w:ascii="Times New Roman" w:cs="Times New Roman" w:eastAsia="Times New Roman" w:hAnsi="Times New Roman"/>
          <w:sz w:val="14"/>
          <w:szCs w:val="14"/>
          <w:color w:val="auto"/>
        </w:rPr>
        <w:t>Volvo Cars Preference Subscription Shares, (e) the marketing consulting service provider may experience a potential profit of up to $0.09 per Class A ADS, and (f) Parent Convertible Note</w:t>
      </w:r>
    </w:p>
    <w:p>
      <w:pPr>
        <w:ind w:left="120"/>
        <w:spacing w:after="0" w:line="222" w:lineRule="auto"/>
        <w:rPr>
          <w:sz w:val="20"/>
          <w:szCs w:val="20"/>
          <w:color w:val="auto"/>
        </w:rPr>
      </w:pPr>
      <w:r>
        <w:rPr>
          <w:rFonts w:ascii="Times New Roman" w:cs="Times New Roman" w:eastAsia="Times New Roman" w:hAnsi="Times New Roman"/>
          <w:sz w:val="14"/>
          <w:szCs w:val="14"/>
          <w:color w:val="auto"/>
        </w:rPr>
        <w:t>Holders may experience a potential profit of up to $1.91 per Class A ADS. Based on the closing price of our Class C-1 ADSs of $2.22 as of July 8, 2022, upon the sale of the Class C-2 ADSs,</w:t>
      </w:r>
    </w:p>
    <w:p>
      <w:pPr>
        <w:ind w:left="120"/>
        <w:spacing w:after="0"/>
        <w:rPr>
          <w:sz w:val="20"/>
          <w:szCs w:val="20"/>
          <w:color w:val="auto"/>
        </w:rPr>
      </w:pPr>
      <w:r>
        <w:rPr>
          <w:rFonts w:ascii="Times New Roman" w:cs="Times New Roman" w:eastAsia="Times New Roman" w:hAnsi="Times New Roman"/>
          <w:sz w:val="14"/>
          <w:szCs w:val="14"/>
          <w:color w:val="auto"/>
        </w:rPr>
        <w:t>the GGI Sponsor may experience a potential profit of up to $0.22 per Class C-2 ADS.</w:t>
      </w:r>
    </w:p>
    <w:p>
      <w:pPr>
        <w:spacing w:after="0" w:line="2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 w:lineRule="exact"/>
        <w:rPr>
          <w:sz w:val="20"/>
          <w:szCs w:val="20"/>
          <w:color w:val="auto"/>
        </w:rPr>
      </w:pPr>
    </w:p>
    <w:p>
      <w:pPr>
        <w:jc w:val="both"/>
        <w:ind w:left="120" w:right="680"/>
        <w:spacing w:after="0" w:line="241" w:lineRule="auto"/>
        <w:rPr>
          <w:sz w:val="20"/>
          <w:szCs w:val="20"/>
          <w:color w:val="auto"/>
        </w:rPr>
      </w:pPr>
      <w:r>
        <w:rPr>
          <w:rFonts w:ascii="Times New Roman" w:cs="Times New Roman" w:eastAsia="Times New Roman" w:hAnsi="Times New Roman"/>
          <w:sz w:val="14"/>
          <w:szCs w:val="14"/>
          <w:color w:val="auto"/>
        </w:rPr>
        <w:t>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0"/>
          <w:szCs w:val="20"/>
          <w:color w:val="auto"/>
        </w:rPr>
      </w:pPr>
    </w:p>
    <w:p>
      <w:pPr>
        <w:ind w:left="120" w:right="220"/>
        <w:spacing w:after="0" w:line="293"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12 of this prospectus before you make an investment in the securities.</w:t>
      </w:r>
    </w:p>
    <w:p>
      <w:pPr>
        <w:spacing w:after="0" w:line="1" w:lineRule="exact"/>
        <w:rPr>
          <w:sz w:val="20"/>
          <w:szCs w:val="20"/>
          <w:color w:val="auto"/>
        </w:rPr>
      </w:pPr>
    </w:p>
    <w:p>
      <w:pPr>
        <w:ind w:left="120" w:right="8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0"/>
          <w:szCs w:val="20"/>
          <w:color w:val="auto"/>
        </w:rPr>
      </w:pPr>
    </w:p>
    <w:tbl>
      <w:tblPr>
        <w:tblLayout w:type="fixed"/>
        <w:tblInd w:w="460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Prospectus dated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2022</w:t>
            </w:r>
          </w:p>
        </w:tc>
      </w:tr>
    </w:tbl>
    <w:p>
      <w:pPr>
        <w:sectPr>
          <w:pgSz w:w="11900" w:h="16838" w:orient="portrait"/>
          <w:cols w:equalWidth="0" w:num="1">
            <w:col w:w="11120"/>
          </w:cols>
          <w:pgMar w:left="320" w:top="455" w:right="4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TRADEMARKS, SERVICE MARKS AND TRADE NAMES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CURRENCY AND EXCHANGE RATES</w:t>
            </w:r>
          </w:p>
        </w:tc>
        <w:tc>
          <w:tcPr>
            <w:tcW w:w="1460" w:type="dxa"/>
            <w:vAlign w:val="bottom"/>
            <w:tcBorders>
              <w:top w:val="single" w:sz="8" w:color="0000EE"/>
            </w:tcBorders>
            <w:gridSpan w:val="8"/>
          </w:tcPr>
          <w:p>
            <w:pPr>
              <w:spacing w:after="0"/>
              <w:rPr>
                <w:sz w:val="17"/>
                <w:szCs w:val="17"/>
                <w:color w:val="auto"/>
              </w:rPr>
            </w:pPr>
          </w:p>
        </w:tc>
        <w:tc>
          <w:tcPr>
            <w:tcW w:w="4140" w:type="dxa"/>
            <w:vAlign w:val="bottom"/>
            <w:gridSpan w:val="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6000" w:type="dxa"/>
            <w:vAlign w:val="bottom"/>
            <w:gridSpan w:val="1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4760" w:type="dxa"/>
            <w:vAlign w:val="bottom"/>
            <w:gridSpan w:val="1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DEFINED TERMS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6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xiii</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6560" w:type="dxa"/>
            <w:vAlign w:val="bottom"/>
            <w:gridSpan w:val="2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206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60" w:type="dxa"/>
            <w:vAlign w:val="bottom"/>
            <w:gridSpan w:val="2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MARKET PRICE OF OUR SECURITIES AND DIVIDEND POLICY</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51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52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98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4920" w:type="dxa"/>
            <w:vAlign w:val="bottom"/>
            <w:gridSpan w:val="11"/>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140" w:type="dxa"/>
            <w:vAlign w:val="bottom"/>
            <w:gridSpan w:val="1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2940" w:type="dxa"/>
            <w:vAlign w:val="bottom"/>
            <w:gridSpan w:val="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 ELIGIBLE FOR FUTURE SALE</w:t>
            </w:r>
          </w:p>
        </w:tc>
        <w:tc>
          <w:tcPr>
            <w:tcW w:w="432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600" w:type="dxa"/>
            <w:vAlign w:val="bottom"/>
            <w:tcBorders>
              <w:top w:val="single" w:sz="8" w:color="0000EE"/>
            </w:tcBorders>
            <w:gridSpan w:val="15"/>
          </w:tcPr>
          <w:p>
            <w:pPr>
              <w:spacing w:after="0"/>
              <w:rPr>
                <w:sz w:val="17"/>
                <w:szCs w:val="17"/>
                <w:color w:val="auto"/>
              </w:rPr>
            </w:pPr>
          </w:p>
        </w:tc>
        <w:tc>
          <w:tcPr>
            <w:tcW w:w="5140" w:type="dxa"/>
            <w:vAlign w:val="bottom"/>
            <w:gridSpan w:val="1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EXPENSES RELATED TO THE OFFERING</w:t>
            </w:r>
          </w:p>
        </w:tc>
        <w:tc>
          <w:tcPr>
            <w:tcW w:w="53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80" w:type="dxa"/>
            <w:vAlign w:val="bottom"/>
            <w:gridSpan w:val="2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gridSpan w:val="7"/>
          </w:tcPr>
          <w:p>
            <w:pPr>
              <w:spacing w:after="0"/>
              <w:rPr>
                <w:sz w:val="17"/>
                <w:szCs w:val="17"/>
                <w:color w:val="auto"/>
              </w:rPr>
            </w:pPr>
          </w:p>
        </w:tc>
        <w:tc>
          <w:tcPr>
            <w:tcW w:w="4240" w:type="dxa"/>
            <w:vAlign w:val="bottom"/>
            <w:gridSpan w:val="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right="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and SM symbols, but the absence of those symbols is not intended to indicate, in any way, that Polesetar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CURRENCY AND EXCHANGE RATES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Gores Guggenheim, Inc. were prepared in accordance with generally accepted accounting principles in the United States (“U.S. GAAP”) and are denominated in U.S. dollars.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Limited as of December 31, 2021 and 2020 and for each of the three years in the period ended December 31, 2021 were prepared in accordance with International Financial Reporting Standards (“IFRS”) as issued by the International Accounting Standards Board (“IASB”) and are denominated in U.S. dollars.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UK PLC (formerly known as Polestar Automotive Holding UK Limited) as of September 15, 2021 and December 31, 2021 and for the period September 15, 2021 to December 31, 2021 were prepared in accordance with IFRS as issued by the IASB and are denominated in U.S. dollars.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 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means Class A ADSs and Class C ADSs.</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A ADSs</w:t>
      </w:r>
      <w:r>
        <w:rPr>
          <w:rFonts w:ascii="Times New Roman" w:cs="Times New Roman" w:eastAsia="Times New Roman" w:hAnsi="Times New Roman"/>
          <w:sz w:val="18"/>
          <w:szCs w:val="18"/>
          <w:color w:val="auto"/>
        </w:rPr>
        <w:t>” means the ADS Deposit Agreement, by and among the Company, Citibank, N.A., as depositary, and all holders and beneficial owners from time to time of American depositary shares issued thereunder and representing deposited Class A Shares, a form of which is filed as an exhibit to this prospectus.</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C-1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this prospectus.</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C-2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this prospectus.</w:t>
      </w:r>
    </w:p>
    <w:p>
      <w:pPr>
        <w:spacing w:after="0" w:line="17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1 to the Business Combination Agreement</w:t>
      </w:r>
      <w:r>
        <w:rPr>
          <w:rFonts w:ascii="Times New Roman" w:cs="Times New Roman" w:eastAsia="Times New Roman" w:hAnsi="Times New Roman"/>
          <w:sz w:val="18"/>
          <w:szCs w:val="18"/>
          <w:color w:val="auto"/>
        </w:rPr>
        <w:t>” means that certain amendment to the Business Combination Agreement, dated as of December 17, 2021, a copy of which is filed as an exhibit to this prospectus.</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the Business Combination Agreement</w:t>
      </w:r>
      <w:r>
        <w:rPr>
          <w:rFonts w:ascii="Times New Roman" w:cs="Times New Roman" w:eastAsia="Times New Roman" w:hAnsi="Times New Roman"/>
          <w:sz w:val="18"/>
          <w:szCs w:val="18"/>
          <w:color w:val="auto"/>
        </w:rPr>
        <w:t>” means that certain amendment to the Business Combination Agreement, dated as of March 24, 2022, a copy of which is filed as an exhibit to this prospectus.</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the Business Combination Agreement</w:t>
      </w:r>
      <w:r>
        <w:rPr>
          <w:rFonts w:ascii="Times New Roman" w:cs="Times New Roman" w:eastAsia="Times New Roman" w:hAnsi="Times New Roman"/>
          <w:sz w:val="18"/>
          <w:szCs w:val="18"/>
          <w:color w:val="auto"/>
        </w:rPr>
        <w:t>” means that certain amendment to the Business Combination Agreement, dated as of April 21, 2022, a copy of which is filed as an exhibit to this prospectus.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Parent, Polestar Singapore, Polestar Sweden and Merger Sub, a copy of which is filed as an exhibit to this prospectus.</w:t>
      </w:r>
    </w:p>
    <w:p>
      <w:pPr>
        <w:spacing w:after="0" w:line="180"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Shares</w:t>
      </w:r>
      <w:r>
        <w:rPr>
          <w:rFonts w:ascii="Times New Roman" w:cs="Times New Roman" w:eastAsia="Times New Roman" w:hAnsi="Times New Roman"/>
          <w:sz w:val="18"/>
          <w:szCs w:val="18"/>
          <w:color w:val="auto"/>
        </w:rPr>
        <w:t>” means Class A ordinary shares of the Company, entitling the holder thereof to one vote per share.</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B Shares.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Shares</w:t>
      </w:r>
      <w:r>
        <w:rPr>
          <w:rFonts w:ascii="Times New Roman" w:cs="Times New Roman" w:eastAsia="Times New Roman" w:hAnsi="Times New Roman"/>
          <w:sz w:val="18"/>
          <w:szCs w:val="18"/>
          <w:color w:val="auto"/>
        </w:rPr>
        <w:t>” means Class B ordinary shares of the Company, entitling the holder thereof to 10 votes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ADSs</w:t>
      </w:r>
      <w:r>
        <w:rPr>
          <w:rFonts w:ascii="Times New Roman" w:cs="Times New Roman" w:eastAsia="Times New Roman" w:hAnsi="Times New Roman"/>
          <w:sz w:val="18"/>
          <w:szCs w:val="18"/>
          <w:color w:val="auto"/>
        </w:rPr>
        <w:t>” means Class C-1 ADSs and Class C-2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means Class C-1 Shares and Class C-2 Shares.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Warrant Amendment</w:t>
      </w:r>
      <w:r>
        <w:rPr>
          <w:rFonts w:ascii="Times New Roman" w:cs="Times New Roman" w:eastAsia="Times New Roman" w:hAnsi="Times New Roman"/>
          <w:sz w:val="18"/>
          <w:szCs w:val="18"/>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this prospectus.</w:t>
      </w:r>
    </w:p>
    <w:p>
      <w:pPr>
        <w:spacing w:after="0" w:line="180"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ADS</w:t>
      </w:r>
      <w:r>
        <w:rPr>
          <w:rFonts w:ascii="Times New Roman" w:cs="Times New Roman" w:eastAsia="Times New Roman" w:hAnsi="Times New Roman"/>
          <w:sz w:val="18"/>
          <w:szCs w:val="18"/>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Share</w:t>
      </w:r>
      <w:r>
        <w:rPr>
          <w:rFonts w:ascii="Times New Roman" w:cs="Times New Roman" w:eastAsia="Times New Roman" w:hAnsi="Times New Roman"/>
          <w:sz w:val="18"/>
          <w:szCs w:val="18"/>
          <w:color w:val="auto"/>
        </w:rPr>
        <w:t>” means a class C-1 ordinary share in the share capital of the Company, each of which underlies a Class C-1 ADS and is exercisable for one Class A Share.</w:t>
      </w:r>
    </w:p>
    <w:p>
      <w:pPr>
        <w:spacing w:after="0" w:line="15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ADS</w:t>
      </w:r>
      <w:r>
        <w:rPr>
          <w:rFonts w:ascii="Times New Roman" w:cs="Times New Roman" w:eastAsia="Times New Roman" w:hAnsi="Times New Roman"/>
          <w:sz w:val="18"/>
          <w:szCs w:val="18"/>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Share</w:t>
      </w:r>
      <w:r>
        <w:rPr>
          <w:rFonts w:ascii="Times New Roman" w:cs="Times New Roman" w:eastAsia="Times New Roman" w:hAnsi="Times New Roman"/>
          <w:sz w:val="18"/>
          <w:szCs w:val="18"/>
          <w:color w:val="auto"/>
        </w:rPr>
        <w:t>” means a class C-2 ordinary share in the share capital of the Company, each of which underlies a Class C-2 ADS and is exercisable for one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or June 23,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means the Shares and Class C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Court of Chancery</w:t>
      </w:r>
      <w:r>
        <w:rPr>
          <w:rFonts w:ascii="Times New Roman" w:cs="Times New Roman" w:eastAsia="Times New Roman" w:hAnsi="Times New Roman"/>
          <w:sz w:val="18"/>
          <w:szCs w:val="18"/>
          <w:color w:val="auto"/>
        </w:rPr>
        <w:t>” means the Court of Chancery in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GGI Certificate</w:t>
      </w:r>
      <w:r>
        <w:rPr>
          <w:rFonts w:ascii="Times New Roman" w:cs="Times New Roman" w:eastAsia="Times New Roman" w:hAnsi="Times New Roman"/>
          <w:sz w:val="18"/>
          <w:szCs w:val="18"/>
          <w:color w:val="auto"/>
        </w:rPr>
        <w:t>” means the Amended and Restated Certificate of Incorporation of GGI, dated March 22,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Investment</w:t>
      </w:r>
      <w:r>
        <w:rPr>
          <w:rFonts w:ascii="Times New Roman" w:cs="Times New Roman" w:eastAsia="Times New Roman" w:hAnsi="Times New Roman"/>
          <w:sz w:val="18"/>
          <w:szCs w:val="18"/>
          <w:color w:val="auto"/>
        </w:rPr>
        <w:t>” means the purchase of December PIPE Shares pursuant to the December PIPE Subscription Agreements.</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Investors</w:t>
      </w:r>
      <w:r>
        <w:rPr>
          <w:rFonts w:ascii="Times New Roman" w:cs="Times New Roman" w:eastAsia="Times New Roman" w:hAnsi="Times New Roman"/>
          <w:sz w:val="18"/>
          <w:szCs w:val="18"/>
          <w:color w:val="auto"/>
        </w:rPr>
        <w:t>” means the purchasers of December PIPE Shares in the December PIPE Investment, which include certain affiliates and employees of the GGI Sponsor.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60"/>
          </w:cols>
          <w:pgMar w:left="320" w:top="45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Shares</w:t>
      </w:r>
      <w:r>
        <w:rPr>
          <w:rFonts w:ascii="Times New Roman" w:cs="Times New Roman" w:eastAsia="Times New Roman" w:hAnsi="Times New Roman"/>
          <w:sz w:val="18"/>
          <w:szCs w:val="18"/>
          <w:color w:val="auto"/>
        </w:rPr>
        <w:t>” means the Class A Shares in the form of Class A ADSs purchased by December PIPE Investors in the December PIPE Investment.</w:t>
      </w:r>
    </w:p>
    <w:p>
      <w:pPr>
        <w:spacing w:after="0" w:line="15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Subscription Agreements</w:t>
      </w:r>
      <w:r>
        <w:rPr>
          <w:rFonts w:ascii="Times New Roman" w:cs="Times New Roman" w:eastAsia="Times New Roman" w:hAnsi="Times New Roman"/>
          <w:sz w:val="18"/>
          <w:szCs w:val="18"/>
          <w:color w:val="auto"/>
        </w:rPr>
        <w:t>” means the share subscription agreements, dated December 17, 2021, by and among the Company, GGI and the December PIPE Investors pursuant to which the December PIPE Investors purchased in the aggregate, 14.3 million December PIPE Shares for an average purchase price of $9.54 per share, or an aggregate purchase price equal to approximately $136.0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Deloitte</w:t>
      </w:r>
      <w:r>
        <w:rPr>
          <w:rFonts w:ascii="Times New Roman" w:cs="Times New Roman" w:eastAsia="Times New Roman" w:hAnsi="Times New Roman"/>
          <w:sz w:val="18"/>
          <w:szCs w:val="18"/>
          <w:color w:val="auto"/>
        </w:rPr>
        <w:t>” means Deloitte AB, an independent registered public accounting firm.</w:t>
      </w:r>
    </w:p>
    <w:p>
      <w:pPr>
        <w:spacing w:after="0" w:line="225"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 Agreements</w:t>
      </w:r>
      <w:r>
        <w:rPr>
          <w:rFonts w:ascii="Times New Roman" w:cs="Times New Roman" w:eastAsia="Times New Roman" w:hAnsi="Times New Roman"/>
          <w:sz w:val="18"/>
          <w:szCs w:val="18"/>
          <w:color w:val="auto"/>
        </w:rPr>
        <w:t>” means the ADS Deposit Agreement—Class A ADSs, the ADS Deposit Agreement—Class C-1 ADSs and the ADS Deposit Agreement—Class C-2 ADSs.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Citibank, N.A., acting as depositary under the Deposit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A Shares</w:t>
      </w:r>
      <w:r>
        <w:rPr>
          <w:rFonts w:ascii="Times New Roman" w:cs="Times New Roman" w:eastAsia="Times New Roman" w:hAnsi="Times New Roman"/>
          <w:sz w:val="18"/>
          <w:szCs w:val="18"/>
          <w:color w:val="auto"/>
        </w:rPr>
        <w:t>” means the earn out shares issuable by the Company in the form of Class A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B Shares</w:t>
      </w:r>
      <w:r>
        <w:rPr>
          <w:rFonts w:ascii="Times New Roman" w:cs="Times New Roman" w:eastAsia="Times New Roman" w:hAnsi="Times New Roman"/>
          <w:sz w:val="18"/>
          <w:szCs w:val="18"/>
          <w:color w:val="auto"/>
        </w:rPr>
        <w:t>” means the earn out shares issuable by the Company in the form of Class B ADSs.</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 means earn out shares from the Company issuable in Class A ADSs and Class B ADSs up to an aggregate number equal to approximately (a) 0.075 multiplied by (b) the number of issued and outstanding Shares as of immediately after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effective time of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together with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Geely</w:t>
      </w:r>
      <w:r>
        <w:rPr>
          <w:rFonts w:ascii="Times New Roman" w:cs="Times New Roman" w:eastAsia="Times New Roman" w:hAnsi="Times New Roman"/>
          <w:sz w:val="18"/>
          <w:szCs w:val="18"/>
          <w:color w:val="auto"/>
        </w:rPr>
        <w:t>” means Zhejiang Geely Holding Group Co., Ltd.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w:t>
      </w:r>
      <w:r>
        <w:rPr>
          <w:rFonts w:ascii="Times New Roman" w:cs="Times New Roman" w:eastAsia="Times New Roman" w:hAnsi="Times New Roman"/>
          <w:sz w:val="18"/>
          <w:szCs w:val="18"/>
          <w:color w:val="auto"/>
        </w:rPr>
        <w:t>” means Gores Guggenheim,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A Common Stock</w:t>
      </w:r>
      <w:r>
        <w:rPr>
          <w:rFonts w:ascii="Times New Roman" w:cs="Times New Roman" w:eastAsia="Times New Roman" w:hAnsi="Times New Roman"/>
          <w:sz w:val="18"/>
          <w:szCs w:val="18"/>
          <w:color w:val="auto"/>
        </w:rPr>
        <w:t>” means the shares of Class A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F Common Stock</w:t>
      </w:r>
      <w:r>
        <w:rPr>
          <w:rFonts w:ascii="Times New Roman" w:cs="Times New Roman" w:eastAsia="Times New Roman" w:hAnsi="Times New Roman"/>
          <w:sz w:val="18"/>
          <w:szCs w:val="18"/>
          <w:color w:val="auto"/>
        </w:rPr>
        <w:t>” means the shares of Class F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Common Stock</w:t>
      </w:r>
      <w:r>
        <w:rPr>
          <w:rFonts w:ascii="Times New Roman" w:cs="Times New Roman" w:eastAsia="Times New Roman" w:hAnsi="Times New Roman"/>
          <w:sz w:val="18"/>
          <w:szCs w:val="18"/>
          <w:color w:val="auto"/>
        </w:rPr>
        <w:t>” means the GGI Class A Common Stock and the GGI Class F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Initial Stockholders</w:t>
      </w:r>
      <w:r>
        <w:rPr>
          <w:rFonts w:ascii="Times New Roman" w:cs="Times New Roman" w:eastAsia="Times New Roman" w:hAnsi="Times New Roman"/>
          <w:sz w:val="18"/>
          <w:szCs w:val="18"/>
          <w:color w:val="auto"/>
        </w:rPr>
        <w:t>” means the GGI Sponsor and Randall Bort, Elizabeth Marcellino and Nancy Tellem, GGI’s independent directors.</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Public Warrants</w:t>
      </w:r>
      <w:r>
        <w:rPr>
          <w:rFonts w:ascii="Times New Roman" w:cs="Times New Roman" w:eastAsia="Times New Roman" w:hAnsi="Times New Roman"/>
          <w:sz w:val="18"/>
          <w:szCs w:val="18"/>
          <w:color w:val="auto"/>
        </w:rPr>
        <w:t>” means the warrants included in the GGI public units (consisting of one share of GGI Class A Common Stock and one-fifth of one GGI Public Warrant) issued in the GGI initial public offering, consummated on March 25,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Sponsor</w:t>
      </w:r>
      <w:r>
        <w:rPr>
          <w:rFonts w:ascii="Times New Roman" w:cs="Times New Roman" w:eastAsia="Times New Roman" w:hAnsi="Times New Roman"/>
          <w:sz w:val="18"/>
          <w:szCs w:val="18"/>
          <w:color w:val="auto"/>
        </w:rPr>
        <w:t>” means Gores Guggenheim Sponsor LLC, a Delaware limited liability company and its affiliates, including The Gores Group,</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Warrants</w:t>
      </w:r>
      <w:r>
        <w:rPr>
          <w:rFonts w:ascii="Times New Roman" w:cs="Times New Roman" w:eastAsia="Times New Roman" w:hAnsi="Times New Roman"/>
          <w:sz w:val="18"/>
          <w:szCs w:val="18"/>
          <w:color w:val="auto"/>
        </w:rPr>
        <w:t>” means, collectively, the GGI Private Placement Warrants and the GGI Public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Investment</w:t>
      </w:r>
      <w:r>
        <w:rPr>
          <w:rFonts w:ascii="Times New Roman" w:cs="Times New Roman" w:eastAsia="Times New Roman" w:hAnsi="Times New Roman"/>
          <w:sz w:val="18"/>
          <w:szCs w:val="18"/>
          <w:color w:val="auto"/>
        </w:rPr>
        <w:t>” means the purchase of Initial PIPE Shares pursuant to the Initial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Investors</w:t>
      </w:r>
      <w:r>
        <w:rPr>
          <w:rFonts w:ascii="Times New Roman" w:cs="Times New Roman" w:eastAsia="Times New Roman" w:hAnsi="Times New Roman"/>
          <w:sz w:val="18"/>
          <w:szCs w:val="18"/>
          <w:color w:val="auto"/>
        </w:rPr>
        <w:t>” means the purchasers of Initial PIPE Shares in the Initial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Shares</w:t>
      </w:r>
      <w:r>
        <w:rPr>
          <w:rFonts w:ascii="Times New Roman" w:cs="Times New Roman" w:eastAsia="Times New Roman" w:hAnsi="Times New Roman"/>
          <w:sz w:val="18"/>
          <w:szCs w:val="18"/>
          <w:color w:val="auto"/>
        </w:rPr>
        <w:t>” means the Class A Shares in the form of Class A ADSs purchased by Initial PIPE Investors in the Initial PIPE Investment.</w:t>
      </w:r>
    </w:p>
    <w:p>
      <w:pPr>
        <w:spacing w:after="0" w:line="225"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Subscription Agreements</w:t>
      </w:r>
      <w:r>
        <w:rPr>
          <w:rFonts w:ascii="Times New Roman" w:cs="Times New Roman" w:eastAsia="Times New Roman" w:hAnsi="Times New Roman"/>
          <w:sz w:val="18"/>
          <w:szCs w:val="18"/>
          <w:color w:val="auto"/>
        </w:rPr>
        <w:t>” means the share subscription agreements, dated September 27, 2021, by and among the Company, GGI and the Initial PIPE Investors pursuant to which the Initial PIPE Investors purchased, in the aggregate, approximately 7.43 million Initial PIPE Shares for a purchase price of $9.09 per share, or an aggregate purchase price equal to approximately $67.5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K&amp;E</w:t>
      </w:r>
      <w:r>
        <w:rPr>
          <w:rFonts w:ascii="Times New Roman" w:cs="Times New Roman" w:eastAsia="Times New Roman" w:hAnsi="Times New Roman"/>
          <w:sz w:val="18"/>
          <w:szCs w:val="18"/>
          <w:color w:val="auto"/>
        </w:rPr>
        <w:t>” means Kirkland &amp; Ellis LLP.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KPMG</w:t>
      </w:r>
      <w:r>
        <w:rPr>
          <w:rFonts w:ascii="Times New Roman" w:cs="Times New Roman" w:eastAsia="Times New Roman" w:hAnsi="Times New Roman"/>
          <w:sz w:val="18"/>
          <w:szCs w:val="18"/>
          <w:color w:val="auto"/>
        </w:rPr>
        <w:t>” means KPMG LLP, an independent registered public accounting firm.</w:t>
      </w:r>
    </w:p>
    <w:p>
      <w:pPr>
        <w:spacing w:after="0" w:line="225"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Investors</w:t>
      </w:r>
      <w:r>
        <w:rPr>
          <w:rFonts w:ascii="Times New Roman" w:cs="Times New Roman" w:eastAsia="Times New Roman" w:hAnsi="Times New Roman"/>
          <w:sz w:val="18"/>
          <w:szCs w:val="18"/>
          <w:color w:val="auto"/>
        </w:rPr>
        <w:t>” means the purchasers of March PIPE Shares in the March PIPE Investment, which include certain affiliates and employees of the GGI Sponsor.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March PIPE Shares</w:t>
      </w:r>
      <w:r>
        <w:rPr>
          <w:rFonts w:ascii="Times New Roman" w:cs="Times New Roman" w:eastAsia="Times New Roman" w:hAnsi="Times New Roman"/>
          <w:sz w:val="17"/>
          <w:szCs w:val="17"/>
          <w:color w:val="auto"/>
        </w:rPr>
        <w:t>” means the Class A Shares in the form of Class A ADSs purchased by March PIPE Investors in the March PIPE Investment.</w:t>
      </w:r>
    </w:p>
    <w:p>
      <w:pPr>
        <w:spacing w:after="0" w:line="23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Subscription Agreements</w:t>
      </w:r>
      <w:r>
        <w:rPr>
          <w:rFonts w:ascii="Times New Roman" w:cs="Times New Roman" w:eastAsia="Times New Roman" w:hAnsi="Times New Roman"/>
          <w:sz w:val="18"/>
          <w:szCs w:val="18"/>
          <w:color w:val="auto"/>
        </w:rPr>
        <w:t>” means the shares subscription agreements, dated March 24, 2022, by and among the Company, GGI and the March PIPE Investors pursuant to which the March PIPE Investors purchased, in the aggregate, 2.8 million March PIPE Shares for an average purchase price of $9.57 per share, or an aggregate purchase price equal to approximately $27.2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Sponsor Investment</w:t>
      </w:r>
      <w:r>
        <w:rPr>
          <w:rFonts w:ascii="Times New Roman" w:cs="Times New Roman" w:eastAsia="Times New Roman" w:hAnsi="Times New Roman"/>
          <w:sz w:val="18"/>
          <w:szCs w:val="18"/>
          <w:color w:val="auto"/>
        </w:rPr>
        <w:t>” means the purchase of March PIPE Shares pursuant to the March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merger between Merger Sub and GGI, with GGI surviving as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means PAH UK Merger Sub Inc., a Delaware corporation and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National Association of Securities Dealers Automated Quotations Global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Polestar Automotive Holding Limited, a Hong Kong incorporated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w:t>
      </w:r>
      <w:r>
        <w:rPr>
          <w:rFonts w:ascii="Times New Roman" w:cs="Times New Roman" w:eastAsia="Times New Roman" w:hAnsi="Times New Roman"/>
          <w:sz w:val="18"/>
          <w:szCs w:val="18"/>
          <w:color w:val="auto"/>
        </w:rPr>
        <w:t>” means the the convertible notes of Parent outstanding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 Holders</w:t>
      </w:r>
      <w:r>
        <w:rPr>
          <w:rFonts w:ascii="Times New Roman" w:cs="Times New Roman" w:eastAsia="Times New Roman" w:hAnsi="Times New Roman"/>
          <w:sz w:val="18"/>
          <w:szCs w:val="18"/>
          <w:color w:val="auto"/>
        </w:rPr>
        <w:t>” means the holders of the Parent Convertible Notes.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Lock-Up Agreement</w:t>
      </w:r>
      <w:r>
        <w:rPr>
          <w:rFonts w:ascii="Times New Roman" w:cs="Times New Roman" w:eastAsia="Times New Roman" w:hAnsi="Times New Roman"/>
          <w:sz w:val="18"/>
          <w:szCs w:val="18"/>
          <w:color w:val="auto"/>
        </w:rPr>
        <w:t>” means the lock-up agreement, dated September 27, 2021, by and among Parent, the Company and the other Parent Shareholders, a form of which is filed as an exhibit to this prospectus.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Shareholders</w:t>
      </w:r>
      <w:r>
        <w:rPr>
          <w:rFonts w:ascii="Times New Roman" w:cs="Times New Roman" w:eastAsia="Times New Roman" w:hAnsi="Times New Roman"/>
          <w:sz w:val="18"/>
          <w:szCs w:val="18"/>
          <w:color w:val="auto"/>
        </w:rPr>
        <w:t>” means Snita, Polestar Investment AB, PSD Investment Limited, GLY New Mobility 1. LP, Northpole GLY 1 LP,</w:t>
      </w:r>
    </w:p>
    <w:p>
      <w:pPr>
        <w:spacing w:after="0" w:line="29"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color w:val="auto"/>
        </w:rPr>
        <w:t xml:space="preserve">Chongqing Liangjiang </w:t>
      </w:r>
      <w:r>
        <w:rPr>
          <w:sz w:val="1"/>
          <w:szCs w:val="1"/>
          <w:color w:val="auto"/>
        </w:rPr>
        <w:drawing>
          <wp:inline distT="0" distB="0" distL="0" distR="0">
            <wp:extent cx="1637030" cy="1111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703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Zibo Financial Holding Group Co., Ltd. and Zibo High-Tech Industrial Investment Co., Ltd.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means the purchase of PIPE Shares pursuant to the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purchasers of PIPE Shares in the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 means the Class A Shares in the form of Class A ADSs purchased by PIPE Investors in the PIPE Investment.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Subscription Agreements</w:t>
      </w:r>
      <w:r>
        <w:rPr>
          <w:rFonts w:ascii="Times New Roman" w:cs="Times New Roman" w:eastAsia="Times New Roman" w:hAnsi="Times New Roman"/>
          <w:sz w:val="18"/>
          <w:szCs w:val="18"/>
          <w:color w:val="auto"/>
        </w:rPr>
        <w:t>” means the Initial PIPE Subscription Agreements, the December PIPE Subscription Agreements and the March PIPE Subscription Agreements.</w:t>
      </w:r>
    </w:p>
    <w:p>
      <w:pPr>
        <w:spacing w:after="0" w:line="158" w:lineRule="exact"/>
        <w:rPr>
          <w:sz w:val="20"/>
          <w:szCs w:val="20"/>
          <w:color w:val="auto"/>
        </w:rPr>
      </w:pPr>
    </w:p>
    <w:p>
      <w:pPr>
        <w:jc w:val="center"/>
        <w:ind w:left="380"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Polestar</w:t>
      </w:r>
      <w:r>
        <w:rPr>
          <w:rFonts w:ascii="Times New Roman" w:cs="Times New Roman" w:eastAsia="Times New Roman" w:hAnsi="Times New Roman"/>
          <w:sz w:val="17"/>
          <w:szCs w:val="17"/>
          <w:color w:val="auto"/>
        </w:rPr>
        <w:t>” means, as the context requires, (a) in general the Polestar Group, (b) in the context of the Business Combination, the Pre-Closing Reorganization and the Pre-Closing Sweden/Singapore Share Transfer, Polestar Sweden, or, both Polestar Singapore and Polestar Sweden if at any time</w:t>
      </w:r>
    </w:p>
    <w:p>
      <w:pPr>
        <w:spacing w:after="0" w:line="1" w:lineRule="exact"/>
        <w:rPr>
          <w:sz w:val="20"/>
          <w:szCs w:val="20"/>
          <w:color w:val="auto"/>
        </w:rPr>
      </w:pPr>
    </w:p>
    <w:p>
      <w:pPr>
        <w:ind w:left="120" w:right="400" w:hanging="4"/>
        <w:spacing w:after="0" w:line="260" w:lineRule="auto"/>
        <w:tabs>
          <w:tab w:leader="none" w:pos="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Sweden is not a wholly-owned subsidiary of Polestar Singapore or (y) Polestar Singapore is not a wholly-owned subsidiary of Polestar Sweden, or (c) the Company after the Closing.</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Articles</w:t>
      </w:r>
      <w:r>
        <w:rPr>
          <w:rFonts w:ascii="Times New Roman" w:cs="Times New Roman" w:eastAsia="Times New Roman" w:hAnsi="Times New Roman"/>
          <w:sz w:val="18"/>
          <w:szCs w:val="18"/>
          <w:color w:val="auto"/>
        </w:rPr>
        <w:t>” means the Articles of Association of Polestar, a copy of which is filed as an exhibit to this prospectus.</w:t>
      </w:r>
    </w:p>
    <w:p>
      <w:pPr>
        <w:spacing w:after="0" w:line="225"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Destinations</w:t>
      </w:r>
      <w:r>
        <w:rPr>
          <w:rFonts w:ascii="Times New Roman" w:cs="Times New Roman" w:eastAsia="Times New Roman" w:hAnsi="Times New Roman"/>
          <w:sz w:val="18"/>
          <w:szCs w:val="18"/>
          <w:color w:val="auto"/>
        </w:rPr>
        <w:t>” means permanent or pop up/temporary Polestar showrooms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Financial Statements</w:t>
      </w:r>
      <w:r>
        <w:rPr>
          <w:rFonts w:ascii="Times New Roman" w:cs="Times New Roman" w:eastAsia="Times New Roman" w:hAnsi="Times New Roman"/>
          <w:sz w:val="18"/>
          <w:szCs w:val="18"/>
          <w:color w:val="auto"/>
        </w:rPr>
        <w:t>” means Polestar Automotive Holding Limited’s audited financial statements and related notes as of December 31, 2021 and 2020 and for each of the three years in the period ended December 31, 2021, 2020 and 2019.</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Group</w:t>
      </w:r>
      <w:r>
        <w:rPr>
          <w:rFonts w:ascii="Times New Roman" w:cs="Times New Roman" w:eastAsia="Times New Roman" w:hAnsi="Times New Roman"/>
          <w:sz w:val="18"/>
          <w:szCs w:val="18"/>
          <w:color w:val="auto"/>
        </w:rPr>
        <w:t>” means Parent, together with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Locations</w:t>
      </w:r>
      <w:r>
        <w:rPr>
          <w:rFonts w:ascii="Times New Roman" w:cs="Times New Roman" w:eastAsia="Times New Roman" w:hAnsi="Times New Roman"/>
          <w:sz w:val="18"/>
          <w:szCs w:val="18"/>
          <w:color w:val="auto"/>
        </w:rPr>
        <w:t>” means Polestar Spaces, Polestar Destinations and Polestar Test Drive Center.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Singapore</w:t>
      </w:r>
      <w:r>
        <w:rPr>
          <w:rFonts w:ascii="Times New Roman" w:cs="Times New Roman" w:eastAsia="Times New Roman" w:hAnsi="Times New Roman"/>
          <w:sz w:val="18"/>
          <w:szCs w:val="18"/>
          <w:color w:val="auto"/>
        </w:rPr>
        <w:t>” means Polestar Automotive (Singapore) Pte. Ltd., a private company limited by shares in Singapore.</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Spaces</w:t>
      </w:r>
      <w:r>
        <w:rPr>
          <w:rFonts w:ascii="Times New Roman" w:cs="Times New Roman" w:eastAsia="Times New Roman" w:hAnsi="Times New Roman"/>
          <w:sz w:val="18"/>
          <w:szCs w:val="18"/>
          <w:color w:val="auto"/>
        </w:rPr>
        <w:t>” means permanent or pop up/temporary Polestar showrooms located in urban areas where potential customers can experience Polestar vehicles and engage with Polestar specialists.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Sweden</w:t>
      </w:r>
      <w:r>
        <w:rPr>
          <w:rFonts w:ascii="Times New Roman" w:cs="Times New Roman" w:eastAsia="Times New Roman" w:hAnsi="Times New Roman"/>
          <w:sz w:val="18"/>
          <w:szCs w:val="18"/>
          <w:color w:val="auto"/>
        </w:rPr>
        <w:t>” means Polestar Holding AB, a private limited liability company incorporated under the laws of Sweden.</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Test Drive Centers</w:t>
      </w:r>
      <w:r>
        <w:rPr>
          <w:rFonts w:ascii="Times New Roman" w:cs="Times New Roman" w:eastAsia="Times New Roman" w:hAnsi="Times New Roman"/>
          <w:sz w:val="18"/>
          <w:szCs w:val="18"/>
          <w:color w:val="auto"/>
        </w:rPr>
        <w:t>” means those Polestar facilities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Reorganization</w:t>
      </w:r>
      <w:r>
        <w:rPr>
          <w:rFonts w:ascii="Times New Roman" w:cs="Times New Roman" w:eastAsia="Times New Roman" w:hAnsi="Times New Roman"/>
          <w:sz w:val="18"/>
          <w:szCs w:val="18"/>
          <w:color w:val="auto"/>
        </w:rPr>
        <w:t>” means the reorganization effectuated by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Sweden/Singapore Share Transfer</w:t>
      </w:r>
      <w:r>
        <w:rPr>
          <w:rFonts w:ascii="Times New Roman" w:cs="Times New Roman" w:eastAsia="Times New Roman" w:hAnsi="Times New Roman"/>
          <w:sz w:val="18"/>
          <w:szCs w:val="18"/>
          <w:color w:val="auto"/>
        </w:rPr>
        <w:t>” means, collectively, the following transactions contemplated under the Business Combination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 the transfer by Polestar Singapore to Parent of all of the issued and outstanding equity securities of Polestar Sweden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 Share Transfer</w:t>
      </w:r>
      <w:r>
        <w:rPr>
          <w:rFonts w:ascii="Times New Roman" w:cs="Times New Roman" w:eastAsia="Times New Roman" w:hAnsi="Times New Roman"/>
          <w:sz w:val="18"/>
          <w:szCs w:val="18"/>
          <w:color w:val="auto"/>
        </w:rPr>
        <w:t>”) and (ii) after the Pre-Closing Sweden Share Transfer, the contribution by Parent to Polestar Sweden of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 equity securities of Polestar Singapore.</w:t>
      </w:r>
    </w:p>
    <w:p>
      <w:pPr>
        <w:spacing w:after="0" w:line="20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registration rights agreement, dated September 27, 2021, by and among the Company, Parent, the Parent Shareholders, the GGI Sponsor and the independent directors of GGI (such persons, together with the GGI Sponsor and the Parent Shareholders, the “</w:t>
      </w:r>
      <w:r>
        <w:rPr>
          <w:rFonts w:ascii="Times New Roman" w:cs="Times New Roman" w:eastAsia="Times New Roman" w:hAnsi="Times New Roman"/>
          <w:sz w:val="18"/>
          <w:szCs w:val="18"/>
          <w:i w:val="1"/>
          <w:iCs w:val="1"/>
          <w:color w:val="auto"/>
        </w:rPr>
        <w:t>Registration Rights Holders</w:t>
      </w:r>
      <w:r>
        <w:rPr>
          <w:rFonts w:ascii="Times New Roman" w:cs="Times New Roman" w:eastAsia="Times New Roman" w:hAnsi="Times New Roman"/>
          <w:sz w:val="18"/>
          <w:szCs w:val="18"/>
          <w:color w:val="auto"/>
        </w:rPr>
        <w:t>”), as amended by the Registration Rights Agreement Amendment No. 1 and the Registration Rights Agreement Amendment No. 2. A copy of the Registration Rights Agreement is filed as an exhibit to this prospectus.</w:t>
      </w:r>
    </w:p>
    <w:p>
      <w:pPr>
        <w:spacing w:after="0" w:line="180"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1</w:t>
      </w:r>
      <w:r>
        <w:rPr>
          <w:rFonts w:ascii="Times New Roman" w:cs="Times New Roman" w:eastAsia="Times New Roman" w:hAnsi="Times New Roman"/>
          <w:sz w:val="18"/>
          <w:szCs w:val="18"/>
          <w:color w:val="auto"/>
        </w:rPr>
        <w:t>” means that certain amendment to the Registration Rights Agreement, dated December 17, 2021, a copy of which is filed as an exhibit to this prospectus.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2</w:t>
      </w:r>
      <w:r>
        <w:rPr>
          <w:rFonts w:ascii="Times New Roman" w:cs="Times New Roman" w:eastAsia="Times New Roman" w:hAnsi="Times New Roman"/>
          <w:sz w:val="18"/>
          <w:szCs w:val="18"/>
          <w:color w:val="auto"/>
        </w:rPr>
        <w:t>” means that certain amendment to the Registration Rights Agreement, dated March 24, 2022, a copy of which is filed as an exhibit to this prospectus.</w:t>
      </w:r>
    </w:p>
    <w:p>
      <w:pPr>
        <w:spacing w:after="0" w:line="158" w:lineRule="exact"/>
        <w:rPr>
          <w:sz w:val="20"/>
          <w:szCs w:val="20"/>
          <w:color w:val="auto"/>
        </w:rPr>
      </w:pPr>
    </w:p>
    <w:p>
      <w:pPr>
        <w:ind w:left="120" w:right="1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Related Agreements</w:t>
      </w:r>
      <w:r>
        <w:rPr>
          <w:rFonts w:ascii="Times New Roman" w:cs="Times New Roman" w:eastAsia="Times New Roman" w:hAnsi="Times New Roman"/>
          <w:sz w:val="17"/>
          <w:szCs w:val="17"/>
          <w:color w:val="auto"/>
        </w:rPr>
        <w:t>” means the Registration Rights Agreement, the Subscription Agreements, the Volvo Cars Preference Subscription Agreement, the Parent Lock-Up Agreement, the Sponsor and Supporting Sponsor Stockholder Lock-Up Agreement, the Class C Warrant Amendment, the Shareholder Acknowledgement Agreement and the other agreements or documents contemplated under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 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means Section 203 of the DGCL.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w:t>
      </w:r>
      <w:r>
        <w:rPr>
          <w:rFonts w:ascii="Times New Roman" w:cs="Times New Roman" w:eastAsia="Times New Roman" w:hAnsi="Times New Roman"/>
          <w:sz w:val="18"/>
          <w:szCs w:val="18"/>
          <w:color w:val="auto"/>
        </w:rPr>
        <w:t>” means the shareholder acknowledgement, dated September 27, 2021, by and among Parent, the Parent Shareholders, Volvo Car Corporation and the Company, as amended by the Shareholder Acknowledgement Agreement Amendment, a copy of which is filed as an exhibit to this prospectus.</w:t>
      </w:r>
    </w:p>
    <w:p>
      <w:pPr>
        <w:spacing w:after="0" w:line="173"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 Amendment</w:t>
      </w:r>
      <w:r>
        <w:rPr>
          <w:rFonts w:ascii="Times New Roman" w:cs="Times New Roman" w:eastAsia="Times New Roman" w:hAnsi="Times New Roman"/>
          <w:sz w:val="18"/>
          <w:szCs w:val="18"/>
          <w:color w:val="auto"/>
        </w:rPr>
        <w:t>” means that certain amendment to the Shareholder Acknowledgement Agreement, dated March 24, 2022, a copy of which is filed as an exhibit to this prospectus.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means the Class A Shares and the Class B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Snita</w:t>
      </w:r>
      <w:r>
        <w:rPr>
          <w:rFonts w:ascii="Times New Roman" w:cs="Times New Roman" w:eastAsia="Times New Roman" w:hAnsi="Times New Roman"/>
          <w:sz w:val="18"/>
          <w:szCs w:val="18"/>
          <w:color w:val="auto"/>
        </w:rPr>
        <w:t>” means Snita Holding B.V., a corporation organized under the laws of the Netherlands and a wholly owned indirect subsidiary of Volvo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Cars.</w:t>
      </w:r>
    </w:p>
    <w:p>
      <w:pPr>
        <w:spacing w:after="0" w:line="205"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 Warrant Agreement</w:t>
      </w:r>
      <w:r>
        <w:rPr>
          <w:rFonts w:ascii="Times New Roman" w:cs="Times New Roman" w:eastAsia="Times New Roman" w:hAnsi="Times New Roman"/>
          <w:sz w:val="18"/>
          <w:szCs w:val="18"/>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this prospectus.</w:t>
      </w:r>
    </w:p>
    <w:p>
      <w:pPr>
        <w:spacing w:after="0" w:line="173" w:lineRule="exact"/>
        <w:rPr>
          <w:sz w:val="20"/>
          <w:szCs w:val="20"/>
          <w:color w:val="auto"/>
        </w:rPr>
      </w:pPr>
    </w:p>
    <w:p>
      <w:pPr>
        <w:jc w:val="both"/>
        <w:ind w:left="120" w:right="102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SPAC Warrant Agreement Amendment</w:t>
      </w:r>
      <w:r>
        <w:rPr>
          <w:rFonts w:ascii="Times New Roman" w:cs="Times New Roman" w:eastAsia="Times New Roman" w:hAnsi="Times New Roman"/>
          <w:sz w:val="17"/>
          <w:szCs w:val="17"/>
          <w:color w:val="auto"/>
        </w:rPr>
        <w:t>” means that certain Amendment to the SPAC Warrant Agreement, by and between GGI and Computershare Trust Company, N.A., as warrant agent, dated as of April 7, 2022, a copy of which is filed as an exhibit to this prospectus.</w:t>
      </w:r>
    </w:p>
    <w:p>
      <w:pPr>
        <w:spacing w:after="0" w:line="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w:t>
      </w:r>
      <w:r>
        <w:rPr>
          <w:rFonts w:ascii="Times New Roman" w:cs="Times New Roman" w:eastAsia="Times New Roman" w:hAnsi="Times New Roman"/>
          <w:sz w:val="18"/>
          <w:szCs w:val="18"/>
          <w:color w:val="auto"/>
        </w:rPr>
        <w:t>” means the lock-up agreement, dated September 27, 2021, by and among GGI, Parent, the Company and the GGI Initial Stockholders, as amended by the Sponsor and Supporting Sponsor Stockholder Lock-Up Agreement Amendment No. 1 and the Sponsor and Supporting Sponsor Stockholder Lock-Up Agreement Amendment No. 2. A copy of the Sponsor and Supporting Sponsor Stockholder Lock-Up Agreement is filed as an exhibit to this prospectus.</w:t>
      </w:r>
    </w:p>
    <w:p>
      <w:pPr>
        <w:spacing w:after="0" w:line="180" w:lineRule="exact"/>
        <w:rPr>
          <w:sz w:val="20"/>
          <w:szCs w:val="20"/>
          <w:color w:val="auto"/>
        </w:rPr>
      </w:pPr>
    </w:p>
    <w:p>
      <w:pPr>
        <w:ind w:left="120" w:right="6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1</w:t>
      </w:r>
      <w:r>
        <w:rPr>
          <w:rFonts w:ascii="Times New Roman" w:cs="Times New Roman" w:eastAsia="Times New Roman" w:hAnsi="Times New Roman"/>
          <w:sz w:val="18"/>
          <w:szCs w:val="18"/>
          <w:color w:val="auto"/>
        </w:rPr>
        <w:t>” means that certain amendment to the Sponsor and Supporting Sponsor Stockholder Lock-Up Agreement, dated December 17, 2021, a copy of which is filed as an exhibit to this prospectus.</w:t>
      </w:r>
    </w:p>
    <w:p>
      <w:pPr>
        <w:spacing w:after="0" w:line="158" w:lineRule="exact"/>
        <w:rPr>
          <w:sz w:val="20"/>
          <w:szCs w:val="20"/>
          <w:color w:val="auto"/>
        </w:rPr>
      </w:pPr>
    </w:p>
    <w:p>
      <w:pPr>
        <w:ind w:left="120" w:right="6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2</w:t>
      </w:r>
      <w:r>
        <w:rPr>
          <w:rFonts w:ascii="Times New Roman" w:cs="Times New Roman" w:eastAsia="Times New Roman" w:hAnsi="Times New Roman"/>
          <w:sz w:val="18"/>
          <w:szCs w:val="18"/>
          <w:color w:val="auto"/>
        </w:rPr>
        <w:t>” means that certain amendment to the Sponsor and Supporting Sponsor Stockholder Lock-Up Agreement, dated March 24, 2022, a copy of which is filed as an exhibit to this prospectus.</w:t>
      </w:r>
    </w:p>
    <w:p>
      <w:pPr>
        <w:spacing w:after="0" w:line="158"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the GGI Sponsor, pursuant to which the GGI Sponsor purchased approximately 891,000 Sponsor Subscription Shares for a purchase price of $9.09 per share on the date of Closing.</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Investment</w:t>
      </w:r>
      <w:r>
        <w:rPr>
          <w:rFonts w:ascii="Times New Roman" w:cs="Times New Roman" w:eastAsia="Times New Roman" w:hAnsi="Times New Roman"/>
          <w:sz w:val="18"/>
          <w:szCs w:val="18"/>
          <w:color w:val="auto"/>
        </w:rPr>
        <w:t>” means the purchase of the Sponsor Subscription Shares pursuant to the Sponsor Subscription Agreement.</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Shares</w:t>
      </w:r>
      <w:r>
        <w:rPr>
          <w:rFonts w:ascii="Times New Roman" w:cs="Times New Roman" w:eastAsia="Times New Roman" w:hAnsi="Times New Roman"/>
          <w:sz w:val="18"/>
          <w:szCs w:val="18"/>
          <w:color w:val="auto"/>
        </w:rPr>
        <w:t>” means the Class A Shares in the form of Class A ADSs purchased by the GGI Sponsor in the Sponsor Subscription Investment.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means the PIPE Subscription Agreements, the Sponsor Subscription Agreement and the Volvo Cars PIPE Subscription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Investments</w:t>
      </w:r>
      <w:r>
        <w:rPr>
          <w:rFonts w:ascii="Times New Roman" w:cs="Times New Roman" w:eastAsia="Times New Roman" w:hAnsi="Times New Roman"/>
          <w:sz w:val="18"/>
          <w:szCs w:val="18"/>
          <w:color w:val="auto"/>
        </w:rPr>
        <w:t>” means the purchase of the Subscription Shares pursuant to the Subscription Agreements.</w:t>
      </w:r>
    </w:p>
    <w:p>
      <w:pPr>
        <w:spacing w:after="0" w:line="225" w:lineRule="exact"/>
        <w:rPr>
          <w:sz w:val="20"/>
          <w:szCs w:val="20"/>
          <w:color w:val="auto"/>
        </w:rPr>
      </w:pPr>
    </w:p>
    <w:p>
      <w:pPr>
        <w:ind w:left="120" w:right="30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Subscription Shares</w:t>
      </w:r>
      <w:r>
        <w:rPr>
          <w:rFonts w:ascii="Times New Roman" w:cs="Times New Roman" w:eastAsia="Times New Roman" w:hAnsi="Times New Roman"/>
          <w:sz w:val="17"/>
          <w:szCs w:val="17"/>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Gores Group</w:t>
      </w:r>
      <w:r>
        <w:rPr>
          <w:rFonts w:ascii="Times New Roman" w:cs="Times New Roman" w:eastAsia="Times New Roman" w:hAnsi="Times New Roman"/>
          <w:sz w:val="18"/>
          <w:szCs w:val="18"/>
          <w:color w:val="auto"/>
        </w:rPr>
        <w:t>” means The Gores Group, LLC, an affiliate of the GGI Sponsor.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United States dollars, the legal currency of the United States.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w:t>
      </w:r>
      <w:r>
        <w:rPr>
          <w:rFonts w:ascii="Times New Roman" w:cs="Times New Roman" w:eastAsia="Times New Roman" w:hAnsi="Times New Roman"/>
          <w:sz w:val="18"/>
          <w:szCs w:val="18"/>
          <w:color w:val="auto"/>
        </w:rPr>
        <w:t>” means Volvo Car AB (publ) and its subsidiaries.</w:t>
      </w:r>
    </w:p>
    <w:p>
      <w:pPr>
        <w:spacing w:after="0" w:line="225" w:lineRule="exact"/>
        <w:rPr>
          <w:sz w:val="20"/>
          <w:szCs w:val="20"/>
          <w:color w:val="auto"/>
        </w:rPr>
      </w:pPr>
    </w:p>
    <w:p>
      <w:pPr>
        <w:jc w:val="both"/>
        <w:ind w:left="120" w:right="9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Volvo Cars, pursuant to which Snita purchased approximately 1.1 million Volvo Cars PIPE Subscription Shares for a purchase price of $10.00 per share.</w:t>
      </w:r>
    </w:p>
    <w:p>
      <w:pPr>
        <w:spacing w:after="0" w:line="173"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Investment</w:t>
      </w:r>
      <w:r>
        <w:rPr>
          <w:rFonts w:ascii="Times New Roman" w:cs="Times New Roman" w:eastAsia="Times New Roman" w:hAnsi="Times New Roman"/>
          <w:sz w:val="18"/>
          <w:szCs w:val="18"/>
          <w:color w:val="auto"/>
        </w:rPr>
        <w:t>” means the purchase of Volvo Cars PIPE Subscription Shares pursuant to the Volvo Cars PIPE Subscription Agreement.</w:t>
      </w:r>
    </w:p>
    <w:p>
      <w:pPr>
        <w:spacing w:after="0" w:line="158"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Shares</w:t>
      </w:r>
      <w:r>
        <w:rPr>
          <w:rFonts w:ascii="Times New Roman" w:cs="Times New Roman" w:eastAsia="Times New Roman" w:hAnsi="Times New Roman"/>
          <w:sz w:val="18"/>
          <w:szCs w:val="18"/>
          <w:color w:val="auto"/>
        </w:rPr>
        <w:t>” means the Class A Shares in the form of Class A ADSs purchased by Snita in the Volvo Cars PIPE Subscription Investment.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Agreement</w:t>
      </w:r>
      <w:r>
        <w:rPr>
          <w:rFonts w:ascii="Times New Roman" w:cs="Times New Roman" w:eastAsia="Times New Roman" w:hAnsi="Times New Roman"/>
          <w:sz w:val="18"/>
          <w:szCs w:val="18"/>
          <w:color w:val="auto"/>
        </w:rPr>
        <w:t>” means the subscription agreement, dated September 27, 2021, by and between the Company and Snita as amended on March 24, 2022, pursuant to which Snita purchased, at Closing, mandatory convertible preference shares of the Company for an aggregate subscription price of $10.00 per share, for an aggregate investment amount equal to $588,826,100.</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Investment</w:t>
      </w:r>
      <w:r>
        <w:rPr>
          <w:rFonts w:ascii="Times New Roman" w:cs="Times New Roman" w:eastAsia="Times New Roman" w:hAnsi="Times New Roman"/>
          <w:sz w:val="18"/>
          <w:szCs w:val="18"/>
          <w:color w:val="auto"/>
        </w:rPr>
        <w:t>” means the purchase of the Volvo Cars Preference Subscription Shares pursuant to the Volvo Cars Preference Subscription Agreement.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Shares</w:t>
      </w:r>
      <w:r>
        <w:rPr>
          <w:rFonts w:ascii="Times New Roman" w:cs="Times New Roman" w:eastAsia="Times New Roman" w:hAnsi="Times New Roman"/>
          <w:sz w:val="18"/>
          <w:szCs w:val="18"/>
          <w:color w:val="auto"/>
        </w:rPr>
        <w:t>” means the mandatory convertible preference shares of the Company purchased by Snita pursuant to the Volvo Cars Preference Subscription Agreement.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Business Combination;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GGI or Polestar in connection with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meet stock exchange listing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any projected financial information of Polestar, including underlying assumptions regarding expected development and launch timeliness for Polestar’s five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design, manufacture, launch and financing of Polestar’s vehicles and Polestar’s reliance on a limited number of vehicle models to generate revenues;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Polestar’s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Polestar’s distribution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Polestar’s future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rapidly innovate;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and recruit and retain key employees, including its chief executive officer and executive team;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partnerships with vehicle charging networks to provide charging solutions for its vehicles and its strategic partners for servicing its vehicles and their integrated software;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establish its brand and capture additional market share, and the risks associated with negative press or reputational harm;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Polestar’s business, projected results of operations, financial performance or other financial metrics or on any of the foregoing risks;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in this prospectus in the section entitled “Risk Factors.”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8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300" w:right="100" w:firstLine="426"/>
        <w:spacing w:after="0" w:line="281" w:lineRule="auto"/>
        <w:rPr>
          <w:sz w:val="20"/>
          <w:szCs w:val="20"/>
          <w:color w:val="auto"/>
        </w:rPr>
      </w:pPr>
      <w:r>
        <w:rPr>
          <w:rFonts w:ascii="Times New Roman" w:cs="Times New Roman" w:eastAsia="Times New Roman" w:hAnsi="Times New Roman"/>
          <w:sz w:val="17"/>
          <w:szCs w:val="17"/>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6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Today Polestar’s cars are on the road in nineteen markets across Europe, North America, China and Asia Pacific. Polestar intends to continue its rapid market expansion with the aim that its cars will be available in an aggregate of 30 markets by the end of 2023. Polestar also plans to introduce three new electric vehicles by 2024; Polestar 3, an aerodynamically optimized SUV; Polestar 4, a sporty SUV coupe and Polestar 5, a luxury 4 door GT.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0"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89"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The preliminary estimated global volume data for the three months ended March 31, 2022 and the month of April 2022 are prepared based upon Polestar management’s current best estimates and are subject to risks and uncertainties. The global volume data discussed below should be read in conjunction with the sections entitled “Risk Factors” and “Operating And Financial Review and Prospects” and the Polestar Financial Statements and the related notes thereto included elsewhere in this prospectus. Polestar’s actual results may differ from the preliminary estimates and could vary by up to 2%. The data has been prepared by and is the responsibility of Polestar management. Deloitte has not audited, reviewed, compiled or performed any procedures with respect to any of the data set forth in this section. Accordingly, Deloitte does not express an opinion or any other form of assurance with respect thereto.</w:t>
      </w:r>
    </w:p>
    <w:p>
      <w:pPr>
        <w:spacing w:after="0" w:line="189" w:lineRule="exact"/>
        <w:rPr>
          <w:sz w:val="20"/>
          <w:szCs w:val="20"/>
          <w:color w:val="auto"/>
        </w:rPr>
      </w:pPr>
    </w:p>
    <w:p>
      <w:pPr>
        <w:ind w:left="300" w:right="280" w:firstLine="426"/>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2022, Polestar estimates it delivered approximately 9,500 vehicles of which approximately 440 vehicles are subject to buy-back agreements and approximately 460 vehicles were internal vehicle deliveries. This compares with estimated deliveries of 4,500 vehicles during the three months ended March 31, 2021, during which Polestar did not sell any vehicles subject</w:t>
      </w:r>
    </w:p>
    <w:p>
      <w:pPr>
        <w:spacing w:after="0" w:line="1" w:lineRule="exact"/>
        <w:rPr>
          <w:sz w:val="20"/>
          <w:szCs w:val="20"/>
          <w:color w:val="auto"/>
        </w:rPr>
      </w:pPr>
    </w:p>
    <w:p>
      <w:pPr>
        <w:ind w:left="300" w:right="40"/>
        <w:spacing w:after="0" w:line="269" w:lineRule="auto"/>
        <w:rPr>
          <w:sz w:val="20"/>
          <w:szCs w:val="20"/>
          <w:color w:val="auto"/>
        </w:rPr>
      </w:pPr>
      <w:r>
        <w:rPr>
          <w:rFonts w:ascii="Times New Roman" w:cs="Times New Roman" w:eastAsia="Times New Roman" w:hAnsi="Times New Roman"/>
          <w:sz w:val="17"/>
          <w:szCs w:val="17"/>
          <w:color w:val="auto"/>
        </w:rPr>
        <w:t>to buy-back agreements and approximately 160 vehicles were internal vehicle deliveries. Internal vehicle deliveries are vehicles transferred for demonstration and commercial purposes as well as vehicles transferred to Polestar employees at the time of registration. Transferred vehicles for demonstration and commercial purposes are owned by Polestar and included in Inventory. The estimated deliveries during the three months ended March 31,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by Polestar. Accordingly, Polestar currently estimates that global deliveries in 2022 will be approximately 50,000 vehicles as compared to its prior expectations of 65,000 vehicles. See the “Operating And Financial Review and Prospects—Polestar Automotive Holding Limited—Factors Affecting Future Results of Operations,” “Risk Factors—Risks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and “Risk Factors— Risks Related to Polestar’s Business and Industry—The global COVID-19 outbreak and the global response could continue to affect Polestar’s business and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During April 2022, Polestar estimates that it delivered approximately 4,100 vehicles, of which approximately 120 vehicles are subject</w:t>
      </w:r>
    </w:p>
    <w:p>
      <w:pPr>
        <w:spacing w:after="0" w:line="27" w:lineRule="exact"/>
        <w:rPr>
          <w:sz w:val="20"/>
          <w:szCs w:val="20"/>
          <w:color w:val="auto"/>
        </w:rPr>
      </w:pPr>
    </w:p>
    <w:p>
      <w:pPr>
        <w:ind w:left="300" w:right="40"/>
        <w:spacing w:after="0" w:line="260" w:lineRule="auto"/>
        <w:rPr>
          <w:sz w:val="20"/>
          <w:szCs w:val="20"/>
          <w:color w:val="auto"/>
        </w:rPr>
      </w:pPr>
      <w:r>
        <w:rPr>
          <w:rFonts w:ascii="Times New Roman" w:cs="Times New Roman" w:eastAsia="Times New Roman" w:hAnsi="Times New Roman"/>
          <w:sz w:val="18"/>
          <w:szCs w:val="18"/>
          <w:color w:val="auto"/>
        </w:rPr>
        <w:t>to buy-back agreements and approximately 100 vehicles were internal vehicle deliveries, compared to an estimated 1,600 vehicles delivered during April 2021, when no vehicles included buy-back agreements and approximately 100 vehicles were internal vehicle deliveries.</w:t>
      </w:r>
    </w:p>
    <w:p>
      <w:pPr>
        <w:spacing w:after="0" w:line="18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As of June 15, 2022, Polestar had received total customer orders of over 32,000 vehicles, an increase of approximately 290% versus the same period last year. Total customer orders include orders placed since January 1, 2022 through June 15, 2022, which have been delivered or are yet to be delivered. The orders may be cancelled, and any deposit, where applicable, returned.</w:t>
      </w:r>
    </w:p>
    <w:p>
      <w:pPr>
        <w:spacing w:after="0" w:line="176"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As of June 15, 2022, Polestar operated in 25 markets, up from 19 markets as of December 31, 2021. This increase reflects Polestar’s efforts to continue its rapid market expansion with the aim that its cars will be available in an aggregate of 30 markets by the end of 2023. Polestar expects to enter new markets this year in Europe, including Spain, Portugal and Italy, and the Middle East, including Israel.</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in addition, Hertz is now adding the Polestar 1 electric performance hybrid to their Dream fleet as well.</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On June 23, 2022, the Company consummated the previously announced Business Combination. Pursuant to the Business Combination Agreement, the following has occurred: (i) substantially concurrently with the Closing, (a) certain investors purchased approximately 7.43 million Class A Shares in the form of Class A ADSs for an aggregate purchase price payable to the Company of approximately $67.5 million, (b) the GGI Sponsor purchased approximately 891,000 Class A Shares in the form of Class A ADSs for an aggregate purchase price payable to the Company of approximately $8.1 million, (c) Snita purchased, approximately 1.1 million Class A Shares in the form of Class A ADSs for a purchase price of $10.00 per share, for an aggregate investment amount equal to approximately $11.2 million, (d) certain investors (which include certain affiliates and employees of the GGI Sponsor) purchased approximately 14.3 million Class A Shares in the form of Class A ADSs for an aggregate purchase price payable to the Company of approximately $136.0 million, (e) certain investors (which include certain affiliates and employees of the GGI Sponsor) purchased approximately 2.8 million Class A Shares in the form of Class A ADSs for an aggregate purchase price payable to the Company of approximately $27.2 million and (f) Snita purchased mandatory convertible preference shares of the Company (the “Preference Shares”) for $10.00 per share, for an aggregate investment amount equal to $588,826,100 (the “Volvo Cars Preference Amount”); (ii) Merger Sub merged with and into GGI, pursuant to which the separate corporate existence of Merger Sub ceased and GGI became a wholly owned subsidiary of the Company, and all GGI Common Stock, issued and outstanding immediately prior to the Effective Time, was exchanged for Class A ADSs duly and validly issued against the deposit of an underlying Class A Share with the Company’s depositary with which the Company has established and sponsored American depositary receipt facilities (each, an “ADR Facility”); and (iii) at the Closing, each GGI Public Warrant was automatically cancelled and extinguished and converted into a Class C-1 ADS duly and validly issued against the deposit with the depositary of an underlying Class C-1 Share and each private placement warrant of GGI (“GGI Private Placement Warrant”) was automatically cancelled and extinguished and converted into the right to receive a Class C-2 ADS duly and validly issued against the deposit with the depositary of an underlying Class C-2 Share.</w:t>
      </w:r>
    </w:p>
    <w:p>
      <w:pPr>
        <w:spacing w:after="0" w:line="19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GGI became a wholly owned subsidiary of the Company. On June 24, 2022, the Class A ADSs and Class C-1 ADSs commenced trading on Nasdaq, under the new tickers “PSNY” and “PSNYW,” respectively.</w:t>
      </w:r>
    </w:p>
    <w:p>
      <w:pPr>
        <w:spacing w:after="0" w:line="162"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color w:val="auto"/>
        </w:rPr>
        <w:t>Certain of the Selling Securityholders, such as Parent, beneficially own approximately 91.85% of our outstanding Shares and, subject to the contractual lock-ups described below, may sell all of their Shares in the public market at any time, so long as the registration statement of which this prospectus forms a part remains effective and this prospectus remains usable.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42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Business Combination Agreement, in respect of their GGI Class F Common Stock, which restrictions will expire, and therefore additional Company securities and AD securities are eligible for resale, 180 days after the Closing. Sales of a substantial number of the Shares in the public market, or the perception that these sales might occur, could depress the market price of the Company’s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1" w:lineRule="exact"/>
        <w:rPr>
          <w:sz w:val="20"/>
          <w:szCs w:val="20"/>
          <w:color w:val="auto"/>
        </w:rPr>
      </w:pPr>
    </w:p>
    <w:p>
      <w:pPr>
        <w:ind w:left="1240" w:right="3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240" w:right="28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16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81" w:lineRule="exact"/>
        <w:rPr>
          <w:sz w:val="20"/>
          <w:szCs w:val="20"/>
          <w:color w:val="auto"/>
        </w:rPr>
      </w:pPr>
    </w:p>
    <w:p>
      <w:pPr>
        <w:ind w:left="1240" w:hanging="415"/>
        <w:spacing w:after="0" w:line="25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92"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produce vehicles and its future growth depend upon its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85"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88"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partnerships with vehicle charging networks to provide charging solutions for its vehicles.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strategic partners for servicing its vehicles and their integrated software. If Polestar or its strategic partners are unable to adequately address the service requirements of its customers, Polestar’s business, prospects, financial condition and results of operations may be materially and adversely affected.</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76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experienced and may in the future experience significant delays in the design, development, manufacture, launch and financing of its vehicles, which could harm its business and prospects.</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incurred net losses each year since its inception and expects to incur increasing expenses and substantial losses for the foreseeable future.</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81" w:lineRule="exact"/>
        <w:rPr>
          <w:rFonts w:ascii="Times New Roman" w:cs="Times New Roman" w:eastAsia="Times New Roman" w:hAnsi="Times New Roman"/>
          <w:sz w:val="18"/>
          <w:szCs w:val="18"/>
          <w:color w:val="auto"/>
        </w:rPr>
      </w:pPr>
    </w:p>
    <w:p>
      <w:pPr>
        <w:jc w:val="both"/>
        <w:ind w:left="1240" w:right="4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intervene in or influence Polestar’s or Polestar’s partners’ operations in China at any time, which could result in a material change in Polestar’s operations and ability to produce vehicles significantly and adversely impact the value of Polestar’s securities.</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its subsidiaries (i) may not receive or maintain permissions or approvals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jc w:val="both"/>
        <w:ind w:left="1240" w:right="160" w:hanging="415"/>
        <w:spacing w:after="0" w:line="312"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reserves to cover future warranty or part replacement needs or other vehicle repair requirements, including any potential software upgrades, could materially and adversely affect Polestar’s business, prospects, financial condition and results of operations.</w:t>
      </w:r>
    </w:p>
    <w:p>
      <w:pPr>
        <w:spacing w:after="0" w:line="45" w:lineRule="exact"/>
        <w:rPr>
          <w:rFonts w:ascii="Times New Roman" w:cs="Times New Roman" w:eastAsia="Times New Roman" w:hAnsi="Times New Roman"/>
          <w:sz w:val="17"/>
          <w:szCs w:val="17"/>
          <w:color w:val="auto"/>
        </w:rPr>
      </w:pPr>
    </w:p>
    <w:p>
      <w:pPr>
        <w:ind w:left="1240" w:right="220" w:hanging="415"/>
        <w:spacing w:after="0" w:line="26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85"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offer attractive leasing and financing options for its current vehicle models and future vehicles, which would adversely affect consumer demand for its vehicles.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make use of lithium-ion battery cells, which have been observed to catch fire or vent smoke and flame.</w:t>
      </w:r>
    </w:p>
    <w:p>
      <w:pPr>
        <w:spacing w:after="0" w:line="130"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8"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vehicle owners customize Polestar vehicles or change the charging infrastructure with aftermarket products, the vehicle may not operate properly, which may create negative publicity and could harm Polestar’s business.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or manipulation of Polestar’s products, digital sales tools and systems could result in loss of confidence in Polestar and its products.</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85"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choose to or be compelled to undertake product recalls or take other actions, which could result in litigation and adversely affect its business, prospects, results of operations, reputation and financial condition.</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will require additional capital to support business growth, and this capital might not be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financial results may vary significantly from period to period due to fluctuations in its operating costs, product demand and other factors.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depends on revenue generated from a limited number of models and expects this to continue in the foreseeable future.</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 to manufacture vehicles and Polestar’s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8"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Combination’s benefits do not meet the expectations of investors, stockholders or financial analysts, the market price of the ADSs may decline.</w:t>
      </w:r>
    </w:p>
    <w:p>
      <w:pPr>
        <w:spacing w:after="0" w:line="67"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Polestar’s resources and distract its management, which could make it difficult to manage its business.</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21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3621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0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a foreign private issuer within the meaning of the rules under the Exchange Act, and as such it is exempt from certain provisions applicable to United States domestic public companies. As a result, its shareholders may not have the same protections afforded to shareholders of companies that are subject to all Nasdaq corporate governance requirements.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lose its foreign private issuer status in the future, which could result in significant additional costs and expenses.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20" w:firstLine="426"/>
        <w:spacing w:after="0" w:line="277" w:lineRule="auto"/>
        <w:rPr>
          <w:sz w:val="20"/>
          <w:szCs w:val="20"/>
          <w:color w:val="auto"/>
        </w:rPr>
      </w:pPr>
      <w:r>
        <w:rPr>
          <w:rFonts w:ascii="Times New Roman" w:cs="Times New Roman" w:eastAsia="Times New Roman" w:hAnsi="Times New Roman"/>
          <w:sz w:val="17"/>
          <w:szCs w:val="17"/>
          <w:color w:val="auto"/>
        </w:rPr>
        <w:t>See “Prospectus Summary—Recent Developments—Business Combination” in this prospectus for additional information regarding the Business Combination. 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Suite 1, 3rd Floor, 11-12 St James’s Square, London SW1Y 4LB. The address of the principal executive office of the Company is Assar Gabrielssons Väg 9 405 31 Göteborg, Sweden, and the telephone number of the Company is (949) 735-1834.</w:t>
      </w:r>
    </w:p>
    <w:p>
      <w:pPr>
        <w:spacing w:after="0" w:line="168"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Share Capital and Articles of Association” and “Description of American Depositary Shares” sections of this prospectus contains a more detailed description of the Company’s Class A ADSs and Class C ADSs.</w:t>
      </w:r>
    </w:p>
    <w:p>
      <w:pPr>
        <w:spacing w:after="0" w:line="198"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Securities being registered for resale by the Selling</w:t>
      </w:r>
      <w:r>
        <w:rPr>
          <w:sz w:val="20"/>
          <w:szCs w:val="20"/>
          <w:color w:val="auto"/>
        </w:rPr>
        <w:tab/>
      </w:r>
      <w:r>
        <w:rPr>
          <w:rFonts w:ascii="Times New Roman" w:cs="Times New Roman" w:eastAsia="Times New Roman" w:hAnsi="Times New Roman"/>
          <w:sz w:val="17"/>
          <w:szCs w:val="17"/>
          <w:color w:val="auto"/>
        </w:rPr>
        <w:t>(i) 294,877,349 Class A ADSs issued to Parent as merger consideration in connection with</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at an equity consideration value of $10.00 per share, (ii) up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24,078,638 Class A ADSs which are issuable to Parent and, after the liquidation of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the distribution of the securities held by Parent to its shareholders, the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Shareholders as earn out consideration (valued as $10.00 per Class A ADS at the time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upon the achievement of certain price thresholds for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Class A ADSs, as further described in this prospectus, (iii) 1,776,332,546 Class A ADSs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issuable upon conversion of Class B ADSs, including 134,098,971 Class B ADSs which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are issuable to Parent and, after the liquidation of Parent and the distribution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securities held by Parent to its shareholders, Parent Shareholders as earn out consideration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(valued as $10.00 per Class B ADS at the time of the Business Combination) upon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achievement of certain price thresholds for the Class A ADSs, as further described in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prospectus, (iv) 18,459,165 Class A ADSs issued to the GGI Sponsor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in exchange for the 18,459,165 shares of GGI Class F Common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Stock that the GGI Sponsor initially purchased at $0.001 per share of GGI Class 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and that the GGI Sponsor retained after forfeiture of 1,540,835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Class F Common Stock; (v) 26,540,835 Class A ADSs issued to GGI Sponsor,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PIPE Investors and Snita pursuant to the Sponsor Subscription Agreement, the PIPE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Subscription Agreements and the Volvo Cars PIPE Subscription Agreement, respectively,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 an average cash price of $9.42 per Class A ADS, (vi) 58,882,610 Class A ADSs issued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Snita upon conversion of the Volvo Cars Preference Subscription Shares at the time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Business Combination at a $10.00 conversion price, (vii) 4,306,466 Class A ADSs that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were issued to Parent Convertible Note Holders upon conversion of the Parent Convertible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Notes at the time of the Business Combination at a conversion price of $8.18, and (viii) up</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 500,000 Class A ADSs issuable to a service provider in exchange for the performance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marketing consulting services valued at up to $5,000,000. The prospectus also covers any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additional securities that may become issuable by reason of share splits, share dividends or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similar transactions.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prices for resales: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Class A</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ADSs and Class C-2 ADSs, the resale of which is being registered under this prospectus.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ADSs offered by us: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24,999,965 Class A ADSs issuable upon conversion of the Class C ADSs,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9,000,000 Class A ADSs issuable upon conversion of the Class C-2 ADSs held by the</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Sponsor.</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Terms of Class C ADSs:</w:t>
      </w:r>
      <w:r>
        <w:rPr>
          <w:sz w:val="20"/>
          <w:szCs w:val="20"/>
          <w:color w:val="auto"/>
        </w:rPr>
        <w:tab/>
      </w:r>
      <w:r>
        <w:rPr>
          <w:rFonts w:ascii="Times New Roman" w:cs="Times New Roman" w:eastAsia="Times New Roman" w:hAnsi="Times New Roman"/>
          <w:sz w:val="17"/>
          <w:szCs w:val="17"/>
          <w:color w:val="auto"/>
        </w:rPr>
        <w:t>Each Class C ADS entitles the holder to purchase one Class A ADS at a price of $11.50 per</w:t>
      </w:r>
    </w:p>
    <w:p>
      <w:pPr>
        <w:spacing w:after="0" w:line="31" w:lineRule="exact"/>
        <w:rPr>
          <w:sz w:val="20"/>
          <w:szCs w:val="20"/>
          <w:color w:val="auto"/>
        </w:rPr>
      </w:pPr>
    </w:p>
    <w:p>
      <w:pPr>
        <w:ind w:left="4340" w:right="180"/>
        <w:spacing w:after="0" w:line="260" w:lineRule="auto"/>
        <w:rPr>
          <w:sz w:val="20"/>
          <w:szCs w:val="20"/>
          <w:color w:val="auto"/>
        </w:rPr>
      </w:pPr>
      <w:r>
        <w:rPr>
          <w:rFonts w:ascii="Times New Roman" w:cs="Times New Roman" w:eastAsia="Times New Roman" w:hAnsi="Times New Roman"/>
          <w:sz w:val="18"/>
          <w:szCs w:val="18"/>
          <w:color w:val="auto"/>
        </w:rPr>
        <w:t>Class C ADS, subject to adjustments. Our Class C ADSs expire on June 23, 2027 at 5:00 p.m., New York City time, or earlier upon redemption.</w:t>
      </w:r>
    </w:p>
    <w:p>
      <w:pPr>
        <w:sectPr>
          <w:pgSz w:w="11900" w:h="16838" w:orient="portrait"/>
          <w:cols w:equalWidth="0" w:num="1">
            <w:col w:w="10920"/>
          </w:cols>
          <w:pgMar w:left="320" w:top="455" w:right="659" w:bottom="1440" w:gutter="0" w:footer="0" w:header="0"/>
        </w:sectPr>
      </w:pPr>
    </w:p>
    <w:p>
      <w:pPr>
        <w:spacing w:after="0" w:line="204" w:lineRule="exact"/>
        <w:rPr>
          <w:sz w:val="20"/>
          <w:szCs w:val="20"/>
          <w:color w:val="auto"/>
        </w:rPr>
      </w:pPr>
    </w:p>
    <w:p>
      <w:pPr>
        <w:jc w:val="both"/>
        <w:ind w:left="380" w:right="34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Securities issued and outstanding prior to any exercise of Class C ADSs as of the date of this prospectus:</w:t>
      </w:r>
    </w:p>
    <w:p>
      <w:pPr>
        <w:spacing w:after="0" w:line="200" w:lineRule="exact"/>
        <w:rPr>
          <w:sz w:val="20"/>
          <w:szCs w:val="20"/>
          <w:color w:val="auto"/>
        </w:rPr>
      </w:pPr>
    </w:p>
    <w:p>
      <w:pPr>
        <w:spacing w:after="0" w:line="254"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Class A ADSs outstanding assuming the exercise of all Class C ADSs</w:t>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466,801,222 Class A ADSs, 1,642,233,575 Class B ADSs, no Preference Shares, 50,000 GBP Redeemable Preferred Shares, 15,999,965 Class C-1 ADSs and</w:t>
      </w:r>
    </w:p>
    <w:p>
      <w:pPr>
        <w:spacing w:after="0"/>
        <w:rPr>
          <w:sz w:val="20"/>
          <w:szCs w:val="20"/>
          <w:color w:val="auto"/>
        </w:rPr>
      </w:pPr>
      <w:r>
        <w:rPr>
          <w:rFonts w:ascii="Times New Roman" w:cs="Times New Roman" w:eastAsia="Times New Roman" w:hAnsi="Times New Roman"/>
          <w:sz w:val="18"/>
          <w:szCs w:val="18"/>
          <w:color w:val="auto"/>
        </w:rPr>
        <w:t>9,000,000 Class C-2 ADSs.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491,801,187 Class A ADSs.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warrant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w:t>
      </w:r>
    </w:p>
    <w:p>
      <w:pPr>
        <w:spacing w:after="0" w:line="200" w:lineRule="exact"/>
        <w:rPr>
          <w:sz w:val="20"/>
          <w:szCs w:val="20"/>
          <w:color w:val="auto"/>
        </w:rPr>
      </w:pPr>
    </w:p>
    <w:p>
      <w:pPr>
        <w:sectPr>
          <w:pgSz w:w="11900" w:h="16838" w:orient="portrait"/>
          <w:cols w:equalWidth="0" w:num="2">
            <w:col w:w="4200" w:space="140"/>
            <w:col w:w="6580"/>
          </w:cols>
          <w:pgMar w:left="320" w:top="455" w:right="659" w:bottom="1440" w:gutter="0" w:footer="0" w:header="0"/>
          <w:type w:val="continuous"/>
        </w:sectPr>
      </w:pPr>
    </w:p>
    <w:p>
      <w:pPr>
        <w:spacing w:after="0" w:line="1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7"/>
          <w:szCs w:val="17"/>
          <w:color w:val="auto"/>
        </w:rPr>
        <w:t>We have never declared or paid any cash dividend on our capital stock. We currently intend</w:t>
      </w:r>
    </w:p>
    <w:p>
      <w:pPr>
        <w:spacing w:after="0" w:line="31" w:lineRule="exact"/>
        <w:rPr>
          <w:sz w:val="20"/>
          <w:szCs w:val="20"/>
          <w:color w:val="auto"/>
        </w:rPr>
      </w:pPr>
    </w:p>
    <w:p>
      <w:pPr>
        <w:ind w:left="4340" w:right="100"/>
        <w:spacing w:after="0" w:line="253" w:lineRule="auto"/>
        <w:rPr>
          <w:sz w:val="20"/>
          <w:szCs w:val="20"/>
          <w:color w:val="auto"/>
        </w:rPr>
      </w:pPr>
      <w:r>
        <w:rPr>
          <w:rFonts w:ascii="Times New Roman" w:cs="Times New Roman" w:eastAsia="Times New Roman" w:hAnsi="Times New Roman"/>
          <w:sz w:val="18"/>
          <w:szCs w:val="18"/>
          <w:color w:val="auto"/>
        </w:rPr>
        <w:t>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210" w:lineRule="exact"/>
        <w:rPr>
          <w:sz w:val="20"/>
          <w:szCs w:val="20"/>
          <w:color w:val="auto"/>
        </w:rPr>
      </w:pPr>
    </w:p>
    <w:p>
      <w:pPr>
        <w:ind w:left="4340" w:right="280" w:hanging="403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for our Class A ADSs and Class C-1 ADSs: </w:t>
      </w:r>
      <w:r>
        <w:rPr>
          <w:rFonts w:ascii="Times New Roman" w:cs="Times New Roman" w:eastAsia="Times New Roman" w:hAnsi="Times New Roman"/>
          <w:sz w:val="18"/>
          <w:szCs w:val="18"/>
          <w:color w:val="auto"/>
        </w:rPr>
        <w:t>Our Class A ADSs and Class C-1 ADSs are listed on Nasdaq under the trading symbols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“PSNY” and “PSNYW”, respectively.</w:t>
      </w:r>
    </w:p>
    <w:p>
      <w:pPr>
        <w:spacing w:after="0" w:line="18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You should carefully consider the information set forth herein under “Risk Factors.”</w:t>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Business and Industry</w:t>
      </w:r>
    </w:p>
    <w:p>
      <w:pPr>
        <w:spacing w:after="0" w:line="117"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7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Polestar’s operations rely heavily on a variety of agreements, including agreements related to research and development,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reach its development and production targets or focus its efforts on core areas of differentiation.</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particular importance for Polestar’s operations are the related party agreements with Volvo Cars and Geely. These related party agreements include agreements pertaining to research and development,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the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future Polestar models. If Polestar is unable to maintain agreements or partnerships with its existing strategic partners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spacing w:after="0" w:line="298"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w:t>
      </w:r>
    </w:p>
    <w:p>
      <w:pPr>
        <w:spacing w:after="0" w:line="19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agreements for the parts and components of its vehicles will cause significant disruption to Polestar’s operations, or such supply agreements could be at costs that make it difficult for Polestar to operate profitably.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spacing w:after="0" w:line="293"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w:t>
      </w:r>
    </w:p>
    <w:p>
      <w:pPr>
        <w:spacing w:after="0" w:line="187"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its vehicles until an alternative supplier is able to supply the required material, and there can be no guarantee that Polestar or its strategic partners will be able to make up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“Risk Factors—Risks Related to Polestar’s Business and Industry—Increases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as the scale of its vehicle production increases, Polestar will need to accurately forecast, purchase, warehouse and transport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unexpected changes in business conditions, materials pricing and/or availability, labor issues, wars, governmental changes, tariffs, natural disasters, health epidemics such as the ongoing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the first half of 2022 due to further outbreaks of COVID-19 have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spacing w:after="0" w:line="30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7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spacing w:after="0" w:line="28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experienced and may in the future experience significant delays in the design, development, manufacture, launch and financing of its vehicles, which could harm its business and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Polestar 2’s intended start date for production was delayed by one month. Further, delays can also impact features in the vehicles, as seen with Polestar’s intended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spacing w:after="0" w:line="100" w:lineRule="exact"/>
        <w:rPr>
          <w:sz w:val="20"/>
          <w:szCs w:val="20"/>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a decrease in the available supply, of materials, such as cobalt, used in lithium-ion cells;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battery cell manufacturers;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and the Swedish Krona (“SEK”), the renminbi (“RMB”), USD or the Euro (“EUR”) in particular, in which battery cell and related raw material purchases are or may be denominated.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ongoing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spacing w:after="0" w:line="67"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success and growth of Polestar’s business depends upon its ability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production and sales of its vehicles on the timing and with the specifications Polestar has planned;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professional and technical talent, including key members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significant investments in research, development, manufacturing, marketing and sales;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maintain, protect and enforce its intellectual property and defend against claims of intellectual property infringement, misappropriation or other violations;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refine its commercial manufacturing capabilities and distribution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satisfactory arrangements with its strategic partners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a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consumer demand for certain vehicle types, models or trim levels, technological developments and changes in competitive landscape;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 build, manufacture and market new models of electric vehicles in the future.</w:t>
      </w:r>
    </w:p>
    <w:p>
      <w:pPr>
        <w:spacing w:after="0" w:line="329"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Decreases in the retail or wholesale prices of electricity from utilities or other renewable energy sources could make Polestar’s products less attractive to customers. There can be no assurance that Polestar will be able to compete successfully in its markets.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sales depend in part on its ability to establish and maintain confidence in its business prospects among consumers, analysts and others within its industry.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industry has significant barriers to entry that Polestar must overcome in order to manufacture and sell electric vehicles at scale.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be unable to adequately control the substantial costs associated with its operations.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spacing w:after="0" w:line="19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longer term, Polestar’s ability to become profitable in the future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incurred net losses each year since its inception and expects to incur increasing expenses and substantial losses for the foreseeable future.</w:t>
      </w:r>
    </w:p>
    <w:p>
      <w:pPr>
        <w:spacing w:after="0" w:line="5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Polestar’s accumulated deficit was $1,762 million. Polestar expects to continue to incur substantial losses and increasing expenses in the foreseeable future as it:</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design and develop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builds up inventories of parts and components for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 available inventory of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deploys vehicle charging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design, research, development, maintenance and repair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its sales and marketing activities and develops its distribution infrastructure; and</w:t>
      </w:r>
    </w:p>
    <w:p>
      <w:pPr>
        <w:spacing w:after="0" w:line="130" w:lineRule="exact"/>
        <w:rPr>
          <w:rFonts w:ascii="Times New Roman" w:cs="Times New Roman" w:eastAsia="Times New Roman" w:hAnsi="Times New Roman"/>
          <w:sz w:val="18"/>
          <w:szCs w:val="18"/>
          <w:color w:val="auto"/>
        </w:rPr>
      </w:pPr>
    </w:p>
    <w:p>
      <w:pPr>
        <w:ind w:left="5540" w:right="180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general and administrative functions to support its growing operations and status as a public company. 19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prospectus.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Group’s audited consolidated financial statements were prepared assuming that Polestar Group will continue as a going concern. However, the report of Polestar Group’s independent registered public accounting firm included elsewhere in this prospectus contains an explanatory paragraph on Polestar Group’s consolidated financial statements stating there is substantial doubt about its ability to continue as a going concern, meaning that Polestar Group may not be able to continue in operation for the foreseeable future or be able to realize assets and discharge liabilities in the ordinary course of operations. Such an opinion could materially limit Polestar Group’s ability to raise additional funds through the issuance of new debt or equity securities or otherwise. There is no assurance that sufficient financing will be available when needed to allow Polestar Group to continue as a going concern. The perception that Polestar Group may not be able to continue as a going concern may also make it more difficult to raise additional funds or operate Polestar Group’s business due to concerns about its ability to meet contractual obligations.</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Based on current operating plans, availability of short-term and long-term debt financing arrangements and financial support from existing Polestar shareholders, who may provide Polestar Group additional equity financing in the case Polestar Group is not able to meet financial liabilities, Polestar Group believes that it has resources to fund its operations for at least the next twelve months, but may require further funds to finance its activities thereafter. Polestar Group may also consider potential financing options with banks or other third parties.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depends on revenue generated from a limited number of models and expects this to continue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currently depends on revenue generated from two vehicle models, Polestar 1 and Polestar 2, and in the foreseeable future will be significantly dependent on a limited number of models. Although Polestar has other vehicle models on its product pipeline, it currently does not expect to introduce another vehicle model for sale until 2023. Polestar expects to rely on sales from Polestar 1 and Polestar 2, among other sources of financing, for the capital that will be required to develop and commercialize those subsequent models (see “Risk Factors—Risks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relies on its partnerships with vehicle charging networks to provide charging solutions for its vehicles.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charging solutions, demand for its vehicles may suffer, and Polestar’s reputation and business may be materially and adversely affected.</w:t>
      </w:r>
    </w:p>
    <w:p>
      <w:pPr>
        <w:spacing w:after="0" w:line="329"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Furthermore, in some jurisdictions, Polestar may be regarded as a competitor of its strategic partners in relation to servicing vehicles pursuant to applicable competition laws.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modify the future scope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Polestar’s vehicles fail to perform as expected, its ability to develop, market and sell or lease its products could be harmed.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Polestar’s vehicles use a substantial amount of software code to operate, and software products are inherently complex and may contain defects and errors. If Polestar’s vehicles contain defects in design and manufacture that cause them not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even if its vehicles function as designed, Polestar expects that the battery efficiency, and hence the range, of its electric vehicles, like other electric vehicles that use current battery technology, will decline over time.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must develop complex software and technology systems, including in coordination with its strategic partners, vendors and suppliers, in order to produce its electric vehicles, and there can be no assurance such systems will be successfully developed.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integrate such technology into its electric vehicles and ensure it interoperates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spacing w:after="0" w:line="93"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production and delivery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market acceptance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the inability to attract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engineering or other resources for remedying the defect or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Polestar’s brand or reputation;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warranty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 by customers or third parties, including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imposed by regulatory authorities.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if Polestar is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vehicle production relies heavily on complex machinery and involves a significant degree of risk and uncertainty in terms of operational performance and costs.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spacing w:after="0" w:line="29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7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intends to rely solely on its contract manufacturing arrangements with its partners to manufacture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spacing w:after="0" w:line="51"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to date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spacing w:after="0" w:line="78"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Polestar’s vehicles to various international regulatory requirements where its vehicles are sold, or homologation;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Polestar’s customers in those jurisdictions, via partnerships or, if necessary, via development of its own charging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67" w:lineRule="exact"/>
        <w:rPr>
          <w:rFonts w:ascii="Times New Roman" w:cs="Times New Roman" w:eastAsia="Times New Roman" w:hAnsi="Times New Roman"/>
          <w:sz w:val="18"/>
          <w:szCs w:val="18"/>
          <w:color w:val="auto"/>
        </w:rPr>
      </w:pPr>
    </w:p>
    <w:p>
      <w:pPr>
        <w:jc w:val="both"/>
        <w:ind w:left="1080" w:right="4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interest rates, including risks related to any forward currency contracts, interest rate swaps or other hedging activities Polestar undertakes;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trade restrictions, tariffs and price or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labor laws, regulations and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(including the ongoing COVID-19 pandemic), war or events of terrorism;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international economies.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Polestar fails to successfully address these risks, its business, prospects, results of operations and financial condition could be materially harmed.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relies heavily on manufacturing facilities based in China for the manufacture of its vehicles, including facilities of the Volvo Cars, Geely and its other contract partners, as well as its own manufacturing facilities in China. Polestar intends to rely solely on arrangements with its contract manufacturers, including Volvo Cars and Geely, for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corruption, control of capital investment, reinvestment control of foreign exchange, control of intellectual property,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the first half of 2022 due to further outbreaks of COVID-19 has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Some of the governmental measures may benefit the overall Chinese economy, but may have a negative effect on Polestar. For example, Polestar’s financial condition and results of operations may be adversely affected by government control over capital investments or changes in tax regulations. Higher inflation could adversely affect Polestar’s results of operations and financial condition. Furthermore, certain operating costs and expenses, such as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Additionally, the legal system in China is not fully developed and there are inherent uncertainties that may affect the protection afforded to Polestar for its business and activities in China that are governed by the Chinese laws and regulations. Any administrative and court proceedings in China may be protracted, resulting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Accordingly, Polestar is not subject to the permissions requirements of the China Securities Regulatory Commission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w:t>
      </w:r>
    </w:p>
    <w:p>
      <w:pPr>
        <w:spacing w:after="0" w:line="287"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spacing w:after="0" w:line="67"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China has implemented new rules relating to data protection, and the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China’s Cyber Security Law requires companies to take certain organizational, technical and administrative measures and other necessary measures to ensure the security of their networks and data stored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July 10, 2021, the CAC published a revised draft of the Cybersecurity Review Measures, expanding the cybersecurity review to data processing operators in possession of personal information of over 1 million users if the operators intend to list their securities in a foreign country. On November 14, 2021, the CAC published the draft Network Data Security Management Regulation for public comments, which reiterates the requirement that data processors processing more than 1 million individuals’ information should apply for a cybersecurity review with the CAC, if the processors intend to list their securities in a foreign country.</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on August 20, 2021, the Standing Committee of China’s National People’s Congress passed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October 29, 2021, the CAC issued the draft Cross-border Data Transfer Security Assessment Measures for public comments, which require personal information processors who process more than 1 million individual’s personal information to apply and pass the security assessment organized by the CAC before any export of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Other than personal information, the Automobile Data Security Management Measures (for Trial Implementation) jointly issued by the National Development and Reform Commission, Ministry of Industry and Information Technology, Ministry of Public Security and Ministry of Transport on August 16, 2021 impose strict regulation on important data, which includes more than 100,000 individuals’ personal information. The Automobile Data Security Management Measures (for Trial Implementation) provide that important data should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be stored within the territory of China in accordance with the law, and if it is really necessary to export such data due to business needs, a security assessment organized by the CAC must be passed.</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 Factors—Risks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spacing w:after="0" w:line="29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Polestar and its subsidiaries in China are not classified as a “critical information infrastructure operators” or “network platform operators” under the Cybersecurity Review Measures, nor have Polestar and its subsidiaries received any notice from the CAC defining them as the foregoing operator, which would require Polestar or its subsidiaries to apply for a cybersecurity review with the CAC. See “Risk Factors—Risks Related to Polestar’s Business and Industry—Compliance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license,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spacing w:after="0" w:line="27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adversely affected by the complexity, uncertainties and changes in the regulations on internet-related business, automotive businesses and other business carried out by Polestar’s operating entities in China.</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spacing w:after="0" w:line="17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Polestar’s income,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spacing w:after="0" w:line="296"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invested and expects to continue to invest significantly in what it believes is state of the art tooling, machinery and other manufacturing equipment,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spacing w:after="0" w:line="26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Locations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offer attractive leasing and financing options for its current vehicle models and future vehicles, which would adversely affect consumer demand for its vehicles.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offers leasing and financing of its vehicles to potential customers through financing partners and currently has 18 agreements in place with such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Baidu, Nuro and Ghost.ai, have devoted significant time and resources to developing ADAS/AD technologies.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spacing w:after="0" w:line="29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 make use of lithium-ion battery cells, which have been observed to catch fire or vent smoke and flame.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Moreover, any failure of a competitor’s electric vehicle or energy storage product, as well as the mishandling of battery cells or a safety issue or fire or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spacing w:after="0" w:line="280"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75"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or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may influence the adoption of electric vehicles include:</w:t>
      </w:r>
    </w:p>
    <w:p>
      <w:pPr>
        <w:spacing w:after="0" w:line="131" w:lineRule="exact"/>
        <w:rPr>
          <w:sz w:val="20"/>
          <w:szCs w:val="20"/>
          <w:color w:val="auto"/>
        </w:rPr>
      </w:pPr>
    </w:p>
    <w:p>
      <w:pPr>
        <w:ind w:left="5540" w:right="4320" w:hanging="4884"/>
        <w:spacing w:after="0" w:line="454" w:lineRule="auto"/>
        <w:tabs>
          <w:tab w:leader="none" w:pos="10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 32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limited range over which electric vehicles may be driven on a single battery charge;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alternative fuel vehicles, including plug-in hybrid electric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availability of service for electric vehicles, especially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gasoline and electricity;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alternative forms of energy;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and the cost to charge an electric vehicle, especially in international markets, and related infrastructure costs and standardization;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electric vehicle or alternative fuel technology or improvements in the internal combustion engine may adversely affect the demand for Polestar’s vehicles.</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COVID-19 outbreak and the global response could continue to affect Polestar’s business and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ongoing COVID-19 pandemic poses risks to Polestar’s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is otherwise unable to continue its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94"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The spread of COVID-19 has also periodically disrupted the manufacturing operations of other vehicle manufacturers and their suppliers. Any such disruptions to Polestar or to its suppliers could result in delays and could negatively affect its production volume. Please also see “Business— Recent Developments” for more information on government mandated quarantines and lockdowns in China due to COVID-19, their impact on the production and timely delivery of critical components for Polestar vehicles by supplies and their impact on anticipated Polestar car volumes.</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pandemic has resulted in the imposition of travel bans and restrictions, quarantines, shelter-in-place and stay-at-home orders and business shutdowns. These measures pose numerous operational risks and logistical challenges to Polestar’s business. In addition, regional, national and international travel restrictions may result in adverse impacts to Polestar’s supply chain. Further, Polestar’s sales and marketing activities have been, and may in the future be, adversely affected due to the cancellation or reduction of in-person sales activities, meetings, events and conferences. The transition of Polestar’s personnel to a mostly remote workforce has also increased demand on its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Polestar’s manufacturing and sales and distribution plans and timelines.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COVID-19 pandemic has resulted in extreme volatility in the global financial markets, which could increase Polestar’s cost of capital or limit its ability to access financing when needed. Broader impacts of the pandemic also include inflationary pressure, which impacts the cost at which Polestar can manufacture vehicles.</w:t>
      </w:r>
    </w:p>
    <w:p>
      <w:pPr>
        <w:spacing w:after="0" w:line="176"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 severity, magnitude and duration of the COVID-19 pandemic and its economic and regulatory consequences are rapidly changing and uncertain. Accordingly, Polestar cannot predict the ultimate impact of the COVID-19 pandemic on its business, financial condition and results of operations.</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facilities or operations could be and have been adversely affected by events outside of its control, such as natural disasters, wars, health epidemics or pandemics or security incidents.</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to stop or delay production and shipment of its products. In addition, the ongoing COVID-19 pandemic has impacted economic markets, manufacturing operations, supply chains, employment and consumer behavior in nearly every geographic region and industry across the world, and Polestar has been, and may in the future be, adversely affected as a result. Please also see “Business—Recent Developments” for more information on government mandated quarantines and lockdowns in China due to COVID-19, their impact on the production and timely delivery of critical components for Polestar vehicles by supplies and their impact on anticipated Polestar car volumes. Furthermore, Polestar could be impacted by physical security incidents at its facilities, which could result in significant damage to such facilities that could require Polestar to delay or discontinue production of its vehicles. Polestar may incur significant expenses or delays relating to such events outside of its control, which could have a material adverse impact on its business, results of operations and financial condition.</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has, and is likely to continue to, generate uncertain geopolitical conditions, including sanctions that could adversely affect Polestar’s business prospects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our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we understand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our business and results of operations.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vehicle owners customize Polestar vehicles or change the charging infrastructure with aftermarket products, the vehicle may not operate properly, which may create negative publicity and could harm Polestar’s business.</w:t>
      </w:r>
    </w:p>
    <w:p>
      <w:pPr>
        <w:spacing w:after="0" w:line="51"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1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and Volvo Cars’ IT systems and any material disruption to its or Volvo Cars’ IT systems could have a material and adverse effect on Polestar.</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availability and effectiveness of Polestar’s services depend on the continued operation of its information technology and communications systems. Polestar relies on its and Volvo Cars’ IT systems, and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For more information on the data breach Volvo Cars announced on December 10, 2021 and that involved a Volvo Cars server that shared information relevant to Polestar, please see “Business—Related Party Agreements with Volvo Cars and Geely.”</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Polestar’s products, digital sales tools and systems could result in loss of confidence in Polestar and its products.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Polestar’s third-party service providers and vendors are and will be obliged to take steps to protect the security and integrity of Polestar’s and their information technology systems and Polestar’s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hackers may in the future attempt to gain unauthorized access to, modify, alter and use Polestar’s vehicles, products, digital sales tools and systems to (i) gain control of, (ii) change the functionality, user interface and performance characteristics of or (iii) gain access to data stored in or generated by, Polestar’s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uses. Polestar and its service providers’ systems have in the past and may in the future be affected by security incidents. Polestar’s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systems. Polestar’s and its service providers’ or vendors’ data centers could be subject to break-ins, sabotage and intentional acts of vandalism causing potential disruptions. Some of Polestar’s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Polestar is unable to protect its products, digital sales tools and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systems or data, as well as other factors that may result in the perception that its vehicles, systems or data are capable of being “hacked,” could negatively affect Polestar’s brand. In addition, some members of the U.S. federal government, including certain members of Congress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to comply with such regulations, which would impose additional costs and delays and could expose Polestar to potential liability to the extent its automotive cybersecurity systems and practices are inconsistent with such regulation.</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spacing w:after="0" w:line="294"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6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280"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Due to Polestar’s data collection practices, products, services and technologies, Polestar is subject to or affected by a number of federal, state, local and international laws and regulations, as well as contractual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Additionally, effective in most respects starting on January 1, 2023, the California Privacy Rights Act (“CPRA”)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July 10, 2021, the Cybersecurity Review Office (“CRO”) promulgated a draft Cybersecurity Review Measure (“Review Measure”). If the Review Measure enters into force with the current wording, it will require data processors in China who hold more than one million users’ personal information and plan to list on a stock exchange in a foreign country to apply for cybersecurity review. Polestar has not exceeded this threshold as of the date of this prospectus. However, under the proposed Review Measure, the CRO could also initiate cybersecurity review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certain situations, for example, if the CRO believes a network product or service, data processing activity or stock exchange listing activity outside of China impacts or might impact Chinese national security. Furthermore, the CRO promulgated another draft of Data Cross-border Security Assessment Measure (“Assessment Measure”) on October 29, 2021. As of the date of this prospectus, the Assessment Measure is subject to further comments from the public and has not come into force yet. If the Assessment Measure is adopted eventually with the proposed requirements, data processors in China who (i) transfer important data outside of China, (ii) process personal information of 1 million individuals or (iii) provide more than 100,000 individuals’ personal information or more than 10,000 individuals’ sensitive information outside of China would be required to submit a cross-border security assessment at provincial CRO for review. As of the date of this prospectus, no final proposal has been presented and Polestar has not been able to apply for a cybersecurity review. If the Review Measure would become effective and if Polestar would be subject to such review and be found to be non-compliant with applicable data protection laws, Polestar may face administrative fines up to CNY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 and financial position as well as on its possibilities to carry out business in China.</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local, state and federal action if they are found to be deceptive, unfair or misrepresentative of Polestar’s actual practices. Claims that Polestar has violated individuals’ privacy rights or failed to comply with data protection laws or applicable privacy notices could, even if Polestar is not found liable, be expensive and time-consuming to defend and could result in adverse publicity that could harm its business.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Employees and Human Resources</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6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will need to hire and train a significant number of employees to engage in full-scale operational and commercial operations, and Polestar’s business could be adversely affected by labor and union activities.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40% of Polestar’s workforce is covered by collective bargaining agreements in Austria, Finland, the Netherlands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spacing w:after="0" w:line="291"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Polestar’s employees and independent contractors during and before their employment with Polestar could expose Polestar to potentially significant legal liabilities, reputational harm and/or other damages to its business.</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codes of conduct for all of its employees and implemented policies relating to intellectual property, confidentiality and the protection of company assets, Polestar cannot assure you that its employees will always abide by these codes, policies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such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17" w:lineRule="exact"/>
        <w:rPr>
          <w:sz w:val="20"/>
          <w:szCs w:val="20"/>
          <w:color w:val="auto"/>
        </w:rPr>
      </w:pPr>
    </w:p>
    <w:p>
      <w:pPr>
        <w:ind w:left="120"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is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motor vehicles are subject to substantial regulation under international, federal, state and local laws. Polestar has incurred, and expects to continue to incur, significant costs in complying with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face regulatory limitations on its ability to sell vehicles directly, which require Polestar to implement alternative consumer approaches through dealers or importers.</w:t>
      </w:r>
    </w:p>
    <w:p>
      <w:pPr>
        <w:spacing w:after="0" w:line="5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Polestar has issued 5 recalls of its vehicles. These recalls were due to (i) the mal-production of seatbelts which could result in the early activation of the locking feature used to tightly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secure a child restraint system, (ii) the too high adjustment of headlamps which could result in excessive glare for oncoming traffic, (iii) a software error causing an internal reset in the Battery Energy Control Module, resulting in the control unit opening the high voltage connectors during driving (which caused two recalls) and (iv) a supplier design issue known as “tin whiskers,” which caused a short circuit inside the front and rear inverters.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spacing w:after="0" w:line="294" w:lineRule="exact"/>
        <w:rPr>
          <w:sz w:val="20"/>
          <w:szCs w:val="20"/>
          <w:color w:val="auto"/>
        </w:rPr>
      </w:pPr>
    </w:p>
    <w:p>
      <w:pPr>
        <w:ind w:left="1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spacing w:after="0" w:line="2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Furthermore, for example, Polestar Singapore failed to hold an annual general meeting for approving the audited report and the annual return for lodgment in Accounting and Corporate Regulatory Authority (“ACRA”) in Singapore and will be subject to enforcement actions by ACRA.</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product liability claims, which could harm its financial condition and liquidity if it is not able to successfully defend or insure against such claims.</w:t>
      </w:r>
    </w:p>
    <w:p>
      <w:pPr>
        <w:spacing w:after="0" w:line="5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Polestar may become subject to product liability claims, which could harm its business, prospects, results of operations and financial condition. The automotive industry experiences significant product liability claims,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 Factors—Risks Related to Polestar’s Business and Industry— 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may be exposed to delays, limitations and risks related to the environmental permits and other operating permits required to operate manufacturing facilities for its vehicles.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Operation of an automobile manufacturing facility requires land use and environmental permits and other operating permits from federal, state and local government entities. Polestar plans to expand its manufacturing capacities by entering into into additional agreements with its manufacturing partners over time to achieve a future target production capacity and will be required to apply for and secure various environmental, wastewater and land use permits and certificates of occupancy necessary for the commercial operation of such expanded and additional facilities and will also rely on its partners’ ability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and its manufacturing partners are and will be subject to various environmental, health and safety laws and regulations that could impose substantial costs on it and cause delays in expanding its production capabilities.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Polestar has limited experience complying with them. Moreover, Polestar and its manufacturing partners may be affected by future amendments to such laws or other new environmental, health and safety laws and regulations which may require it to change its operations,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comply with environmental laws and regulations can be significant, and violations could result in litigation and substantial fines and penalties, third-party damages, suspension of production or a cessation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planning to introduce ADAS/AD technology, which is subject to uncertain and evolving regulations.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p>
    <w:p>
      <w:pPr>
        <w:spacing w:after="0" w:line="29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Similarly, the Bribery Act also requires companies to implement “adequate procedures” designed to ensure compliance with the provisions of the Bribery Act. A violation of these laws or regulations could adversely affect Polestar’s business, reputation, financial condition and results of operations.</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elimination or the conditionality of certain government and economic programs could have a material and adverse effect on Polestar’s business, prospects, financial condition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if government regulations and economic programs have the effect of imposing electric vehicle production quotas on automobile manufacturers, the market for electric vehicles may become oversaturated. Further, any uncertainty or delay in collection of the government subsidies may also have an adverse impact on Polestar’s financial condition. Any of the foregoing could materially and adversely affect Polestar’s business, financial condition and results of operations.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Further, Polestar may not be able to obtain or agree on acceptable terms and conditions for all or a significant portion of the government grants, loans and other incentives for which it may apply. As a result, Polestar’s business and prospects may be adversely affected.</w:t>
      </w:r>
    </w:p>
    <w:p>
      <w:pPr>
        <w:spacing w:after="0" w:line="26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spacing w:after="0" w:line="8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Act prescribes increased disclosure requirements for these issuers and, beginning in 2025, the delisting from U.S. national securities exchanges such as Nasdaq of issuers included on the SEC’s list for three consecutive years. It is unclear if this proposed legislation will be enacted. Furthermore, on May 20, 2020, the U.S. Senate passed the Holding Foreign Companies Accountable Act (the “HFCA Act”),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On March 24, 2021, the SEC adopted interim final rules relating to the implementation of certain disclosure and documentation requirements of the HFCA Act. The Company will be required to comply with these rules if the SEC identifies it as having a “non-inspection” year (as defined in the interim final rules) under a process to be subsequently established by the SEC. The SEC is assessing how to implement other requirements of the HFCA Act, including listing and trading prohibition requirements. Under the HFCA Act, the Company’s securities may be prohibited from trading on Nasdaq or other U.S. stock exchanges if its auditor is not inspected by the PCAOB for three consecutive years, and this ultimately could result in the Company’s securities being delisted.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8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fail to adequately obtain, maintain, enforce and protect its intellectual property and licensing rights, and may not be able to prevent third parties from unauthorized use of its intellectual property and proprietary technology. If Polestar is unsuccessful in any of the foregoing, its competitive position could be harmed and it could be required to incur significant expenses to enforce its rights.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technology or products or seeking court declarations that they do not infringe, misappropriate or otherwise violate Polestar’s intellectual property. Failure to adequately obtain, maintain, enforce and protect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spacing w:after="0" w:line="14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measures Polestar takes to obtain, maintain, protect and enforce its intellectual property, including preventing unauthorized use by third parties, may not be effective for various reasons, including the following:</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 Polestar files may not result in the issuance of a patent;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the first inventor of the subject matter to which it has filed a particular patent application, and/or it may not be the first party to file such a patent application;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Polestar’s issued patents may not be sufficient to protect its inventions and proprietary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issued patents may be challenged by its competitors or other third parties and invalidated by courts or other tribunals;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have a finite term, and competitors and other third parties may offer identical or similar products after the expiration of Polestar’s patents that cover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employees, contractors or business partners may breach their confidentiality, non-disclosure and non-use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independently develop technologies that are the same or similar to Polestar’s;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or other intellectual property rights, or confidentiality and invention assignment agreements may make enforcement impracticable;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circumvent or otherwise design around Polestar’s patents or other intellectual property.</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intellectual property may not be as strong or as predictably obtained or enforced outside of the United States or Sweden. Further, policing the unauthorized use of Polestar’s intellectual property in some jurisdictions may be difficult or too expensive to be practical. In addition, third parties may seek to challenge, invalidate or circumvent Polestar’s patents, trademarks, copyrights, trade secrets or other intellectual property, or applications for any of the foregoing, which could permit Polestar’s competitors or other third parties to develop and commercialize products and technologies that are the same or similar to Polestar’s.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intellectual property is difficult and costly, as are the steps Polestar has taken or will take to prevent misappropriation.</w:t>
      </w:r>
    </w:p>
    <w:p>
      <w:pPr>
        <w:spacing w:after="0" w:line="158"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prevent the unauthorized use of Polestar’s intellectual property, it may be necessary to prosecute actions for infringement, misappropriation or other violation of Polestar’s intellectual property against third parties. Any such action could result in significant costs and diversion of Polestar’s resources and management’s attention, and there can be no assurances that Polestar will be successful in any such action, and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its intellectual property. Any of the foregoing could adversely affect Polestar’s business, prospects, financial condition and results of operations.</w:t>
      </w:r>
    </w:p>
    <w:p>
      <w:pPr>
        <w:spacing w:after="0" w:line="293"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spacing w:after="0" w:line="19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use of certain open source software can lead to greater risks than use of other parties’ commercial software, as open source licensors generally do not provide warranties or controls on the origin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 in the application of existing tax laws to Polestar or Polestar’s customers may adversely impact its profitability and business.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operates and is subject to income and other taxes in Sweden, China,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ADSs or the underlying Company securities may be subject to stamp duty or stamp duty reserve tax in the U.K., which would increase the cost of dealing in the Company’s securities.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We are not aware of any such election having been made.</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Any stamp duty or SDRT payable on a transfer of the underlying Company securities to a depository or a clearance system will in practice generally be paid by the transferors or participants in the depository or a clearance system.</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spacing w:after="0" w:line="180"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classified as a passive foreign investment company for U.S. federal income tax purposes, which could result in adverse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 of ADSs.</w:t>
      </w:r>
    </w:p>
    <w:p>
      <w:pPr>
        <w:spacing w:after="0" w:line="9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the Company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the Business Combination, the IRS may not agree that the Company is a foreign corporation for U.S. federal tax purposes.</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exceeds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will be finally determined after completion of the Business Combination, by which time there could be adverse changes to the relevant facts and circumstances or adverse rule changes. In addition, the rules for determining ownership under Section 7874 are complex and unclear. For additional discussion of the U.S. federal income tax treatment of the Company, see “Taxation—Material U.S. Federal Income Tax Considerations.”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Financing and Strategic Transactions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will require additional capital to support business growth, and this capital might not be available on commercially reasonable terms, or at all.</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before 2024,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 may not be able to obtain additional financing on terms favorable to it, if at all. Polestar’s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its business model. These factors may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financial results may vary significantly from period to period due to fluctuations in its operating costs, product demand and other factors.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Polestar’s Securities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the ADSs may decline.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there has not been a public market for Polestar’s securities. An active trading market for the ADSs may never develop or, if developed, it may not be sustained. You may be unable to sell your ADSs unless a market can be established and sustained. Fluctuations in the price of the ADSs could contribute to the loss of all or part of your investment. The valuation ascribed to Polestar in the Business Combination may not be indicative of the price of Polestar that will prevail in the trading market.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for the shares of GGI Class A Common Stock that were converted into the ADSs and in the Business Combination. In such circumstances, the trading price of the ADSs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ADSs may include:</w:t>
      </w:r>
    </w:p>
    <w:p>
      <w:pPr>
        <w:spacing w:after="0" w:line="131" w:lineRule="exact"/>
        <w:rPr>
          <w:sz w:val="20"/>
          <w:szCs w:val="20"/>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Polestar’s periodic financial results or the periodic financial results of companies perceived to be similar to Polestar;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Polestar’s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Polestar’s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Polestar or the market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market new and enhanced features or services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Polestar’s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Polestar’s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ADSs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ADSs by Polestar’s directors, officers or significant stockholders or the perception that such sales could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health epidemics and pandemics (including the ongoing COVID-19 pandemic), inflation, changes in diplomatic and trade relationships and acts of war or terrorism.</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ADSs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w:t>
      </w:r>
    </w:p>
    <w:p>
      <w:pPr>
        <w:spacing w:after="0" w:line="5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Substantial sales of the Company securities or ADSs or the perception that these sales may occur in the future could cause a reduction in the market price of the ADSs. Sales of a substantial number of securities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including the Resale Securities being offered pursuant to this prospectus consisting of up to (a) 2,228,977,574 Class A ADSs and (b) 9,000,000 Class C-2 ADSs, in the public market could occur at any time.</w:t>
      </w:r>
    </w:p>
    <w:p>
      <w:pPr>
        <w:spacing w:after="0" w:line="16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Sales of a substantial number of securities of the Company, including the Resale Securities being offered pursuant to this prospectus, in the public market or the perception that these sales might occur, could depress the market price of our securities and could impair our ability to raise capital through the sale of additional equity securities. Sales of a substantial number of our securities upon any future waivers or expiration</w:t>
      </w:r>
    </w:p>
    <w:p>
      <w:pPr>
        <w:spacing w:after="0" w:line="1"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7"/>
          <w:szCs w:val="17"/>
          <w:color w:val="auto"/>
        </w:rPr>
        <w:t>of lock-up agreements entered into by our shareholders, or the perception that such sales may occur, could have a material and adverse effect on the trading price of our securities. The frequency of such sales could cause the market price of our securities to decline or increase the volatility in the market price of our securities. For example, certain lock-up restrictions entered into in connection with the Business Combination will expire in six months following closing of the Business Combination.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 Business Combination Agreement, in respect of their GGI Class F Common Stock, which restrictions will expire, and therefore additional Company securities and AD securities are eligible for resale, 180 days after the Closing.</w:t>
      </w:r>
    </w:p>
    <w:p>
      <w:pPr>
        <w:spacing w:after="0" w:line="177"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Upon expiration or waiver of the applicable lock-up periods, and upon effectiveness of the registration statement the Company plans to file pursuant to the Registration Rights Agreement and the Subscription Agreements, or upon satisfaction of the requirements of Rule 144 under the Securities Act,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the likelihood that holders of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at the date of this prospectus, we believe holders of Class C ADSs will be unlikely to exercise their Class C ADSs.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grant and future exercise of registration rights may adversely affect the market price of the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Additionally, pursuant to the Subscription Agreements and Registration Rights Agreement, Polestar must file a registration statement within 30 days after the consummation of the Business Combination registering up to approximately 2,212 million Class A ADSs held by the PIPE Investors and Class A ADSs held by the Registration Rights Holders.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C ADSs will be exercisable for the Class A ADSs, which would increase the number of shares eligible for future resale in the public market and result in dilution to its shareholders.</w:t>
      </w:r>
    </w:p>
    <w:p>
      <w:pPr>
        <w:spacing w:after="0" w:line="5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GGI issued GGI Public Warrants to purchase 16,000,000 shares of GGI Class A Common Stock as part of the GGI initial public offering, consummated on March 25, 2021, and, on the closing date of the GGI initial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public offering, GGI issued Private Placement Warrants to the GGI Sponsor to purchase 9,000,000 shares of GGI Class A Common Stock, in each case at $11.50 per share. The GGI Private Placement Warrants are identical to the GGI Public Warrants sold as part of the GGI public units (consisting of one share of GGI Class A Common Stock and one-fifth of one GGI Public Warrant) except that, so long as they are held by the GGI Sponsor or its permitted transferees: (i) they will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are exercisable on the later of 30 days after the consummation of the Business Combination.</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Assocation” and “Description of American Depositary Shares.” The Class A ADSs issued upon exercise of the Class C ADSs will result in dilution to then existing Company shareholders and increase the number of shares eligible for resale in the public market. Sales of substantial numbers of such shares in the public market could adversely affect the market price of Class A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Class C ADSs will be in the money at the time they become exercisable, and they may expire worthless.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exercise price for the Class C ADSs is $11.50 per Class C ADS (excluding any fees due to the depository in connection with the conversion of the Class C ADSs and the issuance of the Class A ADSs). There is no guarantee that the Class C ADS will be in the money following the time they become exercisable and prior to their expiration, and as such, the Class C ADSs may expire worthless.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color w:val="auto"/>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redeem unexpired Class C-1 ADSs prior to their exercise at a time that is disadvantageous to holders, thereby making their Class C-1 ADSs worthless.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Polestar may redeem Class C-1 ADSs after they become exercisable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above $10.00; however, trading prior to the Class C ADSs becoming exercisable is not relevant to the Company’s ability to redeem the Class C-1 ADSs.</w:t>
      </w:r>
    </w:p>
    <w:p>
      <w:pPr>
        <w:spacing w:after="0" w:line="18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issue additional equity securities or convertible debt securities without the approval of the holders of the ADSs, which would dilute ownership interests and may depress the market price of the ADSs.</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Polestar’s issuance of additional equity securities or convertible debt securities of equal or senior rank may have the following effects:</w:t>
      </w:r>
    </w:p>
    <w:p>
      <w:pPr>
        <w:spacing w:after="0" w:line="27" w:lineRule="exact"/>
        <w:rPr>
          <w:sz w:val="20"/>
          <w:szCs w:val="20"/>
          <w:color w:val="auto"/>
        </w:rPr>
      </w:pPr>
    </w:p>
    <w:p>
      <w:pPr>
        <w:ind w:left="120" w:right="60" w:hanging="4"/>
        <w:spacing w:after="0" w:line="255"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spacing w:after="0" w:line="186"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Furthermore, it is anticipated that employees of Polestar and its subsidiaries will be granted equity awards under the Equity Plan and the Employee Stock Purchase Plan (each as defined below). Holders of ADSs will experience additional dilution when those equity awards become vested and settled or exercised, as applicable, for Company securities. See “Compensation—Compensation Arrangements after the Business Combination.”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ADSs may be volatile and could decline significantly.</w:t>
      </w:r>
    </w:p>
    <w:p>
      <w:pPr>
        <w:spacing w:after="0" w:line="121" w:lineRule="exact"/>
        <w:rPr>
          <w:sz w:val="20"/>
          <w:szCs w:val="20"/>
          <w:color w:val="auto"/>
        </w:rPr>
      </w:pPr>
    </w:p>
    <w:p>
      <w:pPr>
        <w:jc w:val="both"/>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stock markets, including Nasdaq, on which Polestar has listed the Class A ADSs and the Class C-1 ADSs under the symbols “PSNY” and “PSNYW,” respectively, have from time to time experienced significant price and volume fluctuations. Even if an active, liquid and orderly trading market develops and is sustained for the ADSs,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market price of the ADSs as of the date of the consummation of the Business Combination. Polestar cannot assure you that the market price of the ADSs will not fluctuate widely or decline significantly in the future in response to a number of factors, including, among others, the following: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Polestar’s estimates, or in the estimates of analysts, for Polestar’s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Company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(including the ongoing COVID-19 pandemic), natural disasters, war, acts of terrorism or responses to these events.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not continue to list the Class A ADSs and Class C-1 ADSs, which could limit investors’ ability to make transactions in the Company’s securities and subject the Company to additional trading restrictions.</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Class A ADSs and Class C-1 ADSs are currently listed on Nasdaq. 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Company’s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ADSs are a “penny stock” which will require brokers trading in the Class A ADSs to adhere to more stringent rules and possibly result in a reduced level of trading activity in the secondary market for the Company’s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Despite such a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$10.09 as of July 8, 2022, upon the sale of our Class A ADSs, (a) Parent may experience a potential profit of up to $0.09 per Class A ADS, (b) GGI Sponsor, the PIPE Investors and Snita may experience a potential profit of up to $1.48 per Subscription Share, (c) the GGI Sponsor may experience a potential profit of approximately $10.09 per Class A ADS issued to the GGI Sponsor upon conversion of the shares of GGI Class F Common Stock, (d) Snita may experience a potential profit of up to $0.09 per Class A ADS issued to Snita upon conversion of the Volvo Cars Preference Subscription Shares, (e) the marketing consulting service provider may experience a potential profit of up to $0.09 per Class A ADS, and (f) Parent Convertible Note Holders may experience a potential profit of up to $1.91 per Class A ADS. Based on the closing price of our Class C-1 ADSs of $2.22 as of July 8, 2022, upon the sale of the Class C-2 ADSs, the GGI Sponsor may experience a potential profit of up to $0.22 per Class C-2 ADS.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Resale Securities represent a substantial percentage of the total outstanding Class A ADSs as of the date of this prospectus. The outstanding Class A ADSs being offered in this prospectus represent approximately 438.2% of our outstanding Class A ADSs, assuming the Earn Out Shares issuable pursuant to the Business Combination Agreement are not outstanding, or approximately 472.0% assuming they are outstanding. Additionally, if all the Class C ADSs are exercised and all Class A ADSs are issued to a service provider in exchange for the performance of marketing consulting services, the Selling Securityholders would own an additional 25,499,965 shares of Class A ADSs, representing an additional 5.5% of the total outstanding Class 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ADSs. The sale of all the securities being offered in this prospectus, or the perception that these sales could occur, could result in a significant decline in the public trading price of our securities. The frequency of such sales could cause the market price of our securities to decline or increase the volatility in the market price of our securities. For example, certain lock-up restrictions entered into in connection with the Business Combination will expire in six months following closing of the Business Combination.</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issue up to an aggregate of 158,177,609 additional Class A ADSs to Parent or, after its liquidation, to certain Parent Shareholders if certain stock price hurdles are achieved over a five-year period from the 180th day following the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management team has limited experience managing a public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Polestar’s resources and distract its management, which could make it difficult to manage its business.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comply with various regulatory and reporting requirements, including those required by the SEC. Complying with these reporting and other regulatory requirements are time-consuming and will result in increased costs to Polestar and could have a negative effect on Polestar’s results of operations, financial condition or business.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Polestar is subject to the reporting requirements of the Exchange Act and the requirements of the Sarbanes-Oxley Act. These requirements may place a strain on Polestar’s systems and resources. The Exchange Act requires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significant resources, hire additional staff and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spacing w:after="0" w:line="19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maintaining an effective control environment and cannot assure you that there will not be material weaknesses or significant deficiencies in its internal controls in the future.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is a foreign private issuer within the meaning of the rules under the Exchange Act and, as such, it is exempt from certain provisions applicable to United States domestic public companies.</w:t>
      </w:r>
    </w:p>
    <w:p>
      <w:pPr>
        <w:spacing w:after="0" w:line="5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ind w:left="120" w:right="40" w:hanging="4"/>
        <w:spacing w:after="0" w:line="255" w:lineRule="auto"/>
        <w:tabs>
          <w:tab w:leader="none" w:pos="4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spacing w:after="0" w:line="293" w:lineRule="exact"/>
        <w:rPr>
          <w:sz w:val="20"/>
          <w:szCs w:val="20"/>
          <w:color w:val="auto"/>
        </w:rPr>
      </w:pPr>
    </w:p>
    <w:p>
      <w:pPr>
        <w:jc w:val="both"/>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Polestar is a foreign private issuer and intends to follow certain home country corporate governance practices, its shareholders may not have the same protections afforded to shareholders of companies that are subject to all of Nasdaq’s corporate governance requirements.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spacing w:after="0" w:line="81" w:lineRule="exact"/>
        <w:rPr>
          <w:sz w:val="20"/>
          <w:szCs w:val="20"/>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Further, by virtue of being a controlled company under Nasdaq listing rules, Polestar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lose its foreign private issuer status in the future, which could result in significant additional costs and expenses.</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2022. In the future, Polestar would lose its foreign private issuer status if</w:t>
      </w:r>
    </w:p>
    <w:p>
      <w:pPr>
        <w:spacing w:after="0" w:line="3" w:lineRule="exact"/>
        <w:rPr>
          <w:sz w:val="20"/>
          <w:szCs w:val="20"/>
          <w:color w:val="auto"/>
        </w:rPr>
      </w:pPr>
    </w:p>
    <w:p>
      <w:pPr>
        <w:ind w:left="120" w:right="20" w:hanging="4"/>
        <w:spacing w:after="0" w:line="253"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16 of the Exchange Act. In addition, it would lose its ability to rely upon exemptions from certain corporate governance requirements under the listing rules of Nasdaq. As an U.S. listed public company that is not a foreign private issuer, Polestar would incur significant additional legal, accounting and other expenses that it will not incur as a foreign private issuer.</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any issuance of Earn Out Shares and assuming no conversion of the Class C ADSs, Parent (of which 42.7% is owned by PSD Investment Limited and 48.8% is owned by Volvo Cars as of March 4, 2022) and its affiliates beneficially hold approximately 99.3% of the outstanding voting power of Polestar. As of March 4, 2022, Mr. Li Shufu controls PSD Investment Limited and owns approximately 91.1% of equity interests in Geely, which owns approximately 82.0% of equity interests in Volvo Cars. Therefore, Mr. Li Shufu, as a controlling equity interest holder in Geely, effectively controls Parent, and beneficially holds approximately 99.3% of the outstanding voting power of Polestar. In addition, under the terms of the Volvo Cars Preference Subscription Agreement, Snita, a wholly-owned subsidiary of Volvo Cars, purchased, substantially concurrently with the Closing, Preference Shares. As of the date hereof, all of the Preference Shares have converted into Class A ADSs, in accordance with, and subject to, the terms of the Preference Shares. As a result, Polestar is a “controlled company” within the meaning of Nasdaq rules, which permit a “controlled company” to elect not to comply with certain corporate governance requirements, including:</w:t>
      </w:r>
    </w:p>
    <w:p>
      <w:pPr>
        <w:spacing w:after="0" w:line="95" w:lineRule="exact"/>
        <w:rPr>
          <w:sz w:val="20"/>
          <w:szCs w:val="20"/>
          <w:color w:val="auto"/>
        </w:rPr>
      </w:pPr>
    </w:p>
    <w:p>
      <w:pPr>
        <w:ind w:left="1080" w:right="3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private company, Polestar has not been required to document and test its internal controls over financial reporting nor has management been required to certify the effectiveness of its internal controls and its auditors have not been required to opine on the effectiveness of its internal control over financial reporting.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it or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their attestation reports.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course of auditing the Polestar Automotive Holding Limited’s financial statements as of and for the years ended December 31, 2021 and 2020, the Polestar Automotive Holding Limited and its independent registered public accounting firm identified material weaknesses in the Polestar Automotive Holding Limited’s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the Polestar Automotive Holding Limited’s annual or interim financial statements will not be prevented or detected on a timely basis. As of December 31, 2020, the material weaknesses identified relate to Polestar failing to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Polestar 4 model.</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result, the Polestar Group is in the process of designing and implementing the following measures to strengthen its SEC financial reporting capabilities and its internal audit function:</w:t>
      </w:r>
    </w:p>
    <w:p>
      <w:pPr>
        <w:spacing w:after="0" w:line="67" w:lineRule="exact"/>
        <w:rPr>
          <w:sz w:val="20"/>
          <w:szCs w:val="20"/>
          <w:color w:val="auto"/>
        </w:rPr>
      </w:pPr>
    </w:p>
    <w:p>
      <w:pPr>
        <w:ind w:left="1080" w:right="2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hire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document, evaluate, remediate and test internal controls over financial reporting, including those that operate at a sufficient level of precision and frequency or that evidence the performance of the control; and</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Polestar Group cannot be certain that these measures will successfully remediate the material weakness or that other material weaknesses will not be discovered in the future. If the Polestar Group’s efforts are not successful or other material weaknesses or control deficiencies occur in the future, the Polestar Group may be unable to report its financial results accurately on a timely basis or help prevent fraud, which could cause its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as a U.S. public company is subject to the Sarbanes-Oxley Act.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after Polestar becomes a public company, its reporting obligations may place a significant strain on its management, operational and financial resources and systems for the foreseeable future. Polestar may be unable to timely complete its evaluation testing and any required remediation.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spacing w:after="0" w:line="29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dual-class voting structure may limit your ability to influence corporate matters and could discourage others from pursuing any change of control transactions that holders of the Company securities or ADSs may view as beneficial.</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Polestar’s authorized and issued ordinary shares are divided into Class A Shares and Class B Shares. Each Class A Share is entitled to one vote, while each Class B Share is entitled to 10 votes. Only the Class A ADSs, which represent an underlying Class A Share, are listed and traded on Nasdaq, and Polestar intends to maintain the dual-class voting structure.</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Parent and its affiliates hold all of the outstanding Class B Shares and have control of the voting power of all outstanding Class B Shares. As a result, without giving effect to any issuance of Earn Out Shares and assuming no conversion of the Class C ADSs, Parent and its affiliates control approximately 99.3% of the total voting power of all issued and outstanding Shares voting together as a single class, even though Parent only owns approximately 94.6% of outstanding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U.K. City Code on Takeovers and Mergers, or the Takeover Code, may apply to Polestar.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Polestar, the ADS trading prices and trading volumes could decline significantly.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spacing w:after="0" w:line="284"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spacing w:after="0" w:line="6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conducts a majority of its operations outside the United States through Polestar Sweden (which is a wholly-owned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spacing w:after="0" w:line="187"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Polestar will pay dividends in the foreseeable future.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Polestar will retain most, if not all, of its available funds and any future earnings to fund the development and growth of its business. As a result, it is not expected that Polestar will pay any cash dividends in the foreseeable future.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after the Business Combination or that the trading price of the ADSs will not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a holding company and will depend on the ability of its subsidiaries to pay dividends.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anticipates granting share-based incentives, which may result in increased share-based compensation expenses.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has adopted the Equity Plan and the Employee Stock Purchase Plan. Initially, the maximum number of Class A ADSs that may be issued under the Equity Plan is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Initially, the maximum number of Class A ADSs that may be issued under the Employee Stock Purchase Plan is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Polestar believes the granting of share-based compensation is of significant importance to its ability to attract and retain key employees, and as such, Polestar plans to grant share-based compensation and incur share-based compensation expenses. As a result, expenses associated with share-based compensation may increase, which may have an adverse effect on Polestar’s business and results of operations.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Specifically, Polestar anticipates implementing the following equity programs under the Equity Plan and the Employee Stock Purchase Plan in connection with the Business Combination: a Bonus Shares program and awards of restricted stock units (“RSUs”) and performance stock units (“PSUs”), each to be implemented under the Equity Plan, and a Share Purchase and Matching program, to be implemented under the Employee Stock Purchase Plan. These programs will become available to eligible Polestar employees following the Closing as permitted by, and subject to, applicable laws. All employees in the relevant jurisdictions will be eligible to participate in the Bonus Shares program, which provides for a one-time issuance of Class A ADSs in a value equal to 4% of the awardee’s base salary (net of applicable taxes), with Bonus Shares to be subject to transfer restrictions until the first anniversary of the Closing (or an earlier change in control). Grants of RSUs and PSUs will be made to certain employees of Polestar as selected by Polestar’s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 (ii) awards of 50% RSUs and 50% PSUs to be granted to other eligible Polestar employees, with such RSUs to vest solely based on continued service and such PSUs to vest based on achievement of certain Polestar performance metrics and continued service. Specifically, it is anticipated that the initial grant of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Polestar shareholders who hold Company securities directly. Holders of the AD securities are only be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to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w:t>
      </w:r>
    </w:p>
    <w:p>
      <w:pPr>
        <w:spacing w:after="0" w:line="30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Deposit Agreements for the AD securities, if any holders of AD securities do not vote their AD securities, the depositary will give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a discretionary proxy to vote the Company securities underlying such AD securities at shareholders’ meetings unless:</w:t>
      </w:r>
    </w:p>
    <w:p>
      <w:pPr>
        <w:spacing w:after="0" w:line="112"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failed to timely provide the depositary with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instructed the depositary that it does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spacing w:after="0" w:line="280"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spacing w:after="0" w:line="7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Polestar Articles provide that unless Polestar consents in writing to the selection of an alternative forum, the courts of England and Wales will, to the fullest extent permitted by law, be the sole and exclusive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forum for (i) any derivative action or proceeding brought on behalf of Polestar; (ii) any action, including any action commenced by a member of Polestar in its own name or on behalf of Polestar, asserting a claim of breach of any fiduciary or other duty owed by any director, officer or other employee of Polestar (including but not limited to duties arising under the Companies Act); (iii) any action arising out of or in connection with the Polestar Articles or otherwise in any way relating to the constitution or conduct of Polestar; or (iv) 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Shares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spacing w:after="0" w:line="29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Agreements, which could result in less favorable results to the plaintiff(s) in any such action.</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ADSs is entitled to charge holders fees for various services, including annual service fees.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“Risk Factors—Risks Related to Tax—Transfers of ADSs or the underlying Company securities may be subject to stamp duty or stamp duty reserve tax in the U.K., which would increase the cost of dealing in the Company’s securities.”</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ADS holders may not receive dividends or other distributions of the Shares and the holders thereof may not receive any value for them, if it is illegal or impractical to make them available to such holders.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experience dilution of their holdings due to their inability to participate in rights offerings.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 of their ADSs.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capitalization and indebtedness of the Company on an unaudited pro forma combined basis as of December 31, 2021, and should be read in conjunction with “Operating and Financial Review and Prospects,” “Unaudited Pro Forma Condensed Combined Financial Information” and the financial statements, and the notes and schedules related thereto, which are included at the end of this prospectus, and other financial information included in this prospectus or any prospectus supplement. Our historical results do not necessarily indicate our expected results for any future periods.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 (in TUSD)</w:t>
            </w: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3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0" w:type="dxa"/>
            <w:vAlign w:val="bottom"/>
          </w:tcPr>
          <w:p>
            <w:pPr>
              <w:spacing w:after="0"/>
              <w:rPr>
                <w:sz w:val="1"/>
                <w:szCs w:val="1"/>
                <w:color w:val="auto"/>
              </w:rPr>
            </w:pPr>
          </w:p>
        </w:tc>
      </w:tr>
      <w:tr>
        <w:trPr>
          <w:trHeight w:val="160"/>
        </w:trPr>
        <w:tc>
          <w:tcPr>
            <w:tcW w:w="4520" w:type="dxa"/>
            <w:vAlign w:val="bottom"/>
            <w:gridSpan w:val="3"/>
            <w:vMerge w:val="continue"/>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3"/>
                <w:szCs w:val="13"/>
                <w:color w:val="auto"/>
              </w:rPr>
            </w:pPr>
          </w:p>
        </w:tc>
        <w:tc>
          <w:tcPr>
            <w:tcW w:w="10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$ 1,552,413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Total Cash and cash equivalents and marketable securities</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757,935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$ 1,553,671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 and other financial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(642,338)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(66,575)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(10,283)</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(13,789)</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 Out Liability</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Borrowings and other financial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(732,985)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(2,018,336)</w:t>
            </w: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(the Company)</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(1,865,909)</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(35,231)</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(3,697,109)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1,761,860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2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(139,280)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(872,265)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$(2,195,966)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elsewhere in this prospectus and, if not defined in this prospectus, in Polestar’s Registration Statement on Form F-4 (File No. 333-260992) filed with the SEC on May 23, 2022.</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2021 combines the historical consolidated statement of financial position of Parent and the historical balance sheet of GGI on a pro forma basis as if the Business Combination had been consummated and the Warrant Amendment Proposal had been approved on December 31, 2021.</w:t>
      </w:r>
    </w:p>
    <w:p>
      <w:pPr>
        <w:spacing w:after="0" w:line="176"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statement of operations for the year ended December 31, 2021, combines the historical consolidated statement of operations of Parent and GGI for such periods on a pro forma basis as if the Business Combination and related transactions had been consummated and the Warrant Amendment Proposal had been approved on January 1, 2021, the beginning of the earliest period presented.</w:t>
      </w:r>
    </w:p>
    <w:p>
      <w:pPr>
        <w:spacing w:after="0" w:line="158"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Polestar will experience. Further, the unaudited pro forma condensed combined financial information may not be useful in predicting the future financial condition and results of operations of Polestar. The actual financial position and results of operations may differ significantly from the pro forma amounts reflected herein due to a variety of factors. The unaudited pro forma adjustments represent Polestar management’s estimates based on information available as of the date of the unaudited pro forma condensed combined financial information and is subject to differ materially from the information presented as additional information becomes available and analyses are performed. Polestar management believes that its assumptions and methodologies provide a reasonable basis for presenting all of the significant effects of the Business Combination based on information available to Polestar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information should be read together with the following:</w:t>
      </w:r>
    </w:p>
    <w:p>
      <w:pPr>
        <w:spacing w:after="0" w:line="131" w:lineRule="exact"/>
        <w:rPr>
          <w:sz w:val="20"/>
          <w:szCs w:val="20"/>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Limited’s audited financial statements and related notes as of December 2021 and 2020 and for the years ended December 31, 2021, 2020 and 2019;</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“Operating And Financial Review and Prospects”;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GGI’s audited financial statements and related notes as of December 31, 2021 and 2020 and for the year ended December 31, 2021 and for the period from December 21, 2020 (inception) through December 31, 2020;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“GGI’s Management’s Discussion and Analysis of Financial Condition and Results of Operations” as included in Polestar’s Registration Statement as filed with the SEC on Form F-4 (File No. 333-260992) on May 23, 2022 and other financial information included elsewhere in this 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September 27, 2021, GGI entered into the Business Combination Agreement with Parent, Polestar Singapore, Polestar Sweden, the Company and Merger Sub. Pursuant to the Business Combination Agreement and in connection therewith, among other things and subject to the terms and conditions contained therein:</w:t>
      </w:r>
    </w:p>
    <w:p>
      <w:pPr>
        <w:spacing w:after="0" w:line="81" w:lineRule="exact"/>
        <w:rPr>
          <w:sz w:val="20"/>
          <w:szCs w:val="20"/>
          <w:color w:val="auto"/>
        </w:rPr>
      </w:pPr>
    </w:p>
    <w:p>
      <w:pPr>
        <w:ind w:left="1080" w:right="5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prior to the Closing, Parent, the Company, Polestar Singapore, Polestar Sweden and their respective subsidiaries, completed the Pre-Closing Reorganization;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the Pre-Closing Reorganization, the Company issued to Parent Class A Shares and Class B Shares, such that, following the Pre-Closing Reorganization, Parent held an aggregate number of Shares equal to approximately (a) $20,003,000,000 divided by $10, less (b) (i) the aggregate principal amount due in respect the Parent Convertible Notes, divided by (ii) the applicable conversion price of such notes, less (c) 58,882,610, which represents the aggregate number of Preference Shares issued pursuant to the Volvo Cars Preference Subscription Agreement;</w:t>
      </w:r>
    </w:p>
    <w:p>
      <w:pPr>
        <w:spacing w:after="0" w:line="88"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Pre-Closing Reorganization at the Closing, Merger Sub merged with and into GGI in the Merger, pursuant to which the separate corporate existence of Merger Sub ceased and GGI became a wholly owned subsidiary of ListCo;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by virtue of the Merger:</w:t>
      </w:r>
    </w:p>
    <w:p>
      <w:pPr>
        <w:spacing w:after="0" w:line="130" w:lineRule="exact"/>
        <w:rPr>
          <w:rFonts w:ascii="Times New Roman" w:cs="Times New Roman" w:eastAsia="Times New Roman" w:hAnsi="Times New Roman"/>
          <w:sz w:val="18"/>
          <w:szCs w:val="18"/>
          <w:color w:val="auto"/>
        </w:rPr>
      </w:pPr>
    </w:p>
    <w:p>
      <w:pPr>
        <w:jc w:val="both"/>
        <w:ind w:left="1540" w:right="520" w:hanging="331"/>
        <w:spacing w:after="0" w:line="26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units of GGI that were outstanding immediately prior to the Effective Time held by GGI stockholders were automatically separated and the holder thereof was deemed to hold one share of GGI Class A Common Stock and one-fifth of a GGI Public Warrant, which underlying securities were converted as described below;</w:t>
      </w:r>
    </w:p>
    <w:p>
      <w:pPr>
        <w:spacing w:after="0" w:line="81"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GGI Class A Common Stock issued and outstanding immediately prior to the Effective Time, other than those held in treasury, were exchanged for one Class A ADS;</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GGI Class F Common Stock issued and outstanding immediately prior to the Effective Time, other than those held in treasury, were exchanged for one newly issued Class A ADS;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3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and Computershare entered into the Class C Warrant Amendment.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w:t>
      </w:r>
    </w:p>
    <w:p>
      <w:pPr>
        <w:spacing w:after="0" w:line="99"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the Polestar Articles, to provide for, among other things, that (i) the initial Board includes nine directors, each serving staggered three-year terms, (ii) for a period of three years following the Closing, a majority of the Board will be (a) independent under applicable stock exchange rules and (b) unaffiliated with the Volvo Cars or Geely and (iii)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of the directors (including at least two independent directors) must approve the appointment of any new independent director to fill the vacancy;</w:t>
      </w:r>
    </w:p>
    <w:p>
      <w:pPr>
        <w:spacing w:after="0" w:line="67" w:lineRule="exact"/>
        <w:rPr>
          <w:sz w:val="20"/>
          <w:szCs w:val="20"/>
          <w:color w:val="auto"/>
        </w:rPr>
      </w:pPr>
    </w:p>
    <w:p>
      <w:pPr>
        <w:ind w:left="1080" w:right="3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Parent Shareholders, the Company, the GGI Sponsor and the independent directors of GGI entered into the Registration Rights Agreement;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(but after the completion of the Pre-Closing Reorganization), the Company and Parent approved and adopted the Equity Plan and the Employee Stock Purchase Plan, which reserve 10,000,000 Class A ADSs and 2,000,000 Class A ADSs for issuance at Closing, respectively. Two kinds of programs will be adopted under the Equity Plan: “At Listing” (Exceptional) awards and “Post Listing” awards. The “At Listing” awards are a one-time issuance of restricted shares of Class A common stock in a value equal to a certain percentage of the awardee’s base salary. The “Post-Listing” award is an annual issuance of restricted shares and performance shares of Class A common stock equal to a certain percentage of the awardee’s base salary, depending on the awardee’s position at the Company, with a three-year vesting period. The grant date of these awards is after the 60 day quiet period has ended; and</w:t>
      </w:r>
    </w:p>
    <w:p>
      <w:pPr>
        <w:spacing w:after="0" w:line="94"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certain equity programs will be adopted for the Company: a Bonus Shares program and awards of RSUs and PSUs, each of which will be implemented under the Equity Plan, and a Share Purchase and Matching program, which will be implemented under the Employee Stock Purchase Plan. The Bonus Shares program is mandatory for all employees in the relevant jurisdictions and includes a one-time issuance of Class A ADSs in a value equal to 4% of the awardee’s base salary, subject to vesting. Grants of RSUs and PSUs will be made to certain employees of the Company as selected by the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 (ii) awards of 50% RSUs and 50% PSUs to be granted to other eligible Polestar employees, with such RSUs to vest solely based on continued service and such PSUs to vest based on achievement of certain Polestar performance metrics and continued service.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 Similar to the above, no awards will be granted until after the 60 day quiet period has ended.</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and in connection with the foregoing,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the Registration Rights Holders and their permitted transferees are entitled to registration rights in respect of certain Company securities and ADSs at the Closing;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Shareholder Acknowledgement Agreement, that Parent and the Parent Shareholders have undertaken that (i) the initial Board includes nine directors, a majority of whom will be independent directors, (ii) for a period of three years following the Closing, Parent and the Parent Shareholders will not vote in favor of the removal any independent directors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the Company’s directors. The GGI Sponsor will have third party beneficiary rights to enforce the aforementioned undertakings;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and Supporting Sponsor Stockholder Lock-Up Agreement, each GGI Initial Stockholder has, among other things, agreed to (i) vote their GGI Class F Common Stock in favor of the proposal to approve the Business Combination and any other proposals for the Stockholder Special Meeting,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transfer any Class A ADSs issued pursuant to the Business Combination Agreement during the period beginning on the date of Closing and ending 180 days following the date of the Closing, in each case subject to the terms and conditions set forth therein. In addition, the GGI Sponsor has agreed to the forfeiture of up to 1,540,835 shares of GGI Class F Common Stock;</w:t>
      </w:r>
    </w:p>
    <w:p>
      <w:pPr>
        <w:spacing w:after="0" w:line="9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85"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Initial PIPE Subscription Agreements, the Initial PIPE Investors purchased an aggregate of approximately 7.43 million Class A Shares in the form of Class A ADSs for a purchase price of $9.09 per share in a private placement, for an aggregate amount of approximately $67.5 million. In connection with the December PIPE Assignment, on December 17, 2021, GGI and the Company entered into the December PIPE Subscription Agreements to assign a portion of the GGI Sponsor and Snita commitments, as applicable, to purchase Class A ADSs to the December PIPE Investors, which include certain affiliates and employees of the GGI Sponsor. Pursuant to the December PIPE Subscription Agreements, the December PIPE Investors purchased 14.3 million Class A Shares in the form of Class A ADSs for an average price of approximately $9.54 per Class A ADS, reflecting an aggregate investment amount of approximately $136.0 million. In connection with the March PIPE Assignment on March 24, 2022, GGI and the Company entered into the March PIPE Subscription Agreements to assign a portion of the GGI Sponsor and Snita commitments, as applicable, to purchase Class A ADSs to the March PIPE Investors, which include certain affiliates and employees of the GGI Sponsor. Pursuant to the March PIPE Subscription Agreements, the March PIPE Investors purchased approximately 2.8 million Class A ADSs for an average price of approximately $9.57 per Class A ADSs, reflecting an aggregate investment of approximately $27.2 million. The December PIPE Subscription Agreements and March PIPE Subscription Agreements are substantially similar to the Initial PIPE Subscription Agreements, except with regard to purchase price. As a result of the December PIPE Assignment and the March PIPE Assignment, the PIPE Investors, which include certain affiliates and employees of the GGI Sponsor have subscribed for an aggregate investment of $230.7 million. Pursuant to the PIPE Subscription Agreements, the Company agreed to file with the SEC (at the Company’s sole cost and expense), within 30 calendar days after the date of Closing, the Resale Registration Statement registrering the resale of the PIPE Shares, and to use its commercially reasonable efforts to have the Resale Registration Statement declared effective as soon as practicable after the filing thereof;</w:t>
      </w:r>
    </w:p>
    <w:p>
      <w:pPr>
        <w:spacing w:after="0" w:line="97"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Subscription Agreement, the GGI Sponsor initially agreed to purchase an additional 9,075,908 Class A Shares in the form of Class A ADSs for a purchase price of $9.09 per share on the date of Closing,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97" w:lineRule="exact"/>
        <w:rPr>
          <w:sz w:val="20"/>
          <w:szCs w:val="20"/>
          <w:color w:val="auto"/>
        </w:rPr>
      </w:pPr>
    </w:p>
    <w:p>
      <w:pPr>
        <w:ind w:left="1080" w:right="20" w:hanging="424"/>
        <w:spacing w:after="0" w:line="253"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PIPE Subscription Agreement, Snita initially agreed to purchase an additional 10.0 million Class A Shares in the form of Class A ADS for a purchase price of $10.00 per share on the date of Closing, for an aggregate investment amount equal to approximately $100.0 million.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 $73.0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 to purchase price; and</w:t>
      </w:r>
    </w:p>
    <w:p>
      <w:pPr>
        <w:spacing w:after="0" w:line="92"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Snita purchased Preference Shares for an aggregate subscription price of $10 per share, for an aggregate investment amount equal to $588,826,100. The proceeds of such subscription will be used to satisfy certain accounts payable that are or will be due and payable by certain subsidiaries of Parent to Volvo Cars. The Preference Shares converted into Class A ADS at Closing, in accordance with, and subject to, the terms of the Preference Shares.</w:t>
      </w:r>
    </w:p>
    <w:p>
      <w:pPr>
        <w:spacing w:after="0" w:line="180"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As a result of the Business Combination, Polestar Automotive Holding Limited’s subsidiaries and GGI became direct wholly owned subsidiaries of the Company and each of the shareholders of Polestar Group and the GGI stockholders own all the issued and outstanding shares of the Company.</w:t>
      </w:r>
    </w:p>
    <w:p>
      <w:pPr>
        <w:spacing w:after="0" w:line="136"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on the Business Combination, please see the sections entitled “Certain Relationships and Related Party Transactions.”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accounted for as a capital restructuring in accordance with IFRS. Under this method of accounting, GGI is treated as the “acquired” company for financial reporting purposes, and Polestar Group is the accounting acquirer. This determination was based on evaluation of the following facts and circumstances:</w:t>
      </w:r>
    </w:p>
    <w:p>
      <w:pPr>
        <w:spacing w:after="0" w:line="81" w:lineRule="exact"/>
        <w:rPr>
          <w:sz w:val="20"/>
          <w:szCs w:val="20"/>
          <w:color w:val="auto"/>
        </w:rPr>
      </w:pPr>
    </w:p>
    <w:p>
      <w:pPr>
        <w:ind w:left="5540" w:right="172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Shareholders have the largest voting interest in the Company with approximately 99% of the voting interest; 78</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four members nominated by Parent, compared to only one nominated by the GGI Sponsor. Additionally, Parent has the ability to appoint the remaining members of the Board as deemed necessary;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senior management is the senior management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 operations substantially comprises the ongoing operations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 is the larger entity, in terms of substantive operations and employee base.</w:t>
      </w:r>
    </w:p>
    <w:p>
      <w:pPr>
        <w:spacing w:after="0" w:line="22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which is not within the scope of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GGI does not meet the definition of a “business,” is accounted for within the scope of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For accounting purposes, the transaction is treated as the equivalent of Parent issuing shares for the net assets of GGI, accompanied by a recapitalization. The net assets of GGI are stated at historical cost, with no goodwill or other intangible assets recorded. Any excess fair value of Shares issued over the fair value of GGI’s identifiable net assets acquired represents compensation for the service of a stock exchange listing for its shares and is expensed as incurred.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Pro Forma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GGI’s existing charter, GGI’s public shareholders were offered the opportunity to redeem, upon closing of the Business Combination, GGI Class A Common Stock held by them for cash equal to their pro rata share of the aggregate amount on deposit in the trust account of GGI that holds the proceeds from GGI’s initial public offering consummated on March 25, 2021 (the “Trust Account”). The unaudited pro forma condensed combined financial information reflects the actual redemption of 16,265,203 shares of GGI Class A Common Stock into cash at a price of $10.00 per share.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number of Shares outstanding upon closing of the transaction:</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4600" w:type="dxa"/>
            <w:vAlign w:val="bottom"/>
            <w:vMerge w:val="restart"/>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Ownership in</w:t>
            </w:r>
          </w:p>
        </w:tc>
        <w:tc>
          <w:tcPr>
            <w:tcW w:w="166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Equity %</w:t>
            </w:r>
          </w:p>
        </w:tc>
        <w:tc>
          <w:tcPr>
            <w:tcW w:w="108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0" w:type="dxa"/>
            <w:vAlign w:val="bottom"/>
          </w:tcPr>
          <w:p>
            <w:pPr>
              <w:spacing w:after="0"/>
              <w:rPr>
                <w:sz w:val="1"/>
                <w:szCs w:val="1"/>
                <w:color w:val="auto"/>
              </w:rPr>
            </w:pPr>
          </w:p>
        </w:tc>
      </w:tr>
      <w:tr>
        <w:trPr>
          <w:trHeight w:val="165"/>
        </w:trPr>
        <w:tc>
          <w:tcPr>
            <w:tcW w:w="840" w:type="dxa"/>
            <w:vAlign w:val="bottom"/>
            <w:tcBorders>
              <w:bottom w:val="single" w:sz="8" w:color="auto"/>
            </w:tcBorders>
            <w:vMerge w:val="continue"/>
          </w:tcPr>
          <w:p>
            <w:pPr>
              <w:spacing w:after="0"/>
              <w:rPr>
                <w:sz w:val="13"/>
                <w:szCs w:val="13"/>
                <w:color w:val="auto"/>
              </w:rPr>
            </w:pPr>
          </w:p>
        </w:tc>
        <w:tc>
          <w:tcPr>
            <w:tcW w:w="4600" w:type="dxa"/>
            <w:vAlign w:val="bottom"/>
            <w:vMerge w:val="continue"/>
          </w:tcPr>
          <w:p>
            <w:pPr>
              <w:spacing w:after="0"/>
              <w:rPr>
                <w:sz w:val="13"/>
                <w:szCs w:val="13"/>
                <w:color w:val="auto"/>
              </w:rPr>
            </w:pPr>
          </w:p>
        </w:tc>
        <w:tc>
          <w:tcPr>
            <w:tcW w:w="108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3"/>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Public Stockholders</w:t>
            </w:r>
          </w:p>
        </w:tc>
        <w:tc>
          <w:tcPr>
            <w:tcW w:w="10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63,734,797</w:t>
            </w:r>
          </w:p>
        </w:tc>
        <w:tc>
          <w:tcPr>
            <w:tcW w:w="6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8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8"/>
        </w:trPr>
        <w:tc>
          <w:tcPr>
            <w:tcW w:w="5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GGI Initial Stockholders, including Sponsor Subscription Shares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Founder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18,459,165</w:t>
            </w:r>
          </w:p>
        </w:tc>
        <w:tc>
          <w:tcPr>
            <w:tcW w:w="16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Convertible Note 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4,306,466</w:t>
            </w:r>
          </w:p>
        </w:tc>
        <w:tc>
          <w:tcPr>
            <w:tcW w:w="16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PIPE Investors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25,423,445</w:t>
            </w:r>
          </w:p>
        </w:tc>
        <w:tc>
          <w:tcPr>
            <w:tcW w:w="16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Shareholders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1,997,110,924</w:t>
            </w:r>
          </w:p>
        </w:tc>
        <w:tc>
          <w:tcPr>
            <w:tcW w:w="16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94.7%</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6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220" w:hanging="424"/>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calculation excludes 158,177,609 Earn Out Shares, 9,000,000 Class C Shares issued to GGI Private Placement warrant holders, 470,790 vested shares pursuant with the Equity Plan and Employee Stock Purchase Plan and 250,000 vested shares under a consulting services agreement.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5"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POSITION AS OF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20" w:type="dxa"/>
            <w:vAlign w:val="bottom"/>
            <w:gridSpan w:val="2"/>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520" w:type="dxa"/>
            <w:vAlign w:val="bottom"/>
            <w:vMerge w:val="restart"/>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12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3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120" w:type="dxa"/>
            <w:vAlign w:val="bottom"/>
            <w:gridSpan w:val="2"/>
          </w:tcPr>
          <w:p>
            <w:pPr>
              <w:jc w:val="center"/>
              <w:ind w:right="26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gridSpan w:val="2"/>
            <w:vMerge w:val="continue"/>
          </w:tcPr>
          <w:p>
            <w:pPr>
              <w:spacing w:after="0"/>
              <w:rPr>
                <w:sz w:val="15"/>
                <w:szCs w:val="15"/>
                <w:color w:val="auto"/>
              </w:rPr>
            </w:pPr>
          </w:p>
        </w:tc>
        <w:tc>
          <w:tcPr>
            <w:tcW w:w="9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1,368,356</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208,193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under operating lease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120,626</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3,850</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800,056</w:t>
            </w: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(800,056)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2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800,056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(800,056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756,677</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800,056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1,552,413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(83,867)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248,125</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(6,050)</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(162,831)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157,753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receivables—related parties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14,688</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income—related parties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545,743</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5,562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1,477</w:t>
            </w: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6,050</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(1,477)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120,202</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(28,847)</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91,355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1,780</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771,159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2,379,925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(28,897</w:t>
            </w: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(4,082,632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(Historical-GGI)</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(the Company)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(Historical-GGI)</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vMerge w:val="continue"/>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 (the Company)—Class A shares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(822)</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(589)</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(2,949)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94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144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Gores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8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4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(After</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0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18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FN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440" w:type="dxa"/>
            <w:vAlign w:val="bottom"/>
            <w:gridSpan w:val="2"/>
          </w:tcPr>
          <w:p>
            <w:pPr>
              <w:jc w:val="center"/>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180" w:type="dxa"/>
            <w:vAlign w:val="bottom"/>
            <w:gridSpan w:val="2"/>
          </w:tcPr>
          <w:p>
            <w:pPr>
              <w:jc w:val="center"/>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continue"/>
          </w:tcPr>
          <w:p>
            <w:pPr>
              <w:spacing w:after="0"/>
              <w:rPr>
                <w:sz w:val="15"/>
                <w:szCs w:val="15"/>
                <w:color w:val="auto"/>
              </w:rPr>
            </w:pPr>
          </w:p>
        </w:tc>
        <w:tc>
          <w:tcPr>
            <w:tcW w:w="1020" w:type="dxa"/>
            <w:vAlign w:val="bottom"/>
            <w:gridSpan w:val="2"/>
          </w:tcPr>
          <w:p>
            <w:pPr>
              <w:jc w:val="right"/>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 Capital (the Company)—Class A shares</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(16,422)</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F</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Share capital (the Company)—Class C-2 Stock</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H</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20,000,000 shares issued and outstanding at December 31, 2021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(Historical-GGI)</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14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16,784</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(1,865,909)</w:t>
            </w:r>
          </w:p>
        </w:tc>
        <w:tc>
          <w:tcPr>
            <w:tcW w:w="14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1,865,909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(637,163)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(3,697,109)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54,428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(247,860)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(358,855)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(588,237)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(1,846,538)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(35,188)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(34,560)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(3,136)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(35,231)</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35,231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1,761,860</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131,095</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3,540,569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488,745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(129,078)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1,477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3,136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1,285,351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(122,496</w:t>
            </w: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131,093</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(169,441</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(160,844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4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w w:val="99"/>
              </w:rPr>
              <w:t>Class A subject to possible redemption, 80,000,000 shares at December 31,</w:t>
            </w: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and 0 shares at December 31, 2020, respectively (at redemption</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 of $10 per share) (Historical-GGI)</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(28,922)</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(509)</w:t>
            </w:r>
          </w:p>
        </w:tc>
        <w:tc>
          <w:tcPr>
            <w:tcW w:w="14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(38,711)</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(11,764)</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800,000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interest-bearing liabilities—related parties</w:t>
            </w:r>
          </w:p>
        </w:tc>
        <w:tc>
          <w:tcPr>
            <w:tcW w:w="3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(66,575)</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(28,000)</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28,000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liability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(1,285,351)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K</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(1,285,351)</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(828,000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(457,351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(1,431,832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72"/>
        </w:trPr>
        <w:tc>
          <w:tcPr>
            <w:tcW w:w="3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81</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260" w:type="dxa"/>
            <w:vAlign w:val="bottom"/>
          </w:tcPr>
          <w:p>
            <w:pPr>
              <w:spacing w:after="0"/>
              <w:rPr>
                <w:sz w:val="13"/>
                <w:szCs w:val="13"/>
                <w:color w:val="auto"/>
              </w:rPr>
            </w:pPr>
          </w:p>
        </w:tc>
        <w:tc>
          <w:tcPr>
            <w:tcW w:w="1160" w:type="dxa"/>
            <w:vAlign w:val="bottom"/>
            <w:gridSpan w:val="3"/>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420" w:type="dxa"/>
            <w:vAlign w:val="bottom"/>
            <w:gridSpan w:val="4"/>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60" w:type="dxa"/>
            <w:vAlign w:val="bottom"/>
          </w:tcPr>
          <w:p>
            <w:pPr>
              <w:spacing w:after="0"/>
              <w:rPr>
                <w:sz w:val="12"/>
                <w:szCs w:val="12"/>
                <w:color w:val="auto"/>
              </w:rPr>
            </w:pPr>
          </w:p>
        </w:tc>
        <w:tc>
          <w:tcPr>
            <w:tcW w:w="1160" w:type="dxa"/>
            <w:vAlign w:val="bottom"/>
            <w:gridSpan w:val="3"/>
          </w:tcPr>
          <w:p>
            <w:pPr>
              <w:jc w:val="center"/>
              <w:ind w:right="49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11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20" w:type="dxa"/>
            <w:vAlign w:val="bottom"/>
            <w:gridSpan w:val="4"/>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 w:type="dxa"/>
            <w:vAlign w:val="bottom"/>
          </w:tcPr>
          <w:p>
            <w:pPr>
              <w:spacing w:after="0"/>
              <w:rPr>
                <w:sz w:val="12"/>
                <w:szCs w:val="12"/>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gridSpan w:val="5"/>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60" w:type="dxa"/>
            <w:vAlign w:val="bottom"/>
          </w:tcPr>
          <w:p>
            <w:pPr>
              <w:spacing w:after="0"/>
              <w:rPr>
                <w:sz w:val="15"/>
                <w:szCs w:val="15"/>
                <w:color w:val="auto"/>
              </w:rPr>
            </w:pPr>
          </w:p>
        </w:tc>
        <w:tc>
          <w:tcPr>
            <w:tcW w:w="1160" w:type="dxa"/>
            <w:vAlign w:val="bottom"/>
            <w:gridSpan w:val="3"/>
          </w:tcPr>
          <w:p>
            <w:pPr>
              <w:jc w:val="center"/>
              <w:ind w:right="49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0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(114,296)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24,131</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(90,165)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payables—related parties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(1,427,678)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588,826</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(838,852)</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expenses—related parties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(315,756)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provisions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(44,042)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(642,338)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(13,089)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(13,789)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liabilities—revenue related current</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(364,662)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(6,729)</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6,172</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 derivative liability (Historical-GGI)</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(61,440)</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61,440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Class C-1 Common Stock</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derivative liability (Historical-GGI)</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(34,560)</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34,560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0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655,689</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(2,489,957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(3,187,197</w:t>
            </w: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(932,929</w:t>
            </w: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198,338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(3,921,789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0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28,897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(4,082,632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9560" w:type="dxa"/>
            <w:vAlign w:val="bottom"/>
            <w:gridSpan w:val="15"/>
          </w:tcPr>
          <w:p>
            <w:pPr>
              <w:jc w:val="center"/>
              <w:ind w:left="1351"/>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COMBINED STATEMENT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80" w:type="dxa"/>
            <w:vAlign w:val="bottom"/>
            <w:gridSpan w:val="12"/>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9"/>
              </w:rPr>
              <w:t>OPERATIONS FOR THE YEAR ENDED DECEMBER 31, 2021</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60" w:type="dxa"/>
            <w:vAlign w:val="bottom"/>
          </w:tcPr>
          <w:p>
            <w:pPr>
              <w:spacing w:after="0"/>
              <w:rPr>
                <w:sz w:val="12"/>
                <w:szCs w:val="12"/>
                <w:color w:val="auto"/>
              </w:rPr>
            </w:pPr>
          </w:p>
        </w:tc>
        <w:tc>
          <w:tcPr>
            <w:tcW w:w="116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11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60" w:type="dxa"/>
            <w:vAlign w:val="bottom"/>
          </w:tcPr>
          <w:p>
            <w:pPr>
              <w:spacing w:after="0"/>
              <w:rPr>
                <w:sz w:val="15"/>
                <w:szCs w:val="15"/>
                <w:color w:val="auto"/>
              </w:rPr>
            </w:pPr>
          </w:p>
        </w:tc>
        <w:tc>
          <w:tcPr>
            <w:tcW w:w="1160" w:type="dxa"/>
            <w:vAlign w:val="bottom"/>
            <w:gridSpan w:val="3"/>
          </w:tcPr>
          <w:p>
            <w:pPr>
              <w:jc w:val="right"/>
              <w:ind w:right="270"/>
              <w:spacing w:after="0" w:line="160"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0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3"/>
            <w:vMerge w:val="continue"/>
          </w:tcPr>
          <w:p>
            <w:pPr>
              <w:spacing w:after="0"/>
              <w:rPr>
                <w:sz w:val="15"/>
                <w:szCs w:val="15"/>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56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1,337,181</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gridSpan w:val="2"/>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(1,336,321)</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(725,387)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(4,809)</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(3,727)</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(232,922)</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(232,922)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(8,215)</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(72,750)</w:t>
            </w: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82</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11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200" w:type="dxa"/>
            <w:vAlign w:val="bottom"/>
            <w:vMerge w:val="restart"/>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160" w:type="dxa"/>
            <w:vAlign w:val="bottom"/>
            <w:gridSpan w:val="2"/>
            <w:vMerge w:val="continue"/>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1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5"/>
                <w:szCs w:val="15"/>
                <w:color w:val="auto"/>
              </w:rPr>
            </w:pPr>
          </w:p>
        </w:tc>
        <w:tc>
          <w:tcPr>
            <w:tcW w:w="13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(832)</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Listing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(488,745)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(488,745)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and expenses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(48,053)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(48,053)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32,970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32,970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(45,249)</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(45,249)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income—interest income</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(1,007,118)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(81,941)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(499,408)</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(1,588,467)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(1,007,454</w:t>
            </w: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(81,941</w:t>
            </w: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(499,408</w:t>
            </w: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(1,588,803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Post-Combination Company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Shares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229,341,491</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basic and diluted shares outstanding of non—redeemable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81,151,581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2,109,755,587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(in U.S. dollars)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 TO UNAUDITED PRO FORMA CONDENSED COMBINED FINANCIAL INFORMATION</w:t>
      </w:r>
    </w:p>
    <w:p>
      <w:pPr>
        <w:spacing w:after="0" w:line="131"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2021 assumes that the Business Combination occurred on December 31, 2021. The unaudited pro forma condensed combined statement of operations for the year ended December 31, 2021 presents the pro forma effect to the Business Combination as if it had been completed on January 1, 2021. These periods are presented on the basis that Polestar Group is the accounting acquirer.</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accompanying notes, which are included elsewhere in this prospectus:</w:t>
      </w:r>
    </w:p>
    <w:p>
      <w:pPr>
        <w:spacing w:after="0" w:line="67" w:lineRule="exact"/>
        <w:rPr>
          <w:sz w:val="20"/>
          <w:szCs w:val="20"/>
          <w:color w:val="auto"/>
        </w:rPr>
      </w:pPr>
    </w:p>
    <w:p>
      <w:pPr>
        <w:ind w:left="1080" w:right="3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Limited’s audited financial statements and related notes as of December 2021 and 2020 and for the years ended December 31, 2021, 2020 and 2019.</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GGI as of December 31, 2021 and 2020 and for the year ended December 31, 2021 and for the period from December 21, 2020 (inception) through December 31, 2020.</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adjustments presented on the unaudited pro forma condensed combined financial information have been identified and presented to provide an understanding of the Company upon consummation of the Business Combination for illustrative purposes. The unaudited pro forma condensed combined financial information has been prepared in accordance with Article 11 of Regulation S-X as amended by the final rule, No. 33-10786. Release No. 33-10786 replaces the existing pro forma adjustment criteria and simplified requirements to depict the accounting for the transaction (“Transaction Accounting Adjustments”) and present the reasonably estimable synergies and other transaction effects that have occurred or are reasonably expected to occur (“Management’s Adjustments”). Polestar Group elected not to present Management’s Adjustments and is only presenting Transaction Accounting Adjustments in the following unaudited pro forma condensed combined financial information. The historical financial information has been adjusted to reflect the pro forma adjustments that are directly attributable to the Business Combination.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Polestar Group and GGI have not had any historical relationship prior to the Business Combination. Accordingly, no pro forma adjustments were required to eliminate activities between the companies.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adjustments presented in the unaudited pro forma condensed combined financial information have been identified and presented to provide relevant information necessary for an accurate understanding of the Company after giving effect to the Business Combination. Polestar Automotive Holding Limited’s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Polestar Automotive Holding Limited’s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Polestar Automotive Holding Limited believes that its assumptions and methodologies provide a reasonable basis for presenting all of the significant effects of the Business Combination based on information available to Polestar Automotive Holding Limited’s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excludes the impact of the 12-month single currency, green trade facility entered into on February 28, 2022 and related drawdown on March 24, 2022; as this event is unrelated to the Business Combination. See Note 25— Subsequent Events in Polestar Automotive Holding Limited’s audited financial statements and related notes as of December 2021 and 2020 and for the years ended December 31, 2021, 2020 and 2019.</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approval of the Class C Warrant Amendment. The Class C Warrant Amendment amended the SPAC Warrant Agreement where each GGI Public Warrant and GGI Private Placement Warrant was cancelled and extinguished and converted into the right to receive one Class C-1 ADS and one Class C-2 ADS, respectively. The Class C-1 and Class C-2 ADS represent one Class C-1 and C-2 Shares, respectively; and maintain effectively the same terms as the GGI Private Placement Warrants and the GGI Public Warrants, resulting in similar economic benefits to the holder. Refer to the section entitled “Certain Relationships and Related Party Transactions —Business Combination Related Agreements” for further details.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Polestar Automotive Holding Limited and GGI.</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based on the statutory rate in effect for the historical periods presented. Polestar Automotive Holding Limited’s management believes this unaudited pro forma condensed combined financial information to not be meaningful given the combined entity incurred significant losses during the historical period presented.</w:t>
      </w:r>
    </w:p>
    <w:p>
      <w:pPr>
        <w:spacing w:after="0" w:line="324"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Policy Adjustment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 to GGI U.S. GAAP to IFRS</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Polestar Automotive Holding Limited have been prepared in accordance with IFRS as issued by the IASB and in its presentation currency of the U.S. dollar. The historical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320" w:top="455"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financial statements of GGI have been prepared in accordance with U.S. GAAP in its presentation currency of the U.S. dollar. The unaudited pro forma condensed combined financial information reflects IFRS, the basis of accounting used by Polestar Automotive Holding Limited and what will be used by the registrant, the Company.</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adjustment required to convert GGI’s financial statements from U.S. GAAP to IFRS for purposes of the unaudited pro forma condensed combined financial information is presented in the table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GGI Balance Sheet as of December 31, 2021</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United States Dollars)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IFRS</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580" w:type="dxa"/>
            <w:vAlign w:val="bottom"/>
            <w:gridSpan w:val="2"/>
            <w:vMerge w:val="continue"/>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800,056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61,440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34,560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132,929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932,929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at December 31, 2021 (at redemption value of $10</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0 shares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2021 and December 31, 2020 respectively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(131,095)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(131,095)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(131,093)</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(131,093)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under US GAAP shares of GGI Class A Common Stock are classified as temporary equity because they are redeemable at the sole discretion of the shareholder. As GGI Public</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spacing w:after="0" w:line="312" w:lineRule="auto"/>
        <w:rPr>
          <w:sz w:val="20"/>
          <w:szCs w:val="20"/>
          <w:color w:val="auto"/>
        </w:rPr>
      </w:pPr>
      <w:r>
        <w:rPr>
          <w:rFonts w:ascii="Times New Roman" w:cs="Times New Roman" w:eastAsia="Times New Roman" w:hAnsi="Times New Roman"/>
          <w:sz w:val="17"/>
          <w:szCs w:val="17"/>
          <w:color w:val="auto"/>
        </w:rPr>
        <w:t>Stockholders have the right to require GGI to redeem the GGI Class A common stock and GGI has an irrevocable obligation to deliver cash or another financial instrument for such redemption, this is reclassified from temporary equity under U.S. GAAP to other liabilities under IFRS.</w:t>
      </w:r>
    </w:p>
    <w:p>
      <w:pPr>
        <w:spacing w:after="0" w:line="284" w:lineRule="exact"/>
        <w:rPr>
          <w:sz w:val="20"/>
          <w:szCs w:val="20"/>
          <w:color w:val="auto"/>
        </w:rPr>
      </w:pPr>
    </w:p>
    <w:p>
      <w:pPr>
        <w:ind w:left="560" w:right="1580" w:hanging="444"/>
        <w:spacing w:after="0" w:line="383" w:lineRule="auto"/>
        <w:tabs>
          <w:tab w:leader="none" w:pos="55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Adjustments to Unaudited Pro Forma Condensed Combined Statement of Financial Position as of December 31, 2021 </w:t>
      </w:r>
      <w:r>
        <w:rPr>
          <w:rFonts w:ascii="Times New Roman" w:cs="Times New Roman" w:eastAsia="Times New Roman" w:hAnsi="Times New Roman"/>
          <w:sz w:val="18"/>
          <w:szCs w:val="18"/>
          <w:color w:val="auto"/>
        </w:rPr>
        <w:t>The pro forma notes and adjustments are as follows:</w:t>
      </w:r>
    </w:p>
    <w:p>
      <w:pPr>
        <w:ind w:left="1080" w:right="480" w:hanging="5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To reflect the release of cash from marketable securities held in the Trust Account that becomes available upon consummation of the Business Combination.</w:t>
      </w:r>
    </w:p>
    <w:p>
      <w:pPr>
        <w:spacing w:after="0" w:line="60" w:lineRule="exact"/>
        <w:rPr>
          <w:rFonts w:ascii="Times New Roman" w:cs="Times New Roman" w:eastAsia="Times New Roman" w:hAnsi="Times New Roman"/>
          <w:sz w:val="18"/>
          <w:szCs w:val="18"/>
          <w:b w:val="1"/>
          <w:bCs w:val="1"/>
          <w:color w:val="auto"/>
        </w:rPr>
      </w:pPr>
    </w:p>
    <w:p>
      <w:pPr>
        <w:ind w:left="1080"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To reclassify other non-current provisions related to shares of GGI Class A Common Stock subject to redemption to permanent equity at the closing of the Business Combination. Further, the $162.8 million or 16,265,203 shares reflects the redemptions related to shares of GGI Class A Common Stock redeemed for cash by the GGI Public Stockholders at the closing of the Business Combination. This amount includes proportionate interest accumulated on the Trust Account.</w:t>
      </w:r>
    </w:p>
    <w:p>
      <w:pPr>
        <w:spacing w:after="0" w:line="82" w:lineRule="exact"/>
        <w:rPr>
          <w:sz w:val="20"/>
          <w:szCs w:val="20"/>
          <w:color w:val="auto"/>
        </w:rPr>
      </w:pPr>
    </w:p>
    <w:p>
      <w:pPr>
        <w:jc w:val="both"/>
        <w:ind w:left="108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the payment of an aggregate of $88.5 million transaction costs incurred by GGI and by Polestar Automotive Holding Limited of approximately $53.1 million and $35.4 million, respectively. Except where noted below, these costs consist of, advisory, banking, legal and accounting related transaction costs incurred as part of the Business Combination.</w:t>
      </w:r>
    </w:p>
    <w:p>
      <w:pPr>
        <w:spacing w:after="0" w:line="72" w:lineRule="exact"/>
        <w:rPr>
          <w:sz w:val="20"/>
          <w:szCs w:val="20"/>
          <w:color w:val="auto"/>
        </w:rPr>
      </w:pPr>
    </w:p>
    <w:p>
      <w:pPr>
        <w:ind w:left="1100" w:right="40"/>
        <w:spacing w:after="0" w:line="253" w:lineRule="auto"/>
        <w:rPr>
          <w:sz w:val="20"/>
          <w:szCs w:val="20"/>
          <w:color w:val="auto"/>
        </w:rPr>
      </w:pPr>
      <w:r>
        <w:rPr>
          <w:rFonts w:ascii="Times New Roman" w:cs="Times New Roman" w:eastAsia="Times New Roman" w:hAnsi="Times New Roman"/>
          <w:sz w:val="18"/>
          <w:szCs w:val="18"/>
          <w:color w:val="auto"/>
        </w:rPr>
        <w:t>For the GGI transaction costs, $28 million of these costs represent deferred underwriting fees from GGI’s initial public offering. Additionally, $6.2 million relates to estimated legal fees and fees related to proxy/prospectus related filings. These fees have been accrued for in the historical balance sheet as of December 31, 2021 and recorded in the historical statement of operations for the year ended December 31, 2021. They were settled at the Closing of the Business Combination. Of this $6.2 million recorded, $5.8 million are directly attributable to the transaction and reflected as an adjustment to accumulated deficit and additional paid-in capital as they were recorded in the historical statement of operations for the year ended December 31, 2021. This was off-set by a $3.8 million adjustment to accumulated deficit related to additional expenses settled at the Closing and are not directly attributable to the transaction. These expenses have not yet been recorded in the historical statement of operations for the year ended December 31, 2021. Of the remaining $20.9 million,</w:t>
      </w:r>
    </w:p>
    <w:p>
      <w:pPr>
        <w:spacing w:after="0" w:line="1" w:lineRule="exact"/>
        <w:rPr>
          <w:sz w:val="20"/>
          <w:szCs w:val="20"/>
          <w:color w:val="auto"/>
        </w:rPr>
      </w:pPr>
    </w:p>
    <w:p>
      <w:pPr>
        <w:ind w:left="1100" w:right="40"/>
        <w:spacing w:after="0" w:line="260" w:lineRule="auto"/>
        <w:rPr>
          <w:sz w:val="20"/>
          <w:szCs w:val="20"/>
          <w:color w:val="auto"/>
        </w:rPr>
      </w:pPr>
      <w:r>
        <w:rPr>
          <w:rFonts w:ascii="Times New Roman" w:cs="Times New Roman" w:eastAsia="Times New Roman" w:hAnsi="Times New Roman"/>
          <w:sz w:val="18"/>
          <w:szCs w:val="18"/>
          <w:color w:val="auto"/>
        </w:rPr>
        <w:t>$18.9 million consists of legal and other professional fees. These fees are related to the Business Combination and reflect an adjustment to additional paid-in capital. Lastly, there was $2 million that relates to a loan from the GGI Sponsor, that was paid at Closing.</w:t>
      </w:r>
    </w:p>
    <w:p>
      <w:pPr>
        <w:spacing w:after="0" w:line="73"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For Polestar Automotive Holding Limited’s transaction costs, $28.8 million of these costs have been recorded in the historical statement of financial position as of December 31, 2021. These fees primarily consist of legal and other professional advisory fees and are directly related to the Business Combination. Therefore, these fees reflect an adjustment to additional paid-in capital. The remaining $6.6 million relates to legal and other professional advisory fees that have been incurred and settled at the Closing. These fees have not yet been accrued for in the historical balance sheet as of December 31, 2021 or recorded in the historical statement of operations for the year ended December 31, 2021, as they have not yet been incurred. These fees are directly related to the Business Combination and as such, reflect an adjustment to additional paid-in capital.</w:t>
      </w:r>
    </w:p>
    <w:p>
      <w:pPr>
        <w:spacing w:after="0" w:line="90" w:lineRule="exact"/>
        <w:rPr>
          <w:sz w:val="20"/>
          <w:szCs w:val="20"/>
          <w:color w:val="auto"/>
        </w:rPr>
      </w:pPr>
    </w:p>
    <w:p>
      <w:pPr>
        <w:ind w:left="1080" w:right="6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proceeds of $248 million (net of fees) from the issuance and sale of 26,540,835 Post-Combination Company Class A Shares underlying the Class A ADSs to be purchased pursuant to the Subscription Agreements. The impact to accumulated deficit is related to the discounted Subscription Price of approximately $9.42 per Class A ADS offered to the investors of the Subscription Agreements.</w:t>
      </w:r>
    </w:p>
    <w:p>
      <w:pPr>
        <w:spacing w:after="0" w:line="81" w:lineRule="exact"/>
        <w:rPr>
          <w:sz w:val="20"/>
          <w:szCs w:val="20"/>
          <w:color w:val="auto"/>
        </w:rPr>
      </w:pPr>
    </w:p>
    <w:p>
      <w:pPr>
        <w:ind w:left="1080" w:right="5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eliminate the accumulated deficit of GGI of $131.1 million at the closing of the Business Combination, offset by the $2.6 million accumulated deficit adjustment discussed in Note C above.</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Additionally, this entry reflects the one for one exchange of 80,000,000 shares of GGI Class A Common Stock and 20,000,000 shares of GGI Class F Common Stock for Post-Combination Company Class A Shares, at the Closing as well as the forfeiture of 1,540,835 shares of GGI Class F Common Stock. In accordance with IFRS 2, the deemed costs of the shares issued by the Company in excess of the net assets of GGI, which primarily consists of cash and marketable securities held in the Trust Account and certain private warrants liabilities, are accounted for as share-based compensation and reflected as an adjustment to accumulated deficit of $488,745 million.</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share-based compensation is calculated as follows:</w:t>
            </w: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Fair value of Polestar</w:t>
            </w:r>
            <w:r>
              <w:rPr>
                <w:rFonts w:ascii="Times New Roman" w:cs="Times New Roman" w:eastAsia="Times New Roman" w:hAnsi="Times New Roman"/>
                <w:sz w:val="25"/>
                <w:szCs w:val="25"/>
                <w:color w:val="auto"/>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$ 22,399,110</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interest in the Company that will be issued to GGI stockholders,</w:t>
            </w: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GGI private placement warrants converted to Post-Combination</w:t>
            </w:r>
          </w:p>
        </w:tc>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8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Class C shares at Closing</w:t>
            </w:r>
            <w:r>
              <w:rPr>
                <w:rFonts w:ascii="Times New Roman" w:cs="Times New Roman" w:eastAsia="Times New Roman" w:hAnsi="Times New Roman"/>
                <w:sz w:val="26"/>
                <w:szCs w:val="26"/>
                <w:color w:val="auto"/>
                <w:vertAlign w:val="superscript"/>
              </w:rPr>
              <w:t>(2)</w:t>
            </w:r>
          </w:p>
        </w:tc>
        <w:tc>
          <w:tcPr>
            <w:tcW w:w="1340" w:type="dxa"/>
            <w:vAlign w:val="bottom"/>
            <w:vMerge w:val="continue"/>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Equity interest in the Company of Parent after the Closing</w:t>
            </w:r>
            <w:r>
              <w:rPr>
                <w:rFonts w:ascii="Times New Roman" w:cs="Times New Roman" w:eastAsia="Times New Roman" w:hAnsi="Times New Roman"/>
                <w:sz w:val="25"/>
                <w:szCs w:val="25"/>
                <w:color w:val="auto"/>
                <w:vertAlign w:val="superscript"/>
              </w:rPr>
              <w:t>(3)</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Deemed costs of shares issued by the Company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SPAC net assets</w:t>
            </w:r>
            <w:r>
              <w:rPr>
                <w:rFonts w:ascii="Times New Roman" w:cs="Times New Roman" w:eastAsia="Times New Roman" w:hAnsi="Times New Roman"/>
                <w:sz w:val="25"/>
                <w:szCs w:val="25"/>
                <w:color w:val="auto"/>
                <w:vertAlign w:val="superscript"/>
              </w:rPr>
              <w:t>(4)</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506,255</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Proceeds from the PIPE Investment, Sponsor Subscription Investment</w:t>
            </w: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58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and Subscription Investment</w:t>
            </w:r>
            <w:r>
              <w:rPr>
                <w:rFonts w:ascii="Times New Roman" w:cs="Times New Roman" w:eastAsia="Times New Roman" w:hAnsi="Times New Roman"/>
                <w:sz w:val="26"/>
                <w:szCs w:val="26"/>
                <w:color w:val="auto"/>
                <w:vertAlign w:val="superscript"/>
              </w:rPr>
              <w:t>(5)</w:t>
            </w:r>
          </w:p>
        </w:tc>
        <w:tc>
          <w:tcPr>
            <w:tcW w:w="13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488,745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93980</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540" w:right="20" w:hanging="439"/>
        <w:spacing w:after="0" w:line="261"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or fair value of Polestar was estimated based on the fair value of the OpCo issued shares by the Parent prior to the merger with GGI and the Company, less the adjustment in respect of Earn Out Shares (see note K below).</w:t>
      </w:r>
    </w:p>
    <w:p>
      <w:pPr>
        <w:ind w:left="1540" w:right="60" w:hanging="439"/>
        <w:spacing w:after="0" w:line="250"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equity interest in the Company derived from number of shares outstanding at the Closing, including the GGI Private Placement Warrants converted into the Class C shares at the Closing.</w:t>
      </w:r>
    </w:p>
    <w:p>
      <w:pPr>
        <w:ind w:left="1540" w:hanging="439"/>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equity interest Parent has in the Company after the Closing.</w:t>
      </w:r>
    </w:p>
    <w:p>
      <w:pPr>
        <w:spacing w:after="0" w:line="9" w:lineRule="exact"/>
        <w:rPr>
          <w:rFonts w:ascii="Times New Roman" w:cs="Times New Roman" w:eastAsia="Times New Roman" w:hAnsi="Times New Roman"/>
          <w:sz w:val="18"/>
          <w:szCs w:val="18"/>
          <w:color w:val="auto"/>
        </w:rPr>
      </w:pPr>
    </w:p>
    <w:p>
      <w:pPr>
        <w:ind w:left="1540" w:right="20" w:hanging="439"/>
        <w:spacing w:after="0" w:line="250"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net assets derived from unaudited financial statements as of and for year ended December 31, 2021. Net assets defined as assets less liabilities, excluding cash of $800 million, classified as non-current liabilities, as this was determined to be cash at the time of the Closing.</w:t>
      </w:r>
    </w:p>
    <w:p>
      <w:pPr>
        <w:spacing w:after="0" w:line="1" w:lineRule="exact"/>
        <w:rPr>
          <w:rFonts w:ascii="Times New Roman" w:cs="Times New Roman" w:eastAsia="Times New Roman" w:hAnsi="Times New Roman"/>
          <w:sz w:val="18"/>
          <w:szCs w:val="18"/>
          <w:color w:val="auto"/>
        </w:rPr>
      </w:pPr>
    </w:p>
    <w:p>
      <w:pPr>
        <w:ind w:left="1540" w:right="340" w:hanging="439"/>
        <w:spacing w:after="0" w:line="260"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 of net cash received from the PIPE Investment, Sponsor Subscription investment (see Note D above). This is included as part of the calculation as the Sponsor and third-party ownership interests are factored into the table above.</w:t>
      </w:r>
    </w:p>
    <w:p>
      <w:pPr>
        <w:spacing w:after="0" w:line="83" w:lineRule="exact"/>
        <w:rPr>
          <w:sz w:val="20"/>
          <w:szCs w:val="20"/>
          <w:color w:val="auto"/>
        </w:rPr>
      </w:pPr>
    </w:p>
    <w:p>
      <w:pPr>
        <w:ind w:left="1080" w:right="6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Parent contributing its shares of Polestar to the Company as part of the Pre-Closing Reorganization in exchange for 294,877,349 Class A Shares and 1,642,233,575 Class B Shares. Prior to the Pre-Closing Reorganization, the Parent Shareholders held 197,026,729 Class A ordinary shares of Parent and 35,377,866 Class B ordinary shares of Parent due to the conversion of certain Class A ordinary shares of Parent to Class B ordinary shares of Parent that occurred in July 2021.</w:t>
      </w:r>
    </w:p>
    <w:p>
      <w:pPr>
        <w:spacing w:after="0" w:line="85" w:lineRule="exact"/>
        <w:rPr>
          <w:sz w:val="20"/>
          <w:szCs w:val="20"/>
          <w:color w:val="auto"/>
        </w:rPr>
      </w:pPr>
    </w:p>
    <w:p>
      <w:pPr>
        <w:ind w:left="1080" w:right="40" w:hanging="539"/>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the issuance of Preference Shares to Volvo Cars in exchange for cash, which Polestar Automotive Holding Limited used to pay down outstanding payables owed to Volvo Cars. The cash proceeds will equal Polestar Automotive Holding Limited’s outstanding trade payable to Volvo Cars and its subsidiaries. Each Company Preference Share is convertible into Class A Shares at a conversion price of $10 per Class A Share from time to time following the Closing. In essence, this is a capital contribution from Volvo Cars. All of the Preference Shares were converted into Class A Shares at Closing. Refer to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Description of the Business Combination” section above, for further discussion.</w:t>
      </w:r>
    </w:p>
    <w:p>
      <w:pPr>
        <w:spacing w:after="0" w:line="93" w:lineRule="exact"/>
        <w:rPr>
          <w:sz w:val="20"/>
          <w:szCs w:val="20"/>
          <w:color w:val="auto"/>
        </w:rPr>
      </w:pPr>
    </w:p>
    <w:p>
      <w:pPr>
        <w:ind w:left="1080" w:right="66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the approval of the Warrant Amendment Proposal, the issuance of Class C-1 Shares and Class C-2 Shares in the form of Class C-1 ADSs and Class C-2 ADSs as a result of the conversion of</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 xml:space="preserve">GGI Public Warrants and GGI Private Placement Warrants, respectively. The Class C-1 Shares issued for the GGI Public Warrants remain classified as a derivative liability. The classification of GGI Private Placement Warrants (Class C-2 Shares) under IFRS remains an evolving topic with diversity in practice. While the future accounting treatment may require recognition as a liability in accordance with </w:t>
      </w:r>
      <w:r>
        <w:rPr>
          <w:rFonts w:ascii="Times New Roman" w:cs="Times New Roman" w:eastAsia="Times New Roman" w:hAnsi="Times New Roman"/>
          <w:sz w:val="18"/>
          <w:szCs w:val="18"/>
          <w:i w:val="1"/>
          <w:iCs w:val="1"/>
          <w:color w:val="auto"/>
        </w:rPr>
        <w:t>IAS 32 (Financial Instruments—Presentation)</w:t>
      </w:r>
      <w:r>
        <w:rPr>
          <w:rFonts w:ascii="Times New Roman" w:cs="Times New Roman" w:eastAsia="Times New Roman" w:hAnsi="Times New Roman"/>
          <w:sz w:val="18"/>
          <w:szCs w:val="18"/>
          <w:color w:val="auto"/>
        </w:rPr>
        <w:t>, upon consummation of the Business Combination, the Class C-2 Shares are presented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instruments under IFRS 2.</w:t>
      </w:r>
    </w:p>
    <w:p>
      <w:pPr>
        <w:spacing w:after="0" w:line="85" w:lineRule="exact"/>
        <w:rPr>
          <w:sz w:val="20"/>
          <w:szCs w:val="20"/>
          <w:color w:val="auto"/>
        </w:rPr>
      </w:pPr>
    </w:p>
    <w:p>
      <w:pPr>
        <w:ind w:left="1080" w:right="4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the expense for “tail” policy providing directors’ and officers’ liability insurance coverage for the benefit of those persons who are covered by any comparable insurance policies of GGI. This amount represents the $6 million premium paid in full at the Closing related to the liability insurance coverage for the directors and officers of GGI, less the $1.5 million existing prepaid insurance premium as of December 31, 2021.</w:t>
      </w:r>
    </w:p>
    <w:p>
      <w:pPr>
        <w:spacing w:after="0" w:line="85" w:lineRule="exact"/>
        <w:rPr>
          <w:sz w:val="20"/>
          <w:szCs w:val="20"/>
          <w:color w:val="auto"/>
        </w:rPr>
      </w:pPr>
    </w:p>
    <w:p>
      <w:pPr>
        <w:ind w:left="1080" w:right="220" w:hanging="539"/>
        <w:spacing w:after="0" w:line="289"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reflect the conversion of convertible notes that are outstanding immediately prior to the Closing into Class A Shares. In July 2021, unrelated to the Business Combination, Polestar Automotive Holding Limited entered into a convertible note agreement for $35 million. The convertible notes are non-interest bearing and are not eligible to receive a coupon or dividend for the first 24-months after issuance.</w:t>
      </w:r>
    </w:p>
    <w:p>
      <w:pPr>
        <w:spacing w:after="0" w:line="63" w:lineRule="exact"/>
        <w:rPr>
          <w:sz w:val="20"/>
          <w:szCs w:val="20"/>
          <w:color w:val="auto"/>
        </w:rPr>
      </w:pPr>
    </w:p>
    <w:p>
      <w:pPr>
        <w:ind w:left="1080" w:hanging="539"/>
        <w:spacing w:after="0" w:line="253"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To reflect the liability associated with the Earn Out Shares issuable pursuant to the Business Combination Agreement. Up to 158.2 million Earn Out Shares will be available to be delivered by the Company to the Parent Shareholders as additional consideration for the Pre-Closing Reorganization. The Parent has a right to receive the Earn Out Shares if certain stock price hurdles are achieved over a five-year period from the 180th day following the Closing. There is diversity in practice for the accounting treatment of these type of agreements but we believe at this time, we should evaluate this in accordance with </w:t>
      </w:r>
      <w:r>
        <w:rPr>
          <w:rFonts w:ascii="Times New Roman" w:cs="Times New Roman" w:eastAsia="Times New Roman" w:hAnsi="Times New Roman"/>
          <w:sz w:val="18"/>
          <w:szCs w:val="18"/>
          <w:i w:val="1"/>
          <w:iCs w:val="1"/>
          <w:color w:val="auto"/>
        </w:rPr>
        <w:t>IAS 32 (Financial Instruments—Presentation)</w:t>
      </w:r>
      <w:r>
        <w:rPr>
          <w:rFonts w:ascii="Times New Roman" w:cs="Times New Roman" w:eastAsia="Times New Roman" w:hAnsi="Times New Roman"/>
          <w:sz w:val="18"/>
          <w:szCs w:val="18"/>
          <w:color w:val="auto"/>
        </w:rPr>
        <w:t>. The Earn Out Shares have, in accordance with the requirements of IAS 32, been recognized as a financial liability measured at fair value in the unaudited condensed combined pro forma statement of financial position as the arrangement may result in the Company issuing a variable number of shares in the future. A valuation assessment was performed for the purpose of determining an estimate of the financial liability using a Monte Carlo simulation using key assumptions for: volatility based on peer company data; risk-free rate; and beginning Share price of $10.00. The estimated valuation of the liability as of December 31, 2021 was approximately $1.285 billion with a corresponding charge being directly reflected to accumulated deficit as it is recorded in the same manner as a dividend giving value to existing shareholders effectively as a pro rata dividend. An increase or decrease in volatility of 10% during subsequent periods would result in an increase or decrease in the liability of approximately $0.98 billion, which would be recognized through the pro forma statement of operations.</w:t>
      </w:r>
    </w:p>
    <w:p>
      <w:pPr>
        <w:spacing w:after="0" w:line="97" w:lineRule="exact"/>
        <w:rPr>
          <w:sz w:val="20"/>
          <w:szCs w:val="20"/>
          <w:color w:val="auto"/>
        </w:rPr>
      </w:pPr>
    </w:p>
    <w:p>
      <w:pPr>
        <w:ind w:left="1080" w:right="100" w:hanging="532"/>
        <w:spacing w:after="0" w:line="261" w:lineRule="auto"/>
        <w:tabs>
          <w:tab w:leader="none" w:pos="10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associated with a consulting services agreement, where Class A Shares in the form of Class A ADSs will be issued to a service provider in exchange for the performance of marketing consulting services. 250,000 shares will vest and be issued on the date the Resale Registration Statement becomes effective. 250,000 shares will vest over a 24-month period with one eighth of these shares vesting each quarter. None of these vested shares will be issued prior to the effectiveness of the Resale Registration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 of Operations for the year ended December 31,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notes and adjustments are as follows:</w:t>
      </w:r>
    </w:p>
    <w:p>
      <w:pPr>
        <w:spacing w:after="0" w:line="131" w:lineRule="exact"/>
        <w:rPr>
          <w:sz w:val="20"/>
          <w:szCs w:val="20"/>
          <w:color w:val="auto"/>
        </w:rPr>
      </w:pPr>
    </w:p>
    <w:p>
      <w:pPr>
        <w:ind w:left="1080" w:right="180" w:hanging="532"/>
        <w:spacing w:after="0" w:line="282" w:lineRule="auto"/>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associated with the Class A Shares to be issued in the form of Class A ADSs as consideration to a service provider for marketing consulting services. Refer to Note Labove for further discussion.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61" w:lineRule="auto"/>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adjustment for “tail” policy providing directors’ and officers’ liability insurance coverage for the benefit of those persons who are covered by any comparable insurance policies of GGI. This compensation expense is not expected to have a continuing impact on the combined results. This expense represents the annual amortization of the premium paid at the Closing related to the six-year insurance policy.</w:t>
      </w:r>
    </w:p>
    <w:p>
      <w:pPr>
        <w:spacing w:after="0" w:line="85" w:lineRule="exact"/>
        <w:rPr>
          <w:rFonts w:ascii="Times New Roman" w:cs="Times New Roman" w:eastAsia="Times New Roman" w:hAnsi="Times New Roman"/>
          <w:sz w:val="18"/>
          <w:szCs w:val="18"/>
          <w:b w:val="1"/>
          <w:bCs w:val="1"/>
          <w:color w:val="auto"/>
        </w:rPr>
      </w:pPr>
    </w:p>
    <w:p>
      <w:pPr>
        <w:ind w:left="1080" w:hanging="532"/>
        <w:spacing w:after="0" w:line="256" w:lineRule="auto"/>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weighted average shares outstanding for basic and diluted net loss per share assumes that the Business Combination was closed as of January 1, 2021. The pro forma loss per share is calculated based on pro forma net loss divided by the weighted average pro forma basic and diluted number of shares. The pro forma diluted loss per share does not consider the impact of securities other than the ordinary shares, and shares vested under the Equity Plan and Employee Stock Purchase Plan (see notes J and R, respectively, for further detail) as other securities would be anti-dilutive due to the pro forma net loss position. As such, pro forma basic and diluted loss per share are the same value.</w:t>
      </w:r>
    </w:p>
    <w:p>
      <w:pPr>
        <w:spacing w:after="0" w:line="92" w:lineRule="exact"/>
        <w:rPr>
          <w:rFonts w:ascii="Times New Roman" w:cs="Times New Roman" w:eastAsia="Times New Roman" w:hAnsi="Times New Roman"/>
          <w:sz w:val="18"/>
          <w:szCs w:val="18"/>
          <w:b w:val="1"/>
          <w:bCs w:val="1"/>
          <w:color w:val="auto"/>
        </w:rPr>
      </w:pPr>
    </w:p>
    <w:p>
      <w:pPr>
        <w:ind w:left="1080" w:right="40" w:hanging="532"/>
        <w:spacing w:after="0" w:line="256" w:lineRule="auto"/>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for the restricted shares issued under the “At Listing” Equity Plan adopted by the Company at the Closing. The award is a one-time issuance of restricted shares of Class A Shares offered to executive management and select upper management team members. The value of the award will be equal to a certain percentage of the awardee’s base salary, depending on the awardee’s position at the Polestar Group. Receipt of the award is based on the successful public listing of the Post-Combination Company and continued employment of the awardees. One-third of the restricted shares fully vest upon issuance. The remaining restricted shares vest over a two year period from the date of issuance.</w:t>
      </w:r>
    </w:p>
    <w:p>
      <w:pPr>
        <w:spacing w:after="0" w:line="92" w:lineRule="exact"/>
        <w:rPr>
          <w:rFonts w:ascii="Times New Roman" w:cs="Times New Roman" w:eastAsia="Times New Roman" w:hAnsi="Times New Roman"/>
          <w:sz w:val="18"/>
          <w:szCs w:val="18"/>
          <w:b w:val="1"/>
          <w:bCs w:val="1"/>
          <w:color w:val="auto"/>
        </w:rPr>
      </w:pPr>
    </w:p>
    <w:p>
      <w:pPr>
        <w:ind w:left="1080" w:right="80" w:hanging="532"/>
        <w:spacing w:after="0" w:line="261" w:lineRule="auto"/>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for the Employee Stock Purchase Plan adopted by the Company at the Closing of the Business Combination. Under this plan, all employees are offered a one-time issuance of Class A ADSs in a value equal to 4% of the awardee’s base salary. Receipt of the award is based on employment at the public listing date and continued employment of the awardees for one-year after the listing date. This expense represents a one-time cost to the pro forma statement of operations.</w:t>
      </w:r>
    </w:p>
    <w:p>
      <w:pPr>
        <w:spacing w:after="0" w:line="85" w:lineRule="exact"/>
        <w:rPr>
          <w:rFonts w:ascii="Times New Roman" w:cs="Times New Roman" w:eastAsia="Times New Roman" w:hAnsi="Times New Roman"/>
          <w:sz w:val="18"/>
          <w:szCs w:val="18"/>
          <w:b w:val="1"/>
          <w:bCs w:val="1"/>
          <w:color w:val="auto"/>
        </w:rPr>
      </w:pPr>
    </w:p>
    <w:p>
      <w:pPr>
        <w:ind w:left="1080" w:right="340" w:hanging="532"/>
        <w:spacing w:after="0" w:line="282" w:lineRule="auto"/>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an adjustment for transaction costs that were recorded in the statement of operations of GGI and are directly attributable and incremental to the Business Combination. These are not expected to have a continuing impact on the combined results.</w:t>
      </w:r>
    </w:p>
    <w:p>
      <w:pPr>
        <w:spacing w:after="0" w:line="67" w:lineRule="exact"/>
        <w:rPr>
          <w:rFonts w:ascii="Times New Roman" w:cs="Times New Roman" w:eastAsia="Times New Roman" w:hAnsi="Times New Roman"/>
          <w:sz w:val="18"/>
          <w:szCs w:val="18"/>
          <w:b w:val="1"/>
          <w:bCs w:val="1"/>
          <w:color w:val="auto"/>
        </w:rPr>
      </w:pPr>
    </w:p>
    <w:p>
      <w:pPr>
        <w:ind w:left="1080" w:right="100" w:hanging="532"/>
        <w:spacing w:after="0" w:line="261" w:lineRule="auto"/>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2 share-based compensation expense for the deemed listing services received by the Company from GGI, which is the difference between the fair value of the shares issued by the Company in excess of the net assets of GGI that the Company acquired. This expense represents a one-time cost to the pro forma statement of operations. This compensation expense is not expected to have a continuing impact on the combined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Comparative Per Share Data</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historical comparative share information for the Company and GGI on a standalone basis and pro forma combined per share information after giving effect to the Business Combination by taking into account that (a) certain GGI Public Stockholders exercised their redemption rights with respect to their GGI Class A Common Stock upon the consummation of the Business Combination, (b) no issuance of Earn Out Shares or shares pursuant to the Equity Plan or Employee Stock Purchase Plan, (c) the conversion of the Preference Shares and Polestar’s convertible notes and (d) no conversion or redemption of any of the Class C ADSs.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have been prepared in accordance with IFRS as issued by the IASB and in its functional and presentation currency of U.S. dollars. The historical financial statements of GGI have been prepared in accordance with generally accepted accounting principles as in effect in the United States from time to time (“US GAAP”) in its functional and presentation currency of U.S. dollars.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historical financial statements of GGI and Polestar Automotive Holding Limited included elsewhere in this prospectus. The pro forma combined per share information is derived from, and should be read in conjunction with, the information contained in the section of this prospectus titled “Unaudited Pro Forma Condensed Combined Financial Information.”</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pro forma combined share information below does not purport to represent what the actual results of operations or the earnings per share would have been if the companies had been combined during the periods presented, nor to project the Company’s results of operations or earnings per share (“EPS”) for any future date or period.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earnings per share have been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 Basic and diluted loss per share for Class A Shares and Class B Shares are the same, as each class of common stock is entitled to the same dividend participation rights and economic terms.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80" w:type="dxa"/>
            <w:vAlign w:val="bottom"/>
          </w:tcPr>
          <w:p>
            <w:pPr>
              <w:spacing w:after="0"/>
              <w:rPr>
                <w:sz w:val="12"/>
                <w:szCs w:val="12"/>
                <w:color w:val="auto"/>
              </w:rPr>
            </w:pPr>
          </w:p>
        </w:tc>
        <w:tc>
          <w:tcPr>
            <w:tcW w:w="12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GGI</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Combined Pro</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and for the year ended December 31, 2021</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December 31, 2021 book value per share</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Weighted average of outstanding shares—basic</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7"/>
              </w:rPr>
              <w:t>229,341,491</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81,151,581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2,109,755,587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outstanding shares,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600" w:hanging="424"/>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using the formula: Total shareholder’s equity divided by weighted-average shares outstanding. No cash dividends were paid during the periods presented.</w:t>
      </w:r>
    </w:p>
    <w:p>
      <w:pPr>
        <w:ind w:left="540" w:right="280" w:hanging="424"/>
        <w:spacing w:after="0" w:line="26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shares outstanding includes shares vested under the Equity Plan and Employee Stock Purchase Plan and consulting services agreement.</w:t>
      </w:r>
    </w:p>
    <w:p>
      <w:pPr>
        <w:spacing w:after="0" w:line="18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calculating diluted loss per share, management assumed that all GGI Public Warrants and GGI Private Placement Warrants will not be exercised. Further, the effect of shares granted to employees pursuant to the Equity Plan and Employee Stock Purchase Plan as a result of consummation of Business Combination were not included in the calculation of diluted loss per share, nor were the Earn Out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available for issuance under the Business Combination Agreement, as this results in anti-dilution. The number of shares excluded from the calculation are represented in the tables below.</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GGI Public Warrants converted to Class C Shares at Closing</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15,999,965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GGI Private Placement Warrants converted to Class C Shares at</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Earn Out Shares available to be issued to the Parent Shareholders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158,177,609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available under the Equity Plans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available under a consulting services agreement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183,705,370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capital stock to date and does not intend to pay cash dividends in the foreseeable future and expect to reinvest all undistributed earnings to expand our operations, which we believe would be of the most benefit to our shareholders. The declaration of dividends, if any, will be subject to the discretion of the Board, which may consider such factors as our results of operations, financial condition, capital needs and acquisition strategy, among others. Also see the section entitled “Market Price of Our Securities and Dividend Policy.”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320" w:top="455" w:right="6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likelihood that warrant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PRICE OF OUR SECURITIES AND DIVIDEND POLICY</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began trading on Nasdaq under the symbols “PSNY” and “PSNYW”, respectively, on June 24, 2022. On July 8, 2022, the closing price for our Class A ADSs on Nasdaq was $10.09. On July 8, 2022, the closing price for our Class C-1 ADSs on Nasdaq was $2.22.</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there were approximately 95 shareholders of record of our Class A ADSs, one shareholder of record of our Class B ADSs and two shareholders of record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Today Polestar’s cars are on the road in nineteen markets across Europe, North America, China and Asia Pacific. Polestar intends to continue its rapid market expansion with the aim that its cars will be available in an aggregate of 30 markets by the end of 2023. Polestar also plans to introduce three new electric vehicles by 2024; Polestar 3, an aerodynamically optimized SUV; Polestar 4, a sporty SUV coupe and Polestar 5, a luxury 4 door GT.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preliminary estimated global volume data for the three months ended March 31, 2022 and the month of April 2022 are prepared based upon Polestar management’s current best estimates and are subject to risks and uncertainties. The global volume data discussed below should be read in conjunction with the the sections entitled “Risk Factors” and “Operating And Financial Review and Prospects” sections and the Polestar Financial Statements and the related notes thereto included elsewhere in this prospectus. Polestar’s actual results may differ from the preliminary estimates and could vary by up to 2%. The data has been prepared by and is the responsibility of Polestar management. Deloitte has not audited, reviewed, compiled or performed any procedures with respect to any of the data set forth in this section. Accordingly, Deloitte does not express an opinion or any other form of assurance with respect thereto.</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2022, Polestar estimates it delivered approximately 9,500 vehicles of which approximately 440 vehicles are subject to buy-back agreements and approximately 460 vehicles were internal vehicle deliveries. This compares with estimated deliveries of 4,500 vehicles during the three months ended March 31, 2021, during which Polestar did not sell any vehicles subject to buy-back agreements and approximately 160 vehicles were internal vehicle deliveries. Internal vehicle deliveries are vehicles transferred for demonstration and commercial purposes as well as vehicles transferred to Polestar employees at the time of registration. Transferred vehicles for demonstration and commercial purposes are owned by Polestar and included in Inventory. The estimated deliveries during the three months ended March 31,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See “Operating and Financial Review and Prospects—Polestar Automotive Holding Limited—Factors Affecting Future Results of Operations,” “Risk Factors—Risks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and “Risk Factors—Risks Related to Polestar’s Business and Industry—The global COVID-19 outbreak and the global response could continue to affect Polestar’s business and operations.”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April 2022, Polestar estimates that it delivered approximately 4,100 vehicles, of which approximately 120 vehicles are subject</w:t>
      </w:r>
    </w:p>
    <w:p>
      <w:pPr>
        <w:spacing w:after="0" w:line="27"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to buy-back agreements and approximately 100 vehicles were internal vehicle deliveries, compared to an estimated 1,600 vehicles delivered during April 2021, when no vehicles included buy-back agreements and approximately 100 vehicles were internal vehicle deliveries.</w:t>
      </w:r>
    </w:p>
    <w:p>
      <w:pPr>
        <w:spacing w:after="0" w:line="18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June 15, 2022, Polestar had received total customer orders of over 32,000 vehicles, an increase of approximately 290% versus the same period last year. Total customer orders include orders placed since January 1, 2022 through June 15, 2022, which have been delivered or are yet to be delivered. The orders may be cancelled, and any deposit, where applicable, returned.</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As of June 15, 2022, Polestar operated in 25 markets, up from 19 markets as of December 31, 2021. This increase reflects Polestar’s efforts to continue its rapid market expansion with the aim that its cars will be available in an aggregate of 30 markets by the end of 2023. Polestar expects to enter new markets this year in Europe, including Spain, Portugal and Italy, and the Middle East, including Israel.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in addition, Hertz is now adding the Polestar 1 electric performance hybrid to their Dream fleet as well.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Strategy</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global car industry is undergoing a fundamental transformation and Polestar believes it is optimally positioned at the forefront of this change. The premium luxury electric vehicle segment is one of the fastest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growth in the premium luxury electric vehicle segment to significantly outpace overall premium vehicle growth and estimate the global electric vehicle segment will represent a $280 billion to $320 billion market segment by 2025 based on management estimates. In order to capitalize on these trends, Polestar intends to implement the following strategy.</w:t>
      </w:r>
    </w:p>
    <w:p>
      <w:pPr>
        <w:spacing w:after="0" w:line="87" w:lineRule="exact"/>
        <w:rPr>
          <w:sz w:val="20"/>
          <w:szCs w:val="20"/>
          <w:color w:val="auto"/>
        </w:rPr>
      </w:pPr>
    </w:p>
    <w:p>
      <w:pPr>
        <w:ind w:left="1080" w:right="40" w:hanging="424"/>
        <w:spacing w:after="0" w:line="25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international sales, support and manufacturing presence. </w:t>
      </w:r>
      <w:r>
        <w:rPr>
          <w:rFonts w:ascii="Times New Roman" w:cs="Times New Roman" w:eastAsia="Times New Roman" w:hAnsi="Times New Roman"/>
          <w:sz w:val="18"/>
          <w:szCs w:val="18"/>
          <w:color w:val="auto"/>
        </w:rPr>
        <w:t>With global sales from day one, Polestar intends to continue its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expansion aiming to be present in an aggregate of 30 markets by the end of 2023. Polestar’s expansion plans include building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Locations. At December 31, 2020 Polestar had 26 permanent Polestar Locations (and a further 14 temporary or “pop up” locations). Currently Polestar has over 40 permanent Polestar Locations (and over 60 temporary or “pop up” locations). Polestar plans to extend its retail locations to a total of over 150 in existing and new markets by the end of 2023.</w:t>
      </w:r>
    </w:p>
    <w:p>
      <w:pPr>
        <w:spacing w:after="0" w:line="78" w:lineRule="exact"/>
        <w:rPr>
          <w:rFonts w:ascii="Times New Roman" w:cs="Times New Roman" w:eastAsia="Times New Roman" w:hAnsi="Times New Roman"/>
          <w:sz w:val="18"/>
          <w:szCs w:val="18"/>
          <w:color w:val="auto"/>
        </w:rPr>
      </w:pPr>
    </w:p>
    <w:p>
      <w:pPr>
        <w:ind w:left="1100" w:right="3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Polestar currently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31" w:lineRule="exact"/>
        <w:rPr>
          <w:rFonts w:ascii="Times New Roman" w:cs="Times New Roman" w:eastAsia="Times New Roman" w:hAnsi="Times New Roman"/>
          <w:sz w:val="18"/>
          <w:szCs w:val="18"/>
          <w:color w:val="auto"/>
        </w:rPr>
      </w:pPr>
    </w:p>
    <w:p>
      <w:pPr>
        <w:ind w:left="11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US and in Europe, in each case operated by Volvo Cars. For example, Polestar intends to produce the Polestar 3 in Volvo Cars’ plant in Charleston, South Carolina as well as in China.</w:t>
      </w:r>
    </w:p>
    <w:p>
      <w:pPr>
        <w:spacing w:after="0" w:line="86"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Polestar’s portfolio of vehicles. </w:t>
      </w:r>
      <w:r>
        <w:rPr>
          <w:rFonts w:ascii="Times New Roman" w:cs="Times New Roman" w:eastAsia="Times New Roman" w:hAnsi="Times New Roman"/>
          <w:sz w:val="18"/>
          <w:szCs w:val="18"/>
          <w:color w:val="auto"/>
        </w:rPr>
        <w:t>Polestar currently intends to launch three additional vehicles by 2024. Polestar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launch Polestar 3, an electric performance SUV, in 2022 and to launch Polestar 4, an electric SUV coupe in 2023. In addition, Polestar currently plans to launch Polestar 5, a premium electric 4 door GT, in 2024. Polestar believes that expanding its product line-up with these vehicles will enable us to compete in segments constituting almost 80% of the global premium luxury vehicle market by volume of units sold. Polestar believes the premium luxury vehicle segment is one of the fastest growing vehicle segments, and Polestar expects the electric-only vehicle portion of this segment to grow at a faster rate than the overall segment.</w:t>
      </w:r>
    </w:p>
    <w:p>
      <w:pPr>
        <w:spacing w:after="0" w:line="87"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sustainable electric vehicle technologies as well as separately monetizing Polestar’s investment in research and development. </w:t>
      </w:r>
      <w:r>
        <w:rPr>
          <w:rFonts w:ascii="Times New Roman" w:cs="Times New Roman" w:eastAsia="Times New Roman" w:hAnsi="Times New Roman"/>
          <w:sz w:val="18"/>
          <w:szCs w:val="18"/>
          <w:color w:val="auto"/>
        </w:rPr>
        <w:t>Polestar intends to continue to develop technologies to mitigate its environmental impact from vehicle concept through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production techniques. Polestar’s Polestar 0 project, which aims to develop a truly climate neutral car by the end of 2030 will be a significant focus of Polestar’s research and development activities, including through the development of new interior materials and structural components designed to further reduce Polestar’s environmental impact. See “—Design, Research and Development and Sustainability—Sustainability.”</w:t>
      </w:r>
    </w:p>
    <w:p>
      <w:pPr>
        <w:spacing w:after="0" w:line="184"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Polestar will continue to focus on developing cutting-edge technology, including bonded aluminum chassis architectures and their manufacture and the complimentary development of a high-performance electric motor. Polestar will also continue its efforts on battery management and</w:t>
      </w:r>
    </w:p>
    <w:p>
      <w:pPr>
        <w:spacing w:after="0" w:line="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its bi-directional battery pack (400V and 800V) systems and onboard bi-directional 22 kW Charger. Polestar also intends to take the opportunity to monetize these new technologies through sales and licensing arrangements with other market participants.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it benefits from a number of competitive advantages:</w:t>
      </w:r>
    </w:p>
    <w:p>
      <w:pPr>
        <w:spacing w:after="0" w:line="129" w:lineRule="exact"/>
        <w:rPr>
          <w:sz w:val="20"/>
          <w:szCs w:val="20"/>
          <w:color w:val="auto"/>
        </w:rPr>
      </w:pPr>
    </w:p>
    <w:p>
      <w:pPr>
        <w:ind w:left="1080" w:hanging="424"/>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operates in one of the fastest-growing market segments of the industry. </w:t>
      </w:r>
      <w:r>
        <w:rPr>
          <w:rFonts w:ascii="Times New Roman" w:cs="Times New Roman" w:eastAsia="Times New Roman" w:hAnsi="Times New Roman"/>
          <w:sz w:val="18"/>
          <w:szCs w:val="18"/>
          <w:color w:val="auto"/>
        </w:rPr>
        <w:t>Polestar expects growth in the premium 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segment to outpace overall premium vehicle growth and estimates the electric vehicle segment will represent a $280 billion to $320 billion market segment by 2025 based on management estimates. Polestar believes its ability to leverage a global manufacturing footprint and expanding market coverage coupled with a scalable and asset light business model means it is well positioned to capitalize on this growing market. Polestar started selling electric cars globally in August 2020 and its plan is to grow from selling approximately 10,000 cars in 2020 to sales of approximately 290,000 cars in 2025.</w:t>
      </w:r>
    </w:p>
    <w:p>
      <w:pPr>
        <w:spacing w:after="0" w:line="8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is one of only two global premium electric vehicle manufacturers already in mass production. </w:t>
      </w:r>
      <w:r>
        <w:rPr>
          <w:rFonts w:ascii="Times New Roman" w:cs="Times New Roman" w:eastAsia="Times New Roman" w:hAnsi="Times New Roman"/>
          <w:sz w:val="18"/>
          <w:szCs w:val="18"/>
          <w:color w:val="auto"/>
        </w:rPr>
        <w:t>Currently, Polestar and Tesla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distinct culture with a focus on innovation and an experienced management team. </w:t>
      </w:r>
      <w:r>
        <w:rPr>
          <w:rFonts w:ascii="Times New Roman" w:cs="Times New Roman" w:eastAsia="Times New Roman" w:hAnsi="Times New Roman"/>
          <w:sz w:val="18"/>
          <w:szCs w:val="18"/>
          <w:color w:val="auto"/>
        </w:rPr>
        <w:t>Polestar has a distinct corporate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 business whose technology Polestar intends to utilize in future vehicles, starting with the Polestar 3.</w:t>
      </w:r>
    </w:p>
    <w:p>
      <w:pPr>
        <w:spacing w:after="0" w:line="9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scalable, asset-light business model with immediate operating leverage. </w:t>
      </w:r>
      <w:r>
        <w:rPr>
          <w:rFonts w:ascii="Times New Roman" w:cs="Times New Roman" w:eastAsia="Times New Roman" w:hAnsi="Times New Roman"/>
          <w:sz w:val="18"/>
          <w:szCs w:val="18"/>
          <w:color w:val="auto"/>
        </w:rPr>
        <w:t>Polestar has a scalable, asset-light business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digital-first, direct to consumer approach with a differentiated distribution and service model. </w:t>
      </w:r>
      <w:r>
        <w:rPr>
          <w:rFonts w:ascii="Times New Roman" w:cs="Times New Roman" w:eastAsia="Times New Roman" w:hAnsi="Times New Roman"/>
          <w:sz w:val="18"/>
          <w:szCs w:val="18"/>
          <w:color w:val="auto"/>
        </w:rPr>
        <w:t>Polestar’s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our vehicles, at one of the Polestar Locations prior to making</w:t>
      </w: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purchase. Polestar believes this combination of digital and physical retail presence serves to deliver a seamless experience for its customers. Polestar’s customers benefit from a comprehensive service network which leverages the existing Volvo Cars service center network.</w:t>
      </w:r>
    </w:p>
    <w:p>
      <w:pPr>
        <w:spacing w:after="0" w:line="89"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Polestar’s design-led focus on sustainability</w:t>
      </w:r>
      <w:r>
        <w:rPr>
          <w:rFonts w:ascii="Times New Roman" w:cs="Times New Roman" w:eastAsia="Times New Roman" w:hAnsi="Times New Roman"/>
          <w:sz w:val="18"/>
          <w:szCs w:val="18"/>
          <w:color w:val="auto"/>
        </w:rPr>
        <w:t>. Polestar believes that its emphasis on environmentally sustainable products,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Scandinavian avant-garde design and high tech minimalism engages and attracts customers who share its ethos and design aesthetic. Polestar’s brand and product designs have received multiple global awards since the launch of the Polestar 1 in 2019 including Red Dot’s Brand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of the Year as well as Best of the Best Product Design for Polestar 2. Polestar Precept has also captured imaginations most recently winning three of the four 2021 EyesOn Design awards. Sustainability remains a core principal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w:t>
      </w:r>
    </w:p>
    <w:p>
      <w:pPr>
        <w:spacing w:after="0" w:line="91" w:lineRule="exact"/>
        <w:rPr>
          <w:sz w:val="20"/>
          <w:szCs w:val="20"/>
          <w:color w:val="auto"/>
        </w:rPr>
      </w:pPr>
    </w:p>
    <w:p>
      <w:pPr>
        <w:ind w:left="1080" w:right="20" w:hanging="424"/>
        <w:spacing w:after="0" w:line="25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Polestar’s proprietary technology. </w:t>
      </w:r>
      <w:r>
        <w:rPr>
          <w:rFonts w:ascii="Times New Roman" w:cs="Times New Roman" w:eastAsia="Times New Roman" w:hAnsi="Times New Roman"/>
          <w:sz w:val="18"/>
          <w:szCs w:val="18"/>
          <w:color w:val="auto"/>
        </w:rPr>
        <w:t>Polestar believes its proprietary electric vehicle technology provides it with a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For example, Polestar is developing one of the most powerful electric motors in the market, the P10, which will be capable of delivering as much as 450kW of power, or 600hp alone and even more power when coupled with a front motor. Our state-of-the-art 800V battery pack technology is expected to be included in the Polestar 5 when launched in 2024.</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1</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 Combined output is 609 hp and 1,000 Nm of torque. With three battery packs totaling 34 kWh, Polestar 1 features an all-electric range of 124 km–the longest electric range of any plug-in hybrid in the world to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body of Polestar 1 is made from carbon fibre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fibre “dragonfly” between the front seats and the rear of the vehicle, further reinforcing the car’s chassis.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Featuring Pure, Hybrid and Power drive modes, Polestar 1 can be driven in different ways depending on the driver needs and preference. In Pure mode, the combustion engine is shut off and Polestar 1 operates as a fully electric vehicle. The two rear electric motors generate total power of 170 kW and torque of 492 Nm. In Hybrid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mode, Polestar 1 utilizes the electric motors and petrol engine according to demand from the driver, seamlessly switching between the two as needed. In Power mode, both the electric motors and combustion engine are utilized at all times, allowing the driver to take advantage of the full 609 hp and 1,000 Nm of torque, along with sharper responses from the throttle, steering and gearbox. Top speed is limited to 155 mph and the 0-62 mph sprint takes 4.2 seconds.</w:t>
      </w:r>
    </w:p>
    <w:p>
      <w:pPr>
        <w:spacing w:after="0" w:line="180"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Polestar 1 went into production at Polestar’s Chengdu, China facility in 2019. The facility was the only Leadership in Energy and Environmental Design, or LEED, Gold accredited automotive manufacturing facility in China. With a planned three year production run and a limited build capacity of up to 500 units per year, production of the car ceased in 2021. The car retails in Polestar’s original launch markets in Europe, North America and China.</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2</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2 model range includes three variants – Long range dual motor (300 kW (408 hp)/ 660 Nm), Long range single motor (170 kW (231 hp)/ 330Nm) and Standard range single motor (165 kW (224 hp)/ 330 Nm) – combined with three optional packages – Pilot, Plus and Performance – to provide consumers with the perfect Polestar 2 for their needs. Pilot and Plus packages encompass driver convenience and comfort features, while the Performance package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2 was the first car in the world to feature an infotainment system powered by Google’s Android Automotive OS, with</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Google built-in. Developed in collaboration with Google, the Android system revolutionizes the way car infotainment system can be integrated, and with Google Assistant, Google Maps and the Google Play Store integrated, owners can benefit from one of the best voice and navigation systems in the world.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with a call to the industry at large for a uniformly open and transparent way of disclosing the carbon footprint of electric vehicles from all manufacturers. In early 2021, Polestar took this transparency a step further by integrating a Product Sustainability Declaration into Polestar Locations and on its website and will continue to disclose such information going forward. See “—Design, Research and Development and Sustainability—Sustainability.”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 Future Vehicles and Polestar 0 project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March 2020, Polestar revealed Polestar Precept, a design study intended to showcase Polestar’s vision of the brand’s future, demonstrating innovation and ambition across three focus areas—design, technology and sustainability.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Polestar Precept was created as the manifesto for and design direction of Polestar’s future models. By the end of 2024, Polestar currently intends to have launched three new vehicles; Polestar 3, an electric performance SUV; Polestar 4, a SUV coupe and Polestar 5—a luxury electric 4 door GT.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October 2020, Polestar announced at the Shanghai Motor Show that it would aim to produce a luxury 4 door GT based on the Precept concept; this will be the Polestar 5.</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sculpted form of the Polestar Precept sets the tone for future Polestar vehicles. The vehicle’s proportions define its presence with restrained surfacing and a focus on aerodynamic efficiency.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 definition camera are located behind a transparent panel. In addition, a light detection and ranging (“LiDAR”)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 cars, concept cars and vision statements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2" w:lineRule="exact"/>
        <w:rPr>
          <w:sz w:val="20"/>
          <w:szCs w:val="20"/>
          <w:color w:val="auto"/>
        </w:rPr>
      </w:pPr>
    </w:p>
    <w:p>
      <w:pPr>
        <w:ind w:left="120" w:right="120" w:firstLine="440"/>
        <w:spacing w:after="0" w:line="224" w:lineRule="auto"/>
        <w:rPr>
          <w:sz w:val="20"/>
          <w:szCs w:val="20"/>
          <w:color w:val="auto"/>
        </w:rPr>
      </w:pPr>
      <w:r>
        <w:rPr>
          <w:rFonts w:ascii="Times New Roman" w:cs="Times New Roman" w:eastAsia="Times New Roman" w:hAnsi="Times New Roman"/>
          <w:sz w:val="18"/>
          <w:szCs w:val="18"/>
          <w:color w:val="auto"/>
        </w:rPr>
        <w:t>On March 2, 2022, Polestar revealed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a new concept car to demonstrate Polestar’s vision of a sports roadster with open-top performance—with all the benefits of electric mobility. The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concept car is related to the Polestar Precept concept car but with its own distinct character. The look of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3</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expects to launch the Polestar 3 in 2022. Polestar 3 will be a luxurious electric performance SUV with seating for five and design direction previewed by Precept. It is an aerodynamically-optimized using multiple design features to smooth airflow and reduce drag. The two seating rows in Polestar 3 stretch out between the long wheelbase offering luxurious and spacious legroom for the rear passengers even when the tallest driver is sitting in the front seat. Polestar 3 will define the SUV for the electric era by combining the high seating position favored by customers with a highly efficient aerodynamic silhouette.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Priced in the range of a Porsche Cayenne – it will be Polestar’s first product with centralized computing, powered by Nvidia, and with redundant system possibilities. Polestar expects to include a variety of technological advances in Polestar 3 over time. These features will include unsupervised highway piloting by software from Zenseact (an autonomous driving software development subsidiary of Volvo Cars), and the best-in-class LiDAR sensor pod from Luminar, all of which is expected to be fully implemented in Polestar 3 vehicles by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4</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Priced in the range of the Porsche Macan, Polestar 4 will aim to offer driving dynamics and minimalist style to a larger market segment.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5</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the Polestar 5 in 2024. Polestar 5 will be an epic 4 door grand tourer that most closely follows inspiration from the Precept. Priced to compete with a Porsche Panamera, the vehicle will introduce new in-house aluminum body and chassis and powertrain architectures.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0 project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April 2021, Polestar announced an important goal of creating a truly climate-neutral car by 2030 a significant and necessary step to reach its goal of becoming a climate neutral company by 2040.</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Today, an electric car manufactured and charged on the current global electricity infrastructure mix has a smaller carbon footprint than an internal combustion engine car through its useful life. However, Polestar has set a target of producing a car by 2030 that is truly climate neutral when it rolls out of Polestar’s factories’ gates.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For the Polestar 2, that carbon footprint was 26.2 tons in 2020 with most of the impact coming from three categories: aluminum, batteries and steel. Together they account for 75% of the 24 tons attributable to materials production and battery modules. Add electronics and polymers and the total is 92%. While a lot of focus naturally will be on those categories, the goal is to reduce all to zero, including Polestar’s manufacturing footprint.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 Research and Development and Sustainability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spacing w:after="0" w:line="17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UK and in Sweden.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Polestar’s research and development teams are located in Sweden and the United Kingdom. In Sweden,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has a philosophy to design towards zero, actively using Scandinavian minimalist design to engage customers and minimize our environmental impact. Polestar seeks to achieve its clear sustainability goals by establishing concrete targets focusing on four pillars of its sustainability approach:</w:t>
      </w:r>
    </w:p>
    <w:p>
      <w:pPr>
        <w:spacing w:after="0" w:line="81" w:lineRule="exact"/>
        <w:rPr>
          <w:sz w:val="20"/>
          <w:szCs w:val="20"/>
          <w:color w:val="auto"/>
        </w:rPr>
      </w:pPr>
    </w:p>
    <w:p>
      <w:pPr>
        <w:ind w:left="1080" w:right="2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Climate Neutrality</w:t>
      </w:r>
      <w:r>
        <w:rPr>
          <w:rFonts w:ascii="Times New Roman" w:cs="Times New Roman" w:eastAsia="Times New Roman" w:hAnsi="Times New Roman"/>
          <w:sz w:val="18"/>
          <w:szCs w:val="18"/>
          <w:color w:val="auto"/>
        </w:rPr>
        <w:t>: Combating the emission of greenhouse gases is one of the top priorities of Polestar. Most greenhouse gas emissions associated with its vehicles are related to the use of fossil fuels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97" w:lineRule="exact"/>
        <w:rPr>
          <w:sz w:val="20"/>
          <w:szCs w:val="20"/>
          <w:color w:val="auto"/>
        </w:rPr>
      </w:pPr>
    </w:p>
    <w:p>
      <w:pPr>
        <w:ind w:left="1080" w:right="20" w:hanging="424"/>
        <w:spacing w:after="0" w:line="253"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Circularity</w:t>
      </w:r>
      <w:r>
        <w:rPr>
          <w:rFonts w:ascii="Times New Roman" w:cs="Times New Roman" w:eastAsia="Times New Roman" w:hAnsi="Times New Roman"/>
          <w:sz w:val="18"/>
          <w:szCs w:val="18"/>
          <w:color w:val="auto"/>
        </w:rPr>
        <w:t>: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Transparency</w:t>
      </w:r>
      <w:r>
        <w:rPr>
          <w:rFonts w:ascii="Times New Roman" w:cs="Times New Roman" w:eastAsia="Times New Roman" w:hAnsi="Times New Roman"/>
          <w:sz w:val="18"/>
          <w:szCs w:val="18"/>
          <w:color w:val="auto"/>
        </w:rPr>
        <w:t>: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Life Cycle Analysis (“</w:t>
      </w:r>
      <w:r>
        <w:rPr>
          <w:rFonts w:ascii="Times New Roman" w:cs="Times New Roman" w:eastAsia="Times New Roman" w:hAnsi="Times New Roman"/>
          <w:sz w:val="18"/>
          <w:szCs w:val="18"/>
          <w:i w:val="1"/>
          <w:iCs w:val="1"/>
          <w:color w:val="auto"/>
        </w:rPr>
        <w:t>LCA</w:t>
      </w:r>
      <w:r>
        <w:rPr>
          <w:rFonts w:ascii="Times New Roman" w:cs="Times New Roman" w:eastAsia="Times New Roman" w:hAnsi="Times New Roman"/>
          <w:sz w:val="18"/>
          <w:szCs w:val="18"/>
          <w:color w:val="auto"/>
        </w:rPr>
        <w:t>”)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79"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constantly looking to be honest with itself and its stakeholders and improve. For example, Polestar recognizes it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93" w:lineRule="exact"/>
        <w:rPr>
          <w:rFonts w:ascii="Times New Roman" w:cs="Times New Roman" w:eastAsia="Times New Roman" w:hAnsi="Times New Roman"/>
          <w:sz w:val="18"/>
          <w:szCs w:val="18"/>
          <w:color w:val="auto"/>
        </w:rPr>
      </w:pPr>
    </w:p>
    <w:p>
      <w:pPr>
        <w:jc w:val="both"/>
        <w:ind w:left="1080" w:right="440" w:hanging="424"/>
        <w:spacing w:after="0" w:line="289" w:lineRule="auto"/>
        <w:tabs>
          <w:tab w:leader="none" w:pos="10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Inclusion</w:t>
      </w:r>
      <w:r>
        <w:rPr>
          <w:rFonts w:ascii="Times New Roman" w:cs="Times New Roman" w:eastAsia="Times New Roman" w:hAnsi="Times New Roman"/>
          <w:sz w:val="17"/>
          <w:szCs w:val="17"/>
          <w:color w:val="auto"/>
        </w:rPr>
        <w:t>: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Procurement drive strategic initiatives on human rights and inclusion, addressing Polestar’s role as a responsible brand, employer and procurer.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Polestar commenced commercial sales of its vehicles with the Polestar 1, followed in 2020 with the Polestar 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comprised of Polestar Spaces, Polestar Destinations and Polestar Test Drive Centers referred to as Polestar Locations. Polestar Spaces are typically smaller Polestar showrooms located in urban areas, whereas Polestar Destinations and Polestar Test Drive Centers are typically larger Polestar showrooms located in peri-urban areas. Polestar Locations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Currently, Polestar has over 40 permanent Polestar Locations (plus over 60 temporary or “pop up” locations) and expects to have an aggregate of 150 retail locations in existing and new markets by the end of 2023. In addition, as Polestar continues with its international expansion, it will use third party importers to give it access to lower volume markets, rapidly and with lower investment.</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enters into agreements with independent investors to establish Polestar Locations.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aims to deliver leading aftermarket services to its customers by leveraging Volvo Cars’ global service and repair network. Polestar is cooperating with Volvo Cars to develop their service center network, including the introduction of digital service boking, fault tracing, diagnostics and software download (Over The Air and in workshop). Polestar also utilizes the Volvo Cars service center network to supply its customers with a spare parts infrastructure. Polestar currently leverages the Volvo Cars service center network to provide access to over 800 customer service points worldwide in support of Polestar’s international expansion. Polestar does not have a direct contractual relationship with the operators of its service points. Rather, Polestar relies on the existing network of Volvo Cars who signs, enters into, or amend, existing service contracts with Volvo Cars to add the service of Polestar vehicles to the scope of their dealer agreement.</w:t>
      </w:r>
    </w:p>
    <w:p>
      <w:pPr>
        <w:spacing w:after="0" w:line="189"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Battery suppliers</w:t>
      </w:r>
    </w:p>
    <w:p>
      <w:pPr>
        <w:spacing w:after="0" w:line="121"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a non-binding memorandum of understanding with battery developer and manufacturer Northvolt. This memorandum of understanding covers the supply of battery cells and joint ventures regarding research and development and production of battery cells that are tailored to power the next generation of fully electric Volvo Cars cars and Polestar cars. Polestar has also entered into a non-binding letter of intent to secure batteries from SK Innovation, expected to power the Polestar 5. Polestar continues to evaluate potential up and coming startups in this area.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 with Volvo Cars and Geely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directive. Polestar has also established a number of steering committees to monitor compliance and performance of its agreements related to development, manufacturing, or service contracts with related parties.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2021, 2020 and 2019, see note disclosure 23 to the Polestar Financial Statements as of December 31, 2021 and 2020 and for the fiscal years ended December 31, 2021, 2020 and 2019 included elsewhere herein. Any further related party transactions in the fiscal years ended December 31, 2021, 2020 and 2019 were both immaterial and no more than incidental in nature. For a further description of our contracts with related parties, see the section entitled “Certain Relationships and Related Party Transactions.”</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agreements with Volvo Cars cover research and development services and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“Certain Relationships and Related Party Transactions.”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December 10, 2021, Volvo Cars announced that it had become aware that one of its code and file repositories had been illegally accessed by a third party. Volvo Cars noted that the breach resulted in the theft of research and development information that may have an impact on its operations. Volvo Cars stated in the press release that they did not believe, based on information currently available to them, that the breach would have any impact on the safety or security of its customers’ cars or their personal data. In connection with their investigation into this breach, Volvo Cars has informed Polestar that information on a Volvo Cars server that shared information relevant to Polestar had been among those compromised. Polestar has concluded that certain items such as specifications, source code and test data related to its vehicles had been illegally accessed. Polestar has been collaborating closely with Volvo Cars and has established an internal task force to work with its counterparts at Volvo Cars to determine the full scope of the breach and to implement remedial processes and procedures. The investigation is ongoing and has so far not found any further indications of compromise. The Polestar task force agrees with the Volvo Cars assessment and does not believe, based on currently available information, that this breach has had any impact on the safety or security of its customers’ cars or their personal data. Polestar currently understands that no individual privacy data for Polestar has been compromised. In relation to the proprietary intellectual property for Polestar, investigations are ongoing. Polestar has entered into a number of agreements with Volvo Cars covering research and development services, intellectual property licenses, purchasing, manufacturing engineering and logistics engineering and manufacturing with respect to the Polestar 1, Polestar 2 and Polestar 3. See the section entitled “Certain Relationships and Related Party Transactions.” These agreements necessarily include shared access to Volvo Cars’ IT systems and, accordingly, Polestar remains vulnerable to cybersecurity breaches not only of its own IT systems, but of those of Volvo Cars as well. See “Risk Factors—Risks Related to Cybersecurity and Data Privacy—Polestar relies on its and Volvo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Cars’ IT systems and any material disruption to its or Volvo Cars’ IT systems could have a material adverse effect on Polestar.”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 and intellectual property licenses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 has or is about to enter into a number of agreements and licensing agreements with Volvo Cars with respect to research and development services and licensing of intellectual property in connection with the development and manufacture of the Polestar 1, Polestar 2, Polestar 3, Polestar 4 and Polestar 5. These agreements provide Polestar will pay development costs (either a fixed fee or as a volume share of development costs). The development cost is calculated based on actual cost and an arm’s length hourly rate. For Polestar 3 Polestar will pay a fixed price for the technology license and development services (either a fixed fee or as a volume share of development costs). For example,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development service agreement with Geely for the Polestar 4 during 2021.</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entered into several sourcing service agreements and maintenance agreements with Volvo Cars in connection with both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engineering and logistics engineering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has entered into manufacturing engineering service agreements with Volvo Cars in connection with the production of Polestar 1, Polestar 2 and Polestar 3. These agreements provide that Volvo Cars will support Polestar with the development and implementation of quality-assured manufacturing solutions for Polestar’s plant in Chengdu as well as providing industrial engineering services and manufacturing services with respect to the Polestar 1,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 manufacturing of Polestar 1 Polestar has entered into agreements with Volvo Cars to provide certain services such as electrocoating for Polestar 1 cars and certain pre-delivery manufacturing services in the Volvo Cars facility in Ghent. In addition, Polestar has entered into component supply agreements with Volvo Cars for Polestar 1. For the manufacturing of Polestar 2 cars Polestar has entered into contract manufacturing agreements with the Luqiao plant, which is owned and operated by Volvo Cars and which Volvo Cars renamed “Taizhou” after acquiring the plant from Geely in December 2021. Further, Polestar has entered into a financial undertaking agreements with Volvo Cars for investments for Polestar 3 production in a Volvo Cars plant in Chengdu China as well as at a plant in Charleston, South Carolina. Production in Chengdu is planned to early 2023, and Polestar has signed an agreement relating to the production in Charleston, which is to (i) serve as a binding commitment for Polestar to the scope set out in the agreement and (ii) confirm both parties’ intentions to enter into a more detailed agreement for production of Polestar 3 at Volvo Cars’s Chengdu and Charleston plants not later than 1 year before start of production. Both parties have committed to certain investments necessary to manufacture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assemble Polestar 3 at Volvo Cars’s Chengdu and Charleston plant prior to the parties entering into the definitive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Polestar has entered into several agreements regarding Outbound logistics according to which Volvo Cars support with supply chain related services for the supply of Polestar vehicles. Polestar has also entered into agreement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Charging Network</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w:t>
      </w: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towards low-emission, zero-emission or carbon neutral solutions. In addition, numerous manufacturers offer hybrid vehicles, including plug-in versions, with which Polestar’s vehicles also compete.</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is differentiated from its competitors due to its focus on design, technology and sustainability its global presence and ability to leverage an established production ecosystem due to its relationships with its founding partners.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 global basis, Polestar’s principal competitor is Tesla.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recently launched Model Y, a crossover SUV based on the Model 3. Lucid, a US vertically-integrated technology and automotive company headquartered in California is a potential competitor. While Lucid is engaged in the design, engineering, and construction of electric vehicles, electric vehicle powertrains and battery systems its Lucid Air handovers only started at the end of October 2021. In addition, Lucid does not currently have an SUV model and has focused recent efforts on promoting the Lucid Air, its sedan offering that is being offered at higher price points than many Polestar offerings.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Porsche is also a benchmark brand for future Polestar vehicles in terms of size and segments.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competition within the electric vehicle segment of the market, includes two pure play electric vehicle producers, Nio and Xpeng.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its proprietary technology and other intellectual property. Polestar relies on a combination of patents and trademarks to protect and preserve its proprietary technology and intellectual property. In addition, Polestar enters into employee, contractor, consultant and third-party nondisclosure and invention assignment agreements and other contractual arrangements.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2021, Polestar owned 110 issued U.S. patents and 93, 56, and 180 issued patents in the EU, China and other jurisdictions, respectively. Those patents are related to Polestar’s core proprietary technology. In addition, Polestar has 76 pending U.S. patent applications and 38, 32 and 21 pending patent applications in the EU, China and other jurisdictions, respectively. In addition to patents covering Polestar’s core proprietary technology, Polestar has 125 pending U.S. design patent applications, plus 21, 67 and 28 issued design or industrial design patents in the U.S., EU and China, respectively. Another 14 and 2 design applications are pending in the EU and China, respectively. As of December 31, 2021, Polestar owned 6 registered U.S. trademarks, 11 pending U.S. trademark applications, as well as 12 and 20 registered trademarks in the EU and China, respectively. Further, 5 and 19 trademark applications are pending in the EU and China, respectively.</w:t>
      </w:r>
    </w:p>
    <w:p>
      <w:pPr>
        <w:spacing w:after="0" w:line="18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Polestar’s commercial success will also depend in part on not infringing, misappropriating or otherwise violating the intellectual or proprietary rights of third parties. The issuance of third-party patents could require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Polestar’s proprietary technology and intellectual property, it has also acquired, licensed or sub-licensed intellectual property from Volvo Cars. For example, it has acquired intellectual property with respect to motor vehicle drive units with electric vehicle motors, motor assemblies for operating electric powertrains, and structures specifically designed to protect electric vehicle components. Polestar has also entered into agreements providing for a license relating to certain technology and features to be introduced in its model year programs for the Polestar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Polestar’s products are designed to comply with all applicable regulations in the markets where it operates. Currently, Polestar is present in nineteen markets in Europe,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that the following regulations are material to its business: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Polestar is required to obtain permits and licenses under the United States laws, regulations, and standards. Violations of these laws, regulations or permits and licenses may result in substantial civil and criminal fines,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penalties and possibly orders to cease the violating operations or to conduct or pay for corrective works. In some instances, violations may also result in the suspension or revocation of permits and licenses.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fulfill the applicable product requirements stipulated by the NHTSA and the EPA on a federal level, and similarly the CARB who is a major regulator on state level.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regulatory system in China applies type approval for Polestar’s vehicles under three regulatory bodies:</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Industry and Information Technology (“MIIT”)—regulates the approval to manufacture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Administration for Market Regulation (“SAMR”)—regulates vehicle safety;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Ecology and Environment (“MEP”)—regulates range and energy efficiency.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 in order to be able to operate in China, Polestar and its subsidiaries are subject to permission requirements from the following regulatory bodies:</w:t>
      </w:r>
    </w:p>
    <w:p>
      <w:pPr>
        <w:spacing w:after="0" w:line="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of Customs.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and its subsidiaries have received all requisite permissions to operate in China and have not been denied any permissions in the past.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permissions include the following:</w:t>
      </w:r>
    </w:p>
    <w:p>
      <w:pPr>
        <w:spacing w:after="0" w:line="112"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Pollutants Discharge Permit;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Declaration Registration Certificate or Customs Declaration Enterprise Record Receipt.</w:t>
      </w:r>
    </w:p>
    <w:p>
      <w:pPr>
        <w:spacing w:after="0" w:line="225"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Safety, Security and Privacy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2021, the United Nations announced UN R155—a regulation on cybersecurity and cybersecurity management systems. The regulation requires that, from July 2022, all new vehicles types and, from July 2024, all registered vehicles must prove that their product development is based on a systematic approach to risks associate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UNECE umbrella, UN R138 regulates the minimum sound emission of quiet vehicles, intended to protect persons with impaired vision around the vehicle.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EU overhauled its safety regulations in 2009 by adopting Regulation 661/2009, replacing more than fifty previously existing safety directives with one overarching safety regulation which included requirements on seat belts and child restraint systems for example. This regulation was in turn revised in 2019 by the adoption of Regulation 2019/2144 (the “General Safety Regulation”). The General Safety Regulation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 The new safety features will become mandatory from 2022, except for certain requirements that will follow later.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General Data Protection Regulation 2016/679 (the “GDPR”), processing of personal data of individuals located in the European Economic Area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Polestar to mitigate potential data breaches and to, unless the data breach leads to a low risk for the rights and freedoms of data subjects, report data breaches to the data protection supervisory authority within 72 hours. In order to meet the requirements of the GDPR and similar data privacy frameworks, Polestar has established a data privacy compliance program, including but not limited to policies, guidelines, impact and risk assessments, as well as training measures to ensure compliance with regard to personal data Polestar processes. 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(the “Safety Act”) requires cars and equipment sold in the United States to fulfill safety standards that are continuously updated to meet new technologies and needs.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Safety Act prohibits the sale in the United States of any new vehicle or equipment that does not conform to applicable vehicle safety standards established by NHTSA. Manufacturers are required to notify owners of any defects in vehicle safety and remedy such defects through vehicle recalls. The Safety Act also authorizes NHTSA to investigate complaints relating to vehicle safety.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NHTSA’s safety standards cover a variety of matters and are updated frequently. The 2000 Transportation Recall Enhancement, Accountability and Documentation Act (“TREAD Act”) required NHTSA to regulate vehicle rollover, impose more stringent tire safety standards and gather additional information relating to potential car defects. The TREAD Act also substantially increased NHTSA’s authority to impose both civil and criminal penalties for non-compliance with regulatory requirements. In addition, manufacturers are required to report to regulators certain information relating to customer complaints, warranty claims, field reports, and notices and claims involving property damage, injuries and fatalities in the United States and claims involving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fatalities outside the United States. Manufacturers are also required to report certain information concerning safety recalls and other safety campaigns outside the United States.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NHTSA issued in 2016 and updated in 2020, non-binding guidelines for addressing cybersecurity issues in the design and manufacture of new motor vehicles, as well as guidance for the investigation and validation of cybersecurity measures.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a new Federal Motor Vehicle Safety Standard requiring artificial sound in electric, and hybrid electric vehicles has taken effect for new motor vehicles built on or after March 1, 2021. The artificial sound is intended to provide audible notice of the presence of the electric or hybrid electric vehicle to persons with impaired 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On July 24, 2020, MIIT revised the 2017 Administrative Provisions on the Admission of New Energy Vehicle Manufacturing Enterprises and Products (the “2020 Admission Provisions”), and the 2020 Admission Provisions set out the safety requirements for new energy vehicles, such as the standards for vehicle-mounted rechargeable electrical energy storage system, operation safety and fault protection and protection against electric shock.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policies in China</w:t>
      </w:r>
    </w:p>
    <w:p>
      <w:pPr>
        <w:spacing w:after="0" w:line="12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In July 2021, China’s State Council issued Opinions on Strictly Cracking Down on Illegal Securities Activities, a policy that calls for strengthening enforcement and improving laws and regulations on cross-border data transfer and data security. On July 30, 2021, the Ministry of Industry and Information Technology of China issued the Opinion on Strengthening the Management of Connected Vehicle Manufacturers and Product Access. The opinion requires companies to strengthen their data security management capacity, such as establishing data classification management, enhancing data security protection measures, conducting self-assessment to identify risks related to data and reporting data security incident to local authorities. It also specifically provides that companies should store personal information and important data collected and generated during its operation in China within the territory of China; and if there is any need to export data, these companies are required to conduct security assessment.</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Data Security Law, which was promulgated by the Standing Committee of the National People’s Congress of China in June 2021 and entered into force in September 2021, imposes data security and privacy obligations on entities and individuals carrying out data activities, requires a national security review of data activities that may affect national security and imposes export restrictions on certain data and information. The Chinese Data Security Law has extraterritorial effect that data processing activities carried out outside of China that damage the national security and public interests of China, or the legitimate rights and interests of Chinese citizens and organizations will give rise to legal liabilities.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May 12, 2021, the CAC released a draft of Several Administrative Provisions on Automobile Data Security. Following the draft, the Several Measures on the Automobile Data Security Management was promulgated in August 2021 and entered into force on October 1, 2021. The regulation applies to the operators engaged in automobile design, manufacturing and providing relevant services, including automobile manufacturers, providers of component and software, dealers, repairers, ride-hailing companies and insurance companies. The regulation requires the operators to comply with certain requirements in relation to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in accordance with such laws; and if there is actual need to provide such data overseas, the operator is required to go through the data export security assessment organized by the CAC in accordance with such laws.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August 2021, the Chinese Personal Information Protection Law was passed and has been entered into force on November 1, 2021. The law provides further detailed rules for processing personal information and emphasizes its extraterritorial effect. It shall apply to the processing of personal information carried out outside of China of natural persons who are within the territory of China where (i) such processing is for the purpose of providing products or services for natural persons within China, (ii) such processing is to analyze or evaluate the behavior of natural persons within China or (iii) there are any other circumstances stipulated by laws and administrative regulations.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foregoing, on July 10, 2021, the CRO under the CAC promulgated a draft administrative measure relating to cybersecurity, which further restates and expands the rules of cybersecurity review in China. Pursuant to the administrative measure, critical information infrastructure operators that intend to purchase network products and services and data processors engaging in data processing activities that affect or may affect Chinese national security must be subject to cybersecurity review. The administrative measure specifically requires data processors in China who hold more than one million users’ personal information and plan to list on a stock exchange in a foreign country to apply for a cybersecurity review. Moreover, under the administrative measure, the CRO can initiate cybersecurity review under certain situations, for example, if a regulatory agency within the cyber-security review coordination mechanism believes a network product or service, data processing activity, or stock exchange listing activity outside of China impacts or might impact Chinese national security. As of the date of this prospectus, it is uncertain if and when this draft regulation will enter into force, and it remains unclear whether the formal version adopted in the future will have any further material changes (see also “Risk Factors—Risks Related to Cybersecurity and Data Privacy”).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AD/ADAS Regulations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Polestar’s ambition is to meet relevant requirements for each product, market, and time frame.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Environmental Regulations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operates in an industry that is subject to extensive sustainability and environmental related regulations, which have become more stringent over time. The laws and regulations to which Polestar is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Polestar’s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UNECE has developed certain international rules and regulations in the area of environment, range and energy consumption under the 1958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 – the Worldwide harmonized Light vehicles Test Procedure on Energy Consumption and Range, and Directive 2005/64/EC—Recyclability, Recoverability, Reusability.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EPA is the federal regulator within this field, but the CARB is recognized in the federal Clean Air Act and has autonomous local regulations impacting air quality control. Polestar fulfills the applicable federal regulations under 40 CFR and the California state regulations under CCR 13.</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MEP (formerly the Ministry of Environmental Protection) regulates range and energy efficiency for automotive products. It establishes and improves all fundamental systems in China with respect to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Emissions Credits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Recall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depicts the organizational structure of the Company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171450</wp:posOffset>
            </wp:positionV>
            <wp:extent cx="4620260" cy="19970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2026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issued to GGI Sponsor.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and Class A Shares converted from Preference Shares issued to Snita.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Subscription Shares issued to GGI Sponsor and Snita.</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subsidiaries of the Company as of the date of this prospectus are listed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6500" w:type="dxa"/>
            <w:vAlign w:val="bottom"/>
            <w:vMerge w:val="restart"/>
          </w:tcPr>
          <w:p>
            <w:pPr>
              <w:spacing w:after="0"/>
              <w:rPr>
                <w:sz w:val="12"/>
                <w:szCs w:val="12"/>
                <w:color w:val="auto"/>
              </w:rPr>
            </w:pPr>
          </w:p>
        </w:tc>
        <w:tc>
          <w:tcPr>
            <w:tcW w:w="2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650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Holding AB</w:t>
            </w: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1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Sweden</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Pte.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Performance AB</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Canada Inc.</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Canada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USA Inc.</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Gores Guggenheim, Inc.</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Belgium BV</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Germany GmbH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Netherlands BV</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Sweden AB</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Austria GmbH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Denmark ApS</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Finland Oy</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Switzerland GmbH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Norway A/S</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Korea Limited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Australia PTY Ltd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Distribution Pte.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Ireland Limited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Ireland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PLSTR Automotive Portugal Unipessoal Lda</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Poland sp. zo. o</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UK Limited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Spain S.L</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Luxembourg SARL</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Czech Republic s.r.o</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Shanghai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New Energy Vehicle Co., Ltd.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Consulting Service (Shanghai) Co., Ltd.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(Chongqing)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Jing’an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Shenzhen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Distribution (Taizhou)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Chaoyang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Shunyi Branch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65"/>
        </w:trPr>
        <w:tc>
          <w:tcPr>
            <w:tcW w:w="7240" w:type="dxa"/>
            <w:vAlign w:val="bottom"/>
            <w:gridSpan w:val="2"/>
          </w:tcPr>
          <w:p>
            <w:pPr>
              <w:ind w:left="5380"/>
              <w:spacing w:after="0"/>
              <w:rPr>
                <w:sz w:val="20"/>
                <w:szCs w:val="20"/>
                <w:color w:val="auto"/>
              </w:rPr>
            </w:pPr>
            <w:r>
              <w:rPr>
                <w:rFonts w:ascii="Times New Roman" w:cs="Times New Roman" w:eastAsia="Times New Roman" w:hAnsi="Times New Roman"/>
                <w:sz w:val="18"/>
                <w:szCs w:val="18"/>
                <w:color w:val="auto"/>
              </w:rPr>
              <w:t>117</w:t>
            </w: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588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58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Branch</w:t>
            </w:r>
          </w:p>
        </w:tc>
        <w:tc>
          <w:tcPr>
            <w:tcW w:w="62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People’s Republic of China</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Tianhe Branch</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Chengdu Branch</w:t>
            </w:r>
          </w:p>
        </w:tc>
        <w:tc>
          <w:tcPr>
            <w:tcW w:w="32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Hangzhou Branch</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Minhang Branch</w:t>
            </w:r>
          </w:p>
        </w:tc>
        <w:tc>
          <w:tcPr>
            <w:tcW w:w="32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Branch</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Pudong Jinqiao Branch</w:t>
            </w:r>
          </w:p>
        </w:tc>
        <w:tc>
          <w:tcPr>
            <w:tcW w:w="32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Polestar is headquartered in Göteborg, Sweden. Polestar’s research and development teams are located in Sweden and the United Kingdom. In Sweden, Polestar’s headquarters and research and development team are located in Göteborg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87"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Polestar uses a digital first, direct to consumer approach that enables its customers to browse Polestar’s products, configure their preferred vehicle and, where permitted, place their order on-line. Alternatively, Polestar Locations are where customers can see, feel and test drive Polestar’s vehicles prior to making an on-line purchase.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68"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 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to meet our needs for the immediate future and that suitable additional space will be procured to accommodate any expansion of our operations, as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had more than 1,300 employees. Polestar’s employees are mainly located in Sweden, China, UK and USA.</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includes information that Polestar’s management believes is relevant to an assessment and understanding of Polestar’s financial condition and results of operations.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On June 23, 2022, Polestar closed the Business Combination and the related transactions described elsewhere in this prospectus. The discussion should be read together with (i) the financial statements of Polestar Automotive Holding Limited as of December 31, 2021 and 2020, and for each of the three years in the period ended December 31, 2021, and (ii) the financial statements of Polestar Automotive Holding UK PLC (formerly known as Polestar Automotive Holding UK Limited) as of September 15, 2021 and December 31, 2021 and for the period September 15, 2021 to December 31, 2021, and the related notes thereto, included elsewhere in this prospectus. The discussion and review should also be read together with Polestar’s unaudited pro forma financial information as of and for the year ended December 31, 2021. See “Unaudited Pro Forma Condensed Combined Financial Information.”</w:t>
      </w:r>
    </w:p>
    <w:p>
      <w:pPr>
        <w:spacing w:after="0" w:line="18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Polestar’s actual results may differ materially from those anticipated in these forward-looking statements as a result of various factors, including those discussed in the sections titled “Risk Factors” and “Cautionary Note Regarding Forward-Looking Statements” included elsewhere in this prospectus. Certain amounts may not foot due to rounding.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Parent and its subsidiaries are collectively referred to herein as “Polestar,” “we,” “our,” or “us.”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Under contract manufacturing agreements, Polestar intends to expand its manufacturing presence to facilities in the U.S. and in Europe, in each case operated by Volvo Cars. For example, Polestar intends to produce the Polestar 3 in Volvo Cars’ plant in Charleston, South Carolina as well as in Chengdu, China. Polestar’s ability to leverage the manufacturing footprint of both Volvo Cars and Geely gives Polestar’s highly scalable business model immediate operating leverage.</w:t>
      </w:r>
    </w:p>
    <w:p>
      <w:pPr>
        <w:spacing w:after="0" w:line="187"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Alternatively, Polestar Locations are where customers can see, feel and test drive Polestar’s vehicles prior to making an online purchase. Polestar believes this combination of digital and physical retail presence delivers a seamless experience for its customers.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Polestar’s customer experience is further enhanced by its comprehensive service network that leverages the existing Volvo Cars service center network. Polestar currently has over 40 permanent Polestar Locations (and over 60 temporary or “pop-up” locations). Polestar plans to extend its retail locations in existing and new markets to total over 150 by the end of 2023. In addition, Polestar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During 2020, Polestar developed a sustainability strategy to support the vision of sustainable mobility. The strategy builds on the material issues Polestar faces and comprises four focus areas: climate neutrality, circularity, transparency and inclusion.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Climate neutrality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Combating the emission of greenhouse gases is one of Polestar’s top priorities. Most greenhouse gas emissions associated with Polestar’s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Polestar’s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Circularity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affects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Transparency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their complex supply chain and lack of reliable chain of custody methods. Polestar requires its suppliers to implement responsible sourcing practices to mitigate the risk of human rights violations. Polestar partners with Circulor, a traceability-as-a-service provider, which utilizes blockchain technology to trace the origins of many of the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Inclusion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Inclusion is diversity, representation, and equality working in harmony. By committing to this strategic focus area, Polestar stands up for the rights of people throughout its value chain – from the workers producing the material of its vehicles,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performance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Polestar’s growth and success over the past five years has depended on numerous factors and trends. While these factors and trends provide opportunities for Polestar, they also pose risks and challenges such as those discussed in the section entitled “Risk Factors.” The following paragraphs explain the key factors that continue to have a notable impact on Polestar.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Partnerships with Volvo Cars and Geely</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Innovative automotive technologies and design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development programs such as the Polestar Precept and P10 electric powertrain have advanced Polestar’s organic intellectual property. Further,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continues to display ambition to create industry-leading technologies through partnerships with Volvo Cars, Geely, Nvidia, Luminar, Waymo,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Zenseact, among others. This combination of research and development resources allows Polestar flexibility in determining which technologies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 in-house versus which to outsource to partners. Polestar believes that continued investments such as these are critical to establishing market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attracting new customers, and becoming a profitable global electric vehicle company. In the years ended December 31, 2021, 2020 and 2019,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$462,731, $338,093 and $349,653, respectively, were invested in new intellectual property. These investments have primarily impacted Polestar’s results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operations through higher amortization expense.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business model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operates a direct-to-consumer business model for sales of vehicles, which allows it to create a tailored experience for customers based on their individual preferences. Polestar cultivates this experience through Polestar Locations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original equipment manufacturer (“OEM”) dealer model.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Direct-to-business model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Fleet sales</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discounts in the form of annual rebates based on the number of vehicles ordered during the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2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Polestar has modified its business practices, including the implementation of work-from-home arrangements for employees able to perform their duties remotely and limiting the number of employees allowed to be in the office at once to uphold safe social distancing protocols. While the pandemic has not resulted in an apparent slowdown in Polestar’s operating activities, it may have impacted the ability of customers to access Polestar Locations and test drive vehicles. The Polestar sales model via the Polestar App and website helps mitigate the risk of COVID-19, as customers configure and order their vehicles online. Because Polestar’s commercialization phase commenced in the midst of COVID-19, distinguishing consequences of COVID-19 versus consequences of other, external factors is difficult as there is</w:t>
      </w:r>
    </w:p>
    <w:p>
      <w:pPr>
        <w:spacing w:after="0" w:line="5"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no pre-COVID-19, comparative historical performance. Therefore, Polestar cannot determine the independent impact of COVID-19 on its overall financial performance.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Beginning in the first quarter of 2021, there has been a trend in many parts of the world of increasing availability and administration of vaccines against COVID-19, as well as an easing of restrictions on social, business, travel and government activities and functions. Despite the increasing availability of vaccination programs and easing of restrictions, Polestar cannot currently predict if the recent emergence of new strains or continued infections and fatalities will cause governments to re-impose prior or impose new restrictive measures. The negative economic effects of the continuing pandemic could have an adverse impact on Polestar’s operating activities in the future, and an adverse impact on company growth from potential delays on the Polestar Group’s ability to recruit and train staff. COVID-19 could also affect the operations of suppliers and business partners, which may result in delays or disruptions in the supply chain of Polestar’s components and delay the development and rollout of future vehicles. 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in the volumes previously anticipated by Polestar. For additional information, see “Business—Recent Developments” and the section below entitled “—Factors Affecting Future Results of Operations.” Polestar will continue to closely monitor the effects of the pandemic. Refer to the section entitled “Risk Factors” for more information on risks posed by COVID-19.</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Russia and Ukraine conflict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 For additional information, see “Business—Recent Developments.”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 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 Refer to “Risk Factors” for information on risks posed by the Russia and Ukraine conflict.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Broader impacts of COVID-19 and the Russia and Ukraine conflict have included inflationary pressures on prices of components, materials, labor and equipment used in the production of Polestar vehicles. Particularly increases in battery prices due to the increase of lithium, cobalt and nickel costs are expected to lead to higher capital expenditures. It is uncertain whether the inflationary pressure on such prices and costs will persist in the future.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primary commercial operations in Europe and the U.S. While Europe and the U.S. represent Polestar’s primary geographic markets, Polestar’s presence is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quickly expanding in Asia.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Polestar’s Consolidated Financial Statements for more information on the basis of presentation and segment reporting. The following paragraphs describe the key components of revenue and expenses as presented in our Consolidated Statement of Loss.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consists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in partnership with Volvo Cars.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also include costs related to direct parts and materials, direct labor, and manufacturing overhead for the Polestar 1, which was manufactured at Polestar’s facility in Chengdu, China.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and incentive programs.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for Polestar’s internal engineering, research, and development functions, amortization of intangible assets related to intellectual property used in Polestar’s electric vehicles and internal development 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Finance income consist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expenses consist of current and deferred income tax expenses. Current income tax expenses primarily represent income taxes generated on income sourced in multiple foreign jurisdictions. Deferred income tax expenses represent differences generated between book accounting figures and tax figures.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Future Results of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Impact of COVID-19, Inflation and Supply Chain Disruptions and Carbon Credits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For additional information, see “Business —Recent Developments.” While Polestar expects total revenue from sales of vehicles for the year ending December 31, 2022 to be higher than for the year ended December 31, 2021, Polestar anticipates that supply chain disruptions will limit the number of vehicles we are able to deliver and sell and will have a negative impact on revenue during the year ending December 31, 2022. Polestar cannot anticipate whether the COVID-19 outbreak, the impact of inflation on prices of components, materials, labor and equipment used in the production of vehicles and the supply chain disruptions that occurred in the first half of 2022 will persist in the future.</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due to decreased market demand for carbon credits, Polestar’s revenue from the sale of carbon credits was approximately $6.3 million for the year ended December 31, 2021 as compared to $27.1 million during the year ended December 31, 2020. Based on prevailing market conditions for carbon credits and the level of demand for carbon credits during the year ended December 31, 2021, Polestar also expects revenue from the sale of carbon credits for the year ending December 31, 2022 to be negligible, and that demand for carbon credits from Volvo Cars and third party OEMs will remain low in the future.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Profit Impact of COVID-19, Inflation and Supply Chain Disruptions, Carbon Credits and Sales Mix</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delivered 28,677 vehicles during the year ended December 31, 2021 of which 2,836 vehicles included buyback agreements and 2,081 internal vehicle deliveries. The abovementioned impact of COVID-19, inflation and supply chain disruptions on global volumes are expected to have a corresponding impact on total cost of goods sold and gross profit for the year ending December 31, 2022. Since it is uncertain whether the lockdowns driven by COVID-19 outbreaks, the impact of inflation on prices of components, materials, labor and equipment used in the production of vehicles and the supply chain disruptions that occurred in the first half of 2022 will continue to occur, Polestar cannot anticipate whether similar impacts on total cost of goods sold and gross profit will persist in the future.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Due to these uncertainties Polestar reevaluated its assumptions on sales mix by geography, sales with buyback agreements, product configuration (e.g., single-motor vs. dual-motor) and channel (e.g., private consumer vs. fleet sales). As a result, Polestar expects the combined impact of COVID-19, inflation and supply chain disruptions on global volumes, the reduction of revenue from the sale of carbon credits and changes in sales mix described above will reduce gross profit for the year ending December 31, 2022. The reduction of revenue from the sale of carbon credits is also expected to reduce gross profit in future years as described above.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associated with the Business Combination and Listing on Nasdaq</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Costs associated with the Business Combination and on-going costs associated with being a Nasdaq listed foreign private issuer after the completion of the Business Combination, including Sarbanes Oxley compliance, digital capabilities and D&amp;O insurance premiums, will be reflected in Polestar’s results of operations for the year ending December 31, 2022 and future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Expenditures</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continue to rapidly increase the pace of its market expansion plans during 2022 and further invest in the development of its technology, sales locations and digital capabilities to provide customers with enhanced purchasing and ownership experiences. As a result, Polestar expects operating expenditures to increase for the year ended December 31, 2022 and future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2020 and 2019</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reading this comparative analysis, readers should note that Polestar commenced commercial deliveries of the Polestar 2 in August 2020, which impacts the comparability of financial performance between the periods presented. The following table summarizes Polestar’s historical Consolidated Statement of Loss for the years ended December 31, 2021, 2020 and 2019: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34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 vs 2020 Variance</w:t>
            </w: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2020 vs 2019 Variance</w:t>
            </w:r>
          </w:p>
        </w:tc>
      </w:tr>
      <w:tr>
        <w:trPr>
          <w:trHeight w:val="142"/>
        </w:trPr>
        <w:tc>
          <w:tcPr>
            <w:tcW w:w="38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1,337,181</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610,245</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92,415</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726,936</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517,830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(1,336,321)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(553,724)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(39,790)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(782,597)</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(513,934)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(55,661</w:t>
            </w: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w:t>
            </w: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3,896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(399,798)</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(104,354)</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(232,922)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(183,849)</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(34,386)</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(49,073)</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(149,463)</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(48,053)</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1,766</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1,339</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(49,819)</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(994,839</w:t>
            </w: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(440,488</w:t>
            </w: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(190,994</w:t>
            </w: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(554,351</w:t>
            </w: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(249,494</w:t>
            </w: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(45,249)</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(34,034)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(21,192)</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(11,215)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(12,842)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(535,795)</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(275,363)</w:t>
            </w:r>
          </w:p>
        </w:tc>
        <w:tc>
          <w:tcPr>
            <w:tcW w:w="3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(336)</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(13,535)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13,199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(11,520)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(1,007,454</w:t>
            </w: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(484,858</w:t>
            </w: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(197,975</w:t>
            </w: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(522,596</w:t>
            </w: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(286,883</w:t>
            </w: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372"/>
        </w:trPr>
        <w:tc>
          <w:tcPr>
            <w:tcW w:w="38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 Polestar’s revenue increased by $517,830, or 560%, from $92,415 for the year ended December 31, 2019 to $610,245 for the year ended December 31, 2020. Revenue from related parties increased by $55,068, or 60%, from $92,387 for the year ended December 31, 2019 to $147,455 for the year ended December 31, 2020. The following table summarizes changes in the components of revenue and related changes between annual periods: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1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 vs 2020 Variance</w:t>
            </w:r>
          </w:p>
        </w:tc>
        <w:tc>
          <w:tcPr>
            <w:tcW w:w="16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2020 vs 2019 Variance</w:t>
            </w:r>
          </w:p>
        </w:tc>
      </w:tr>
      <w:tr>
        <w:trPr>
          <w:trHeight w:val="142"/>
        </w:trPr>
        <w:tc>
          <w:tcPr>
            <w:tcW w:w="4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2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2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2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1,290,031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542,783</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747,248</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542,783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25,881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35,434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73,107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(9,553)</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(37,673)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27,141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(20,842)</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27,141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6,217</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6,217</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19,308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3,866</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(14,421)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92,415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726,936</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119</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517,830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w:t>
            </w:r>
          </w:p>
        </w:tc>
      </w:tr>
      <w:tr>
        <w:trPr>
          <w:trHeight w:val="20"/>
        </w:trPr>
        <w:tc>
          <w:tcPr>
            <w:tcW w:w="4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Sales of vehicles increased by $747,248, or 138%, from $542,783 for the year ended December 31, 2020 to $1,290,031 for the year ended December 31, 2021. As referenced earlier, this increase is primarily due to a full year of commercial sales in 2021, compared to three months in 2020 (as commercialization of the Polestar 2 didn’t commence until Q4 2020), as well as Polestar’s further expansion into new markets in 2021. Sales of vehicles increased by $542,783, or 100%, from nil for the year ended December 31, 2019 to $542,783 for the year ended December 31, 2020. The increase was due to the first commercial deliveries of the Polestar 1 and Polestar 2 to customers during the year ended December 31, 2020.</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 Sales of software and performance engineered kits decreased by $37,673, or 52%, from $73,107 for the year ended December 31, 2019 to $35,434 for the year ended December 31, 2020. The decrease is mainly an effect of the termination of the performance engineered kits agreement in March 2019. A new performance engineered kits agreement was not signed until December 2020, at which point in time Volvo Cars resumed offering Polestar’s performance engineered kits to its customers, but at a reduced price.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carbon credits decreased by $20,842, or 77%, from $27,141 for the year ended December 31, 2020 to $6,299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This decrease is due to prevailing market conditions and lower demand for carbon credits from Volvo Cars and third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OEMs. Sales of carbon credits increased by $27,141, or 100%, from nil for the year ended for the year ended December 31, 2019 to $27,141 for the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2020 as this was the first year Polestar sold carbon credits. The carbon credit arrangement with Volvo Cars was executed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2020 as the year ended December 31, 2020 was Polestar’s first year selling vehicles and generating carbon credits.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Vehicle leasing revenue increased by $6,217, or 100%, from nil for the year ended December 31, 2020 to $6,217 for the year ended December 31, 2021. The increase was the result of Polestar entering into operating leases for the first time in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Other revenue decreased by $14,421, or 75%, from $19,308 for the year ended December 31, 2019 to $4,887 for the year ended December 31, 2020. The decrease was primarily the result of a reduction in research and development services provided to Volvo Cars during the year ended December 31,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Cost of sales increased by $513,934, from $39,790 for the year ended December 31, 2019 to $553,724 for the year ended December 31, 2020. The increase in cost of sales was driven by deliveries of the Polestar 1 and Polestar 2. Prior to the year ended December 31, 2020, the Polestar 1 and Polestar 2 were only available for pre-order.</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 software and performance engineered kits and a negative gross profit impact of $4,887 related to reduced sales of research and development services to related parties. Gross profit increased by $3,896, or 7%, from $52,625 for the year ended December 31, 2019 to $56,521 for the year ended December 31, 2020. The increase in gross profit was reflective of cost efficiencies from contract manufacturing afforded by Polestar 2 manufacturing on a large scale.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$399,798, or 127%, from $314,926 for the year ended December 31, 2020 to $714,724 for the year ended December 31, 2021. This increase was primarily driven by continued investments in advertising, marketing, and promotional activities as part of Polestar’s commercial expansion across geographic markets such as the U.S., UK, Germany and China, increased professional service fees related to accounting, finance, and information technology, and higher wages and salaries associated with scaling headcount of Polestar’s sales and administrative personnel to meet the demands of the growing business. Selling, general and administrative expenses increased by $104,354, or 50%, from $210,572 for the year ended December 31, 2019 to $314,926 for the year ended December 31, 2020. The increase was primarily due to increased investments in advertising, 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 Research and development expenses increased by $149,463, or 435%, from $34,386 for the year ended December 31, 2019 to $183,849 for the year ended December 31, 2020.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increase was the result of amortization of intangible assets related to the Polestar 1 and Polestar 2, which commenced in December 2019 and March 2020, respectively, and higher wages and salaries associated with scaling Polestar’s research and development personnel to pursue new electric vehicle technologies, software, and processes.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and expenses, net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Other operating income and expenses, net decreased by $49,819 from $1,766 for the year ended December 31, 2020 to $(48,053) for the year ended December 31, 2021. This decrease was primarily due to an increase in unrealized foreign exchange losses on conversions from the SEK and the Chinese Yuan (“CNY”) related to Polestar’s contract manufacturing agreements in China. Other operating income and expenses, net increased by $427, or 32%, from $1,339 for the year ended December 31, 2019 to $1,766 for the year ended December 31, 2020. The increase primarily reflected higher unrealized foreign exchange gains on operating activities associated with Polestar’s commercial expansion in Europe, Asia, and other geographic markets.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Finance income increased by $29,771, or 931%, from $3,199 for the year ended December 31, 2020 to $32,970 for the year ended December 31, 2021. This increase was primarily driven by net foreign exchange gains on financial activities. Finance income decreased by $13,027, or 80%, from $16,226 for the year ended December 31, 2019 to $3,199 for the year ended December 31, 2020. The decrease was primarily related to lower interest income on bank deposits required by Polestar’s short-term credit facilities.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Finance expenses increased by $11,215, or 33%, from $34,034 for the year ended December 31, 2020 to $45,249 for the year ended December 31, 2021. This increase was primarily driven by interest expense on past due payables to Geely and Volvo Cars and interest expense on related party loans with Volvo Cars. Finance expenses increased by $12,842, or 61%, from $21,192 for the year ended December 31, 2019 to $34,034 for the year ended December 31, 2020. The increase was primarily related to higher interest charges related to Polestar’s related party loans with Volvo Cars and foreign exchange losses associated with Polestar’s short-term credit facilities.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decreased by $13,199, or 98%, from $13,535 for the year ended December 31, 2020 to $336 for the year ended December 31, 2021. This decrease was primarily driven by a decrease in deferred taxes related to foreign currency translation adjustments, coupled with lower withholding taxes in China due to reduced distributions for the period. This was offset by higher income tax expenses generated from the significant increase in Polestar’s sales volumes for the year ended December 31, 2021. Income tax expense increased by $11,520, or 572%, from $2,015 for the year ended December 31, 2019 to $13,535 for the year ended December 31, 2020. The increase was primarily due to higher deferred tax expenses related to internally developed intellectual property that were capitalized for book purposes and expensed for tax purposes, higher withholding taxes in China, and income tax expenses generated in Polestar’s sales units. Additionally, higher pre-tax book losses in the year ended December 31, 2020 as compared to the year ended December 31, 2019 generated in Sweden and China provided no corresponding tax benefit as deferred tax assets do not meet the accounting recognition criteria in these jurisdictions.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Polestar finances its operations primarily through the issuance of equity instruments, various short-term credit facilities, including working capital facilities, term loans with related parties, sale leaseback arrangements,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and extended trade credit with related parties. The principal uses for liquidity and capital are funding operations, research and development expenditures, and sustaining access to additional capital via the repayment of existing credit facilities. Polestar is currently in the process of expanding operations in Europe, North America, and Asia, which has resulted in increased advertising, marketing, and promotional costs.</w:t>
      </w:r>
    </w:p>
    <w:p>
      <w:pPr>
        <w:spacing w:after="0" w:line="176"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Polestar vehicles will continue to require substantial expenditures and Polestar is reliant upon continued investments from existing and new shareholders to fund operations. These conditions raised substantial doubt about Polestar’s ability to continue as a going concern.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the accompanying Consolidated Financial Statements.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and 2020, Polestar had cash and cash equivalents of $756,677 and $316,424, respectively. Cash and cash equivalents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consist of cash in banks with an original term of three months or less. As of December 31, 2021 and 2020, Polestar had restricted cash of nil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$50,206, respectively. Restricted cash consists of cash collateral held by financial institutions that provide Polestar’s short-term working capital loans.</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 pro forma basis, following the redemptions by the public stockholders of GGI, Polestar estimated that it would have cash and cash equivalents of approximately $1,552,413 on hand at December 31, 2021. Polestar believes its existing cash and cash equivalents, current, refinanced and new short-term credit facilities, current working capital arrangements with related parties, existing shareholders’ declarations of intent to subscribe to future equity offerings from related party owners, and the net proceeds from the Business Combination would be sufficient to meet its anticipated cash needs for at least 12 months from the date the accompanying Polestar Financial Statements were issued.</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Polestar’s pro forma cash resources, including the proceeds of the Business Combination,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and equity financing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2020, Polestar issued 14,371,808 ordinary shares to Polestar’s principal owners at $6.15 per share for total proceeds of $438,340. Polestar also issued 18,032,787 Class B ordinary shares to third party investors in March 2021 at $30.50 per share for total proceeds of $550,000. In July 2021, 17,345,079 Class A ordinary shares were converted to Class B ordinary shares. Following these events, total Class A and Class B ordinary shares issued and outstanding were 232,404,595, with each share valued at $8.04. During the periods presented in the accompanying Consolidated Financial Statements, Polestar utilized several short-term working capital loans, none of which require it to meet any material debt covenants. All short-term working capital loans that have come due during the periods presented have been repaid on-time. These loans are further detailed as follows:</w:t>
      </w:r>
    </w:p>
    <w:p>
      <w:pPr>
        <w:spacing w:after="0" w:line="93"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Polestar entered into a 12-month unsecured working capital loan with a bank in China.</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balance as of December 31, 2019 was $146,520. The loan carried interest at the latest interbank loan prime rate minus 0.1775%. This loan was fully repaid as of December 31, 2020.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Polestar entered into a 12-month unsecured working capital loan with a bank in China. The outstanding principal balance as of December 31, 2019 was $131,730. The loan carried interest at the LIBOR 3-month term rate plus 0.68657%. This loan was fully repaid as of December 31, 2020.</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Polestar entered into a 12-month unsecured working capital loan with a bank in China. The outstanding principal balance as of December 31, 2019 was $112,195. The loan carried interest at the LIBOR 3-month term rate plus 2.1%. This loan was fully repaid as of December 31, 2020.</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Polestar entered into a 3-month related party loan with Volvo Cars. The loan’s principal balance of $214,950 was fully repaid as of December 31, 2020. The loan carried interest at 3.48%.</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 of 0.25% to be paid on the value of the facility payable. This loan was fully repaid as of December 31, 2021.</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Polestar entered into a 12-month unsecured working capital loan agreement with a bank in China. The outstanding principal balance as of December 31, 2021 was $78,650. The loan carries interest at the latest 12-month national interbank loan prime offer rate plus 1.1%.</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Polestar entered into a 12-month unsecured working capital loan agreement with a bank in China. The outstanding principal balance as of December 31, 2021 was $130,559. The loan carries interest at a rate of 3.915% per annum.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As discussed in “</w:t>
      </w:r>
      <w:r>
        <w:rPr>
          <w:rFonts w:ascii="Times New Roman" w:cs="Times New Roman" w:eastAsia="Times New Roman" w:hAnsi="Times New Roman"/>
          <w:sz w:val="18"/>
          <w:szCs w:val="18"/>
          <w:i w:val="1"/>
          <w:iCs w:val="1"/>
          <w:color w:val="auto"/>
        </w:rPr>
        <w:t>Note 18—Equity of the accompanying Consolidated Financial Statements</w:t>
      </w:r>
      <w:r>
        <w:rPr>
          <w:rFonts w:ascii="Times New Roman" w:cs="Times New Roman" w:eastAsia="Times New Roman" w:hAnsi="Times New Roman"/>
          <w:sz w:val="18"/>
          <w:szCs w:val="18"/>
          <w:color w:val="auto"/>
        </w:rPr>
        <w:t>,” these convertible notes may not be cash settled and may only be settled via the automatic conversion to Class B common stock upon the occurrence of a qualifying conversion event, or at-will by Polestar, prior to a qualifying conversion event. As of December 31, 2021, no qualifying conversion event had occurred, and Polestar has not converted any of the convertible notes at-will. Therefore, all $35,231 of the convertible note remained outstanding.</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and December 31, 2020, Polestar entered into contracts to sell vehicles and then lease-back such vehicles for a period of up to 12 months, with an obligation to repurchase the vehicle at the end of the lease-back period. As of December 31, 2021 and 2020, $14,465 and $17,398 of the financing obligation related to these sale lease-backs was outstanding, respectively.</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Polestar enters into multiple low-value working capital credit facilities with various financial service providers across the Polestar Group’s multiple markets. These facilities are used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ensure the Polestar Group can meet vehicle demand and fund operations related to vehicle sales. As of December 31, 2021 and 2020, $32,453 and $1,345 of these working capital credit facilities were outstanding, respectively.</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Under both arrangements, Polestar has the ability to repay lenders or repurchase vehicles at its convenience. Due to these circumstances, these arrangements are accounted for as short-term financing instead of revenue generating sales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5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7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1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(312,156)</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(57,050)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(190,059)</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(129,672)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(243,707)</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(285,448)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359,643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475,407</w:t>
            </w:r>
          </w:p>
        </w:tc>
        <w:tc>
          <w:tcPr>
            <w:tcW w:w="12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used for operating activities</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Cash used for operating activities increased from $57,050 for the year ended December 31, 2020 to $312,156 for the year ended December 31, 2021. The change was primarily the result of Polestar fulfilling its provisions related to warranties, employee benefits, and other provisions, increased prepaid expenses, and higher levels of inventory due to market expansion, partially offset by higher collections of trade receivables from related parties.</w:t>
      </w:r>
    </w:p>
    <w:p>
      <w:pPr>
        <w:spacing w:after="0" w:line="158"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Cash used for operating activities decreased from $190,059 for the year ended December 31, 2019 to $57,050 for the year ended December 31, 2020. The change was primarily the result of increased trade payables to Polestar’s related parties, Volvo Cars and Geely, and accrued expenses, partially offset by higher trade receivables and inventories associated with the commencement of commercialization of the Polestar 2 in August 2020.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decreased from $285,448 for the year ended December 31, 2019 to $243,707 for the year ended December 31, 2020. The change was primarily the result of fewer additions of property, plant and equipment and investments in intellectual property related to the Polestar 1, Polestar 2 and Polestar 3 that had not yet been cash settled with Volvo Cars, partially offset by initial capitalization of investments in intellectual property under various internal development programs.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 increased from $359,643 for the year ended December 31, 2020 to $909,572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The change was primarily the result of the issuance of Class B common shares to third-party investors, the issuance of convertible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and increased short-term borrowings, partially offset by principal repayments related to existing short-term credit facilities.</w:t>
      </w:r>
    </w:p>
    <w:p>
      <w:pPr>
        <w:spacing w:after="0" w:line="207"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decreased from $475,407 for the year ended December 31, 2019 to $359,643 for the year ended December 31, 2020. The change was primarily the result of a decrease in restricted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cash deposits and principal repayments related to existing short-term credit facilities, partially offset by the issuance of Class A common shares of Polestar to Polestar’s principal owners.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w:t>
      </w:r>
      <w:r>
        <w:rPr>
          <w:rFonts w:ascii="Times New Roman" w:cs="Times New Roman" w:eastAsia="Times New Roman" w:hAnsi="Times New Roman"/>
          <w:sz w:val="18"/>
          <w:szCs w:val="18"/>
          <w:i w:val="1"/>
          <w:iCs w:val="1"/>
          <w:color w:val="auto"/>
        </w:rPr>
        <w:t>Note 9—Leases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Note 21—Liabilities to credit institutions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24—Commitments and contingencies</w:t>
      </w:r>
      <w:r>
        <w:rPr>
          <w:rFonts w:ascii="Times New Roman" w:cs="Times New Roman" w:eastAsia="Times New Roman" w:hAnsi="Times New Roman"/>
          <w:sz w:val="18"/>
          <w:szCs w:val="18"/>
          <w:color w:val="auto"/>
        </w:rPr>
        <w:t>” in the accompanying Consolidated financial statements for more detail on contractual obligations and commitments.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Polestar’s estimated future cash expenditures related to contractual obligations and commitments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763,780</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437,947</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298,833</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642,338</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642,338</w:t>
            </w: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89,329</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10,250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72,718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1,468,447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1,090,535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371,551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Polestar prepares its Consolidated Financial Statements in accordance with the IFRS issued by the IASB.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w:t>
      </w:r>
    </w:p>
    <w:p>
      <w:pPr>
        <w:spacing w:after="0" w:line="185" w:lineRule="exact"/>
        <w:rPr>
          <w:sz w:val="20"/>
          <w:szCs w:val="20"/>
          <w:color w:val="auto"/>
        </w:rPr>
      </w:pPr>
    </w:p>
    <w:p>
      <w:pPr>
        <w:ind w:left="120" w:right="360" w:firstLine="440"/>
        <w:spacing w:after="0" w:line="290" w:lineRule="auto"/>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Note 1—Significant accounting policies and judgements</w:t>
      </w:r>
      <w:r>
        <w:rPr>
          <w:rFonts w:ascii="Times New Roman" w:cs="Times New Roman" w:eastAsia="Times New Roman" w:hAnsi="Times New Roman"/>
          <w:sz w:val="17"/>
          <w:szCs w:val="17"/>
          <w:color w:val="auto"/>
        </w:rPr>
        <w:t>”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w:t>
      </w:r>
    </w:p>
    <w:p>
      <w:pPr>
        <w:spacing w:after="0" w:line="263"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recognition—determining the transaction price of performance obligations included with sales of vehicles and variable consideration for volume related discounts to fleet customers</w:t>
      </w:r>
    </w:p>
    <w:p>
      <w:pPr>
        <w:spacing w:after="0" w:line="5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Included with the sale of each Polestar vehicle are stand-ready obligations for the provision of certain services and maintenance (e.g., connected services and certified vehicle maintenance). Polestar utilizes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 (i) the vehicle represents the most valuable component of the contract, (ii) Polestar’s vehicles are not sold on a stand-alone basis such that an established price exists separate from the Services and Maintenance and</w:t>
      </w:r>
    </w:p>
    <w:p>
      <w:pPr>
        <w:spacing w:after="0" w:line="3" w:lineRule="exact"/>
        <w:rPr>
          <w:sz w:val="20"/>
          <w:szCs w:val="20"/>
          <w:color w:val="auto"/>
        </w:rPr>
      </w:pPr>
    </w:p>
    <w:p>
      <w:pPr>
        <w:ind w:left="440" w:hanging="324"/>
        <w:spacing w:after="0"/>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wide variation in market price among the limited competitors in this new space. The estimated transaction price allocated to each stand-</w:t>
      </w:r>
    </w:p>
    <w:p>
      <w:pPr>
        <w:spacing w:after="0" w:line="9" w:lineRule="exact"/>
        <w:rPr>
          <w:rFonts w:ascii="Times New Roman" w:cs="Times New Roman" w:eastAsia="Times New Roman" w:hAnsi="Times New Roman"/>
          <w:sz w:val="18"/>
          <w:szCs w:val="18"/>
          <w:color w:val="auto"/>
        </w:rPr>
      </w:pPr>
    </w:p>
    <w:p>
      <w:pPr>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2021 was related to transaction price allocated using the residual approach.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Intangible assets—capitalizing internally developed intellectual property and determining the useful lives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testing</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Polestar conducts routine evaluations of intangible assets and goodwill for evidence of impairment indicators. At least annually and when impairment indicators exist, Polestar conducts an impairment test at the cash generating unit level. The recoverable amount for cash generating units is established through a calculation of value in use under a discounted future cash flow model that uses significant estimations regarding future cash flows as seen in the 2022-2025 business plan, a terminal growth rate of 2.0% for cash flows through the next ten years, and an after-tax discount rate of 10.1%.</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of loss carry-forwards</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recognition of deferred tax assets requires estimates to be made about the level of future taxable income and the timing of recovery of deferred tax assets. These estimates take into consideration forecasted taxable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Certain new accounting standards and interpretations have been issued by the IASB but are not yet effective for the December 31, 2021 reporting period and have not been early adopted by the Polestar Group. These standards are not expected to have a material impact on Polestar’s Consolidated Financial Statements in current or future reporting periods.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the accompanying Consolidated Financial Statements for information on the new standards.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 is exposed to certain market risks in the ordinary course of business. These risks primarily consist of foreign exchange risk, interest rate risk, credit risk, and liquidity risk. Refer to “</w:t>
      </w:r>
      <w:r>
        <w:rPr>
          <w:rFonts w:ascii="Times New Roman" w:cs="Times New Roman" w:eastAsia="Times New Roman" w:hAnsi="Times New Roman"/>
          <w:sz w:val="18"/>
          <w:szCs w:val="18"/>
          <w:i w:val="1"/>
          <w:iCs w:val="1"/>
          <w:color w:val="auto"/>
        </w:rPr>
        <w:t>Note 2—Financial risk management</w:t>
      </w:r>
      <w:r>
        <w:rPr>
          <w:rFonts w:ascii="Times New Roman" w:cs="Times New Roman" w:eastAsia="Times New Roman" w:hAnsi="Times New Roman"/>
          <w:sz w:val="18"/>
          <w:szCs w:val="18"/>
          <w:color w:val="auto"/>
        </w:rPr>
        <w:t>” in the accompanying Consolidated Financial Statements for detailed discussion of these risks and sensitivity analyses.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global nature of Polestar’s business exposes cash flows to risks arising from fluctuations in exchange rates. Relative changes in the currency rates have a direct impact on Polestar’s operating income, finance income, finance expense, Consolidated Statement of Financial Position and Consolidated Statement of Cash Flows. To mitigate the impact of currency exchange rate fluctuations for the business operations, Polestar continually assesses its exposure to exchange rate risks.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Polestar’s main interest rate risk arises from short-term liabilities to credit institutions with variable rates, which exposes Polestar to cash flow interest rate risk. As of December 31, 2021 and 2020, the nominal amount of liabilities to credit institutions with floating interest rates was $642,338 and $363,490, respectively. Polestar closely monitors the effects of changes in the interest rates on its interest rate risk exposures, but Polestar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currently does not take any measures to hedge interest rate risks. Interest rate risk associated with these loans is limited given their short-term duration.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will incur losses as a result of non-payment by counterparties related to Polestar’s bank accounts, bank deposits, derivative transactions, and 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2021, 2020 and 2019 were in the range of BBB to 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2021, an unrelated customer accounted for $23,031 (12.54%) of the Polestar Group’s total trade receivables (i.e., trade receivables plus trade receivables—related parties). As of December 31, 2020, Volvo Cars accounted for $194,503 (63.21%) of the Polestar Group’s total trade receivables and an unrelated customer accounted for $32,392 (10.53%). Refer to “</w:t>
      </w:r>
      <w:r>
        <w:rPr>
          <w:rFonts w:ascii="Times New Roman" w:cs="Times New Roman" w:eastAsia="Times New Roman" w:hAnsi="Times New Roman"/>
          <w:sz w:val="18"/>
          <w:szCs w:val="18"/>
          <w:i w:val="1"/>
          <w:iCs w:val="1"/>
          <w:color w:val="auto"/>
        </w:rPr>
        <w:t>Note 23—Related party transactions</w:t>
      </w:r>
      <w:r>
        <w:rPr>
          <w:rFonts w:ascii="Times New Roman" w:cs="Times New Roman" w:eastAsia="Times New Roman" w:hAnsi="Times New Roman"/>
          <w:sz w:val="18"/>
          <w:szCs w:val="18"/>
          <w:color w:val="auto"/>
        </w:rPr>
        <w:t>” in the accompanying Consolidated Financial Statements for more details on related parties. Historically, Polestar has not incurred any losses from these customers, and it does not have any contractual right to off-set its payables and receivables.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(i) end customers who pay up-front for vehicles, (ii) fleet customers,</w:t>
      </w:r>
    </w:p>
    <w:p>
      <w:pPr>
        <w:spacing w:after="0" w:line="27" w:lineRule="exact"/>
        <w:rPr>
          <w:sz w:val="20"/>
          <w:szCs w:val="20"/>
          <w:color w:val="auto"/>
        </w:rPr>
      </w:pPr>
    </w:p>
    <w:p>
      <w:pPr>
        <w:ind w:left="120" w:right="60" w:hanging="4"/>
        <w:spacing w:after="0" w:line="252" w:lineRule="auto"/>
        <w:tabs>
          <w:tab w:leader="none" w:pos="4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(iv) financial service providers. All credit risk related to sales to end customers who pay up-front for vehicles is eliminated due to the nature of the payment. To mitigate risk related to fleet customers, credit risk reviews are performed prior to entering into related sales agreements. Depending on the creditworthiness of its customers, Polestar may establish credit limits to reduce credit risks. Polestar sells vehicles to financial service providers, who then form separate contractual relationships with end customers. To reduce the risk related to such financial service providers, Polestar has selected a few credible financing providers in each market. Credit risk reviews, establishment of credit limits, and selection of credible financial service providers must be strictly followed and monitored, globally. The maximum amount exposed to credit risk is the carrying amount of trade receivables.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Liquidity risk is the risk that Polestar is unable to meet ongoing financial obligations on time. Polestar faces liquidity risk as all loans from financial institutions are short-term in nature, generally with a credit term of one year or less.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Trade payables with related parties represent working capital arrangements under which Polestar’s liquidity needs are highly dependent on the continued flexible payment terms offered to Polestar by its related parties.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These flexible payment terms are not a contractual right and may be called upon in the future. Refer to “</w:t>
      </w:r>
      <w:r>
        <w:rPr>
          <w:rFonts w:ascii="Times New Roman" w:cs="Times New Roman" w:eastAsia="Times New Roman" w:hAnsi="Times New Roman"/>
          <w:sz w:val="18"/>
          <w:szCs w:val="18"/>
          <w:i w:val="1"/>
          <w:iCs w:val="1"/>
          <w:color w:val="auto"/>
        </w:rPr>
        <w:t>Note 23—Related party transactions</w:t>
      </w:r>
      <w:r>
        <w:rPr>
          <w:rFonts w:ascii="Times New Roman" w:cs="Times New Roman" w:eastAsia="Times New Roman" w:hAnsi="Times New Roman"/>
          <w:sz w:val="18"/>
          <w:szCs w:val="18"/>
          <w:color w:val="auto"/>
        </w:rPr>
        <w:t>” in the accompanying Consolidated Financial Statements for additional information on these arrangements.</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capital contributions from private equity investors.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Polestar held cash and cash equivalents of $756,677 and $316,424, respectively, that were available for managing liquidity risk. Polestar entered into short-term financing arrangements with credit institutions to enhance short term liquidity and financing needs. Refer to “</w:t>
      </w:r>
      <w:r>
        <w:rPr>
          <w:rFonts w:ascii="Times New Roman" w:cs="Times New Roman" w:eastAsia="Times New Roman" w:hAnsi="Times New Roman"/>
          <w:sz w:val="18"/>
          <w:szCs w:val="18"/>
          <w:i w:val="1"/>
          <w:iCs w:val="1"/>
          <w:color w:val="auto"/>
        </w:rPr>
        <w:t>Note 21—Liabilities to credit institutions</w:t>
      </w:r>
      <w:r>
        <w:rPr>
          <w:rFonts w:ascii="Times New Roman" w:cs="Times New Roman" w:eastAsia="Times New Roman" w:hAnsi="Times New Roman"/>
          <w:sz w:val="18"/>
          <w:szCs w:val="18"/>
          <w:color w:val="auto"/>
        </w:rPr>
        <w:t>” in the accompanying Consolidated Financial Statements for further details on short-term borrowings. Polestar’s short-term and mid-term liquidity management takes into account the maturities of financial assets and financial liabilities and estimates of cash flows from business operations.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private company, Polestar is not required to evaluate internal control over financial reporting in a manner that meets the standards of publicly traded companies required by Section 404(a) of the Sarbanes-Oxley Act, or Section 404. As a result of becoming a public company, Polestar will be required, pursuant to Section 404, to furnish a report by our management on, among other things, the effectiveness of our internal control over financial reporting for its annual report on Form 20-F. This assessment will need to include disclosures of any material weaknesses identified by Polestar’s management in its internal control over financial reporting.</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Polestar’s Consolidated Financial Statements for the years ended December 31, 2021 and 2020, Polestar identified material weaknesses in its internal control over financial reporting.</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2020, Polestar’s management determined Polestar did not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management determined Polestar does not have the appropriate process and controls to recognize revenue in accordance with agreements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5"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with customers. Moreover, Polestar does not have the appropriate process and controls to properly recognize intangible assets at period end in accordance with their service agreement for the upcoming model Polestar 4.</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and control activities resulted in adjustments to certain accounts and disclosures. The deficiencies associated with the IT environment and lack of SEC technical accounting expertise did not result in any material adjustments to Polestar’s Consolidated Financial Statements; however, such deficiencies could result in misstatements potentially impacting financial statement accounts and disclosures that would not be prevented or detected in a timely manner. The deficiency related to revenue recognition in accordance with agreements with customers resulted in material adjustments that were corrected prior to the issuance of Polestar’s Consolidated Financial Statements for the year ended December 31, 2021. Lastly, the deficiency related to the proper recognition period of an intangible asset resulted in a material adjustment to the Consolidated Statement of Financial Position that was corrected prior to the issuance of Polestar’s Consolidated Financial Statements for the year ended December 31, 2021.</w:t>
      </w:r>
    </w:p>
    <w:p>
      <w:pPr>
        <w:spacing w:after="0" w:line="19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Polestar is in the process of designing and implementing measures to improve its control environment and internal control over financial reporting. To remediate these material weaknesses, Polestar has taken and plans to take the following actions:</w:t>
      </w:r>
    </w:p>
    <w:p>
      <w:pPr>
        <w:spacing w:after="0" w:line="67" w:lineRule="exact"/>
        <w:rPr>
          <w:sz w:val="20"/>
          <w:szCs w:val="20"/>
          <w:color w:val="auto"/>
        </w:rPr>
      </w:pPr>
    </w:p>
    <w:p>
      <w:pPr>
        <w:ind w:left="1080" w:right="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hiring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document, evaluate, remediate, and test internal controls over financial reporting, including those that operate at a sufficient level of precision and frequency or that evidence the performance of the control;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and its independent registered public accounting firm were not required to, and did not, perform an evaluation of Polestar’s internal controls over financial reporting as of December 31, 2021 or any prior period in accordance with the provisions of the Sarbanes-Oxley Act. Accordingly, Polestar cannot assure that it has identified all, or that it will not in the future have additional, material weaknesses. Material weaknesses may still exist when the Company reports on the effectiveness of internal controls over financial reporting as required under Section 404 of the Sarbanes-Oxley Act after the completion of the Business Combination.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will monitor the effectiveness of internal control over financial reporting in the areas affected by the material weaknesses described above and will continue to perform additional procedures prescribed by management. Refer to the section entitled “Risk Factors” for more information on risks related to material weakness in Polestar’s internal controls.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UK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Automotive Holding UK Limited was incorporated as a private company under the laws of England and Wales on September 15, 2021 as a direct wholly owned subsidiary of Parent. Polestar Automotive Holding UK Limited is registered as a USD company. As of December 31, 2021, Polestar Automotive Holding UK Limited had no operating activities and only nominal capitalization.</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Polestar Automotive Holding UK Limited was formed for the purpose of becoming the ultimate parent company in the Polestar Group following the transactions contemplated in the Business Combination Agreement by and among Polestar Automotive Holding UK Limited, Polestar Group and GGI. Merger Sub is Polestar Automotive Holding UK Limited’s only direct wholly owned subsidiary and was incorporated on September 15, 2021 to facilitate the consummation of the Business Combination Agreement. At December 31, 2021, Merger Sub had no assets, liabilities or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Polestar Automotive Holding UK Limited re-registered as a public limited company under the laws of England and Wales with the name “Polestar Automotive Holding UK PLC.” Merger Sub merged with and into GGI, pursuant to which the separate corporate existence of Merger Sub ceased, with GGI being the surviving corporation and becoming a wholly owned subsidiary of the Company. Following the consummation of the transactions contemplated by the Business Combination Agreement, the Company became the surviving publicly-traded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had no operating activities.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cash or cash equivalents.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did not have any operating, investing, or financing cash flows.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Polestar Automotive Holding UK Limited had no contractual obligations and commitments outside of our related party transaction with Polestar Group. Refer to “</w:t>
      </w:r>
      <w:r>
        <w:rPr>
          <w:rFonts w:ascii="Times New Roman" w:cs="Times New Roman" w:eastAsia="Times New Roman" w:hAnsi="Times New Roman"/>
          <w:sz w:val="18"/>
          <w:szCs w:val="18"/>
          <w:i w:val="1"/>
          <w:iCs w:val="1"/>
          <w:color w:val="auto"/>
        </w:rPr>
        <w:t>Note 2—Related Party Transaction with Polestar Group</w:t>
      </w:r>
      <w:r>
        <w:rPr>
          <w:rFonts w:ascii="Times New Roman" w:cs="Times New Roman" w:eastAsia="Times New Roman" w:hAnsi="Times New Roman"/>
          <w:sz w:val="18"/>
          <w:szCs w:val="18"/>
          <w:color w:val="auto"/>
        </w:rPr>
        <w:t>” in the accompanying Consolidated Financial Statements for more detail.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does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prepare our Consolidated Financial Statements in accordance with the IFRS issued by IASB. Refer to “</w:t>
      </w:r>
      <w:r>
        <w:rPr>
          <w:rFonts w:ascii="Times New Roman" w:cs="Times New Roman" w:eastAsia="Times New Roman" w:hAnsi="Times New Roman"/>
          <w:sz w:val="18"/>
          <w:szCs w:val="18"/>
          <w:i w:val="1"/>
          <w:iCs w:val="1"/>
          <w:color w:val="auto"/>
        </w:rPr>
        <w:t>Note 1—Significant accounting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accompanying Consolidated Financial Statements for discussion of the accounting policies applied by us. From inception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we did not have operating activities or become party to transactions requiring the application of significant, difficult, subjective,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complex accounting judgements.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material exposure to market risk.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directors and executive officers of Polestar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582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(Chairman)</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Rowan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5" w:lineRule="exact"/>
        <w:rPr>
          <w:sz w:val="20"/>
          <w:szCs w:val="20"/>
          <w:color w:val="auto"/>
        </w:rPr>
      </w:pPr>
    </w:p>
    <w:p>
      <w:pPr>
        <w:ind w:left="120" w:right="1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Thomas Ingenlath </w:t>
      </w:r>
      <w:r>
        <w:rPr>
          <w:rFonts w:ascii="Times New Roman" w:cs="Times New Roman" w:eastAsia="Times New Roman" w:hAnsi="Times New Roman"/>
          <w:sz w:val="17"/>
          <w:szCs w:val="17"/>
          <w:color w:val="auto"/>
        </w:rPr>
        <w:t>joined Polestar as its Chief Executive Officer in July 2017 from Volvo Cars, where he served as the Senior Vice President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Design from July 2012. Mr. Ingenlath is also a member of the Board since April 2022. Prior to joining Polestar, he held various design management roles at Škoda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w:t>
      </w:r>
    </w:p>
    <w:p>
      <w:pPr>
        <w:spacing w:after="0" w:line="16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Ingenlath is qualified to serve on the Board based on his significant executive experience at Polestar and in the automobile industry.</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Johan Malmqvist </w:t>
      </w:r>
      <w:r>
        <w:rPr>
          <w:rFonts w:ascii="Times New Roman" w:cs="Times New Roman" w:eastAsia="Times New Roman" w:hAnsi="Times New Roman"/>
          <w:sz w:val="18"/>
          <w:szCs w:val="18"/>
          <w:color w:val="auto"/>
        </w:rPr>
        <w:t>joined Polestar as its Chief Financial Officer in September 2021 from Dole Food Company, where he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specialization in Finance.</w:t>
      </w:r>
    </w:p>
    <w:p>
      <w:pPr>
        <w:spacing w:after="0" w:line="17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Dennis Nobelius </w:t>
      </w:r>
      <w:r>
        <w:rPr>
          <w:rFonts w:ascii="Times New Roman" w:cs="Times New Roman" w:eastAsia="Times New Roman" w:hAnsi="Times New Roman"/>
          <w:sz w:val="17"/>
          <w:szCs w:val="17"/>
          <w:color w:val="auto"/>
        </w:rPr>
        <w:t>joined Polestar as Chief Operating Officer in September 2020. Since June 2021, Mr. Nobelius also serves on the Advisory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w:t>
      </w:r>
    </w:p>
    <w:p>
      <w:pPr>
        <w:spacing w:after="0" w:line="1" w:lineRule="exact"/>
        <w:rPr>
          <w:sz w:val="20"/>
          <w:szCs w:val="20"/>
          <w:color w:val="auto"/>
        </w:rPr>
      </w:pPr>
    </w:p>
    <w:p>
      <w:pPr>
        <w:ind w:left="120" w:right="1020"/>
        <w:spacing w:after="0" w:line="260" w:lineRule="auto"/>
        <w:rPr>
          <w:sz w:val="20"/>
          <w:szCs w:val="20"/>
          <w:color w:val="auto"/>
        </w:rPr>
      </w:pPr>
      <w:r>
        <w:rPr>
          <w:rFonts w:ascii="Times New Roman" w:cs="Times New Roman" w:eastAsia="Times New Roman" w:hAnsi="Times New Roman"/>
          <w:sz w:val="18"/>
          <w:szCs w:val="18"/>
          <w:color w:val="auto"/>
        </w:rPr>
        <w:t>for the start-up Expoplanet from May 2000 to September 2001. Mr. Nobelius holds a Ph.D. in R&amp;D Management and an MSc in Industrial Engineering &amp; Management from Chalmers University of Technology.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5"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Håkan Samuelsson </w:t>
      </w:r>
      <w:r>
        <w:rPr>
          <w:rFonts w:ascii="Times New Roman" w:cs="Times New Roman" w:eastAsia="Times New Roman" w:hAnsi="Times New Roman"/>
          <w:sz w:val="17"/>
          <w:szCs w:val="17"/>
          <w:color w:val="auto"/>
        </w:rPr>
        <w:t>has served as Chairman of the Board since June 2022 and joined the Parent Board in May 2020. Mr. Samuelsson also served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also serves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w:t>
      </w:r>
    </w:p>
    <w:p>
      <w:pPr>
        <w:spacing w:after="0" w:line="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Samuelsson was a director at AB Volvo from April 2016 to May 2018, a director at China-Euro Vehicle Technology Aktiebolag from May 2013 to March 2019, a director at Zenuity AB from May 2017 to July 2018, a director at Lynk &amp; Co Europe AB from November 2018 to September 2020. Mr. Samuelsson holds a Master of Science Degree in Mechanical Engineering from KTH Royal Institute of Technology, Sweden.</w:t>
      </w:r>
    </w:p>
    <w:p>
      <w:pPr>
        <w:spacing w:after="0" w:line="18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Samuelsson is qualified to serve on the Board based on his significant executive experience in the automotive sector.</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Carla De Geyseleer </w:t>
      </w:r>
      <w:r>
        <w:rPr>
          <w:rFonts w:ascii="Times New Roman" w:cs="Times New Roman" w:eastAsia="Times New Roman" w:hAnsi="Times New Roman"/>
          <w:sz w:val="18"/>
          <w:szCs w:val="18"/>
          <w:color w:val="auto"/>
        </w:rPr>
        <w:t>has served on the Board since June 2022 and joined the Parent Board in September 2020. Ms. De Geyseleer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specialization in Accounting, and an Executive MBA from the Institute for Management Development in Lausanne, Switzerland.</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De Geyseleer is qualified to serve on the Board based on her significant experience as a financial executive of publicly listed companies and her experience in the automotive sector.</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Karen C. Francis </w:t>
      </w:r>
      <w:r>
        <w:rPr>
          <w:rFonts w:ascii="Times New Roman" w:cs="Times New Roman" w:eastAsia="Times New Roman" w:hAnsi="Times New Roman"/>
          <w:sz w:val="18"/>
          <w:szCs w:val="18"/>
          <w:color w:val="auto"/>
        </w:rPr>
        <w:t>has served on the Board since June 2022. Ms. Francis has served as the Chair of the board of directors of Vontier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since December 2020. Ms. Francis also currently serves on the Audit and Compensation Committees at TuSimple Holdings Inc.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Donghui (Daniel) Li (“Daniel Li”) </w:t>
      </w:r>
      <w:r>
        <w:rPr>
          <w:rFonts w:ascii="Times New Roman" w:cs="Times New Roman" w:eastAsia="Times New Roman" w:hAnsi="Times New Roman"/>
          <w:sz w:val="18"/>
          <w:szCs w:val="18"/>
          <w:color w:val="auto"/>
        </w:rPr>
        <w:t>has served on the Board since June 2022 and joined the Parent Board in May 2020. Mr. Li serves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has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Li is qualified to serve on the Board based on his significant executive experience in the automotive sector and his experience in operational management in China.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Karl-Thomas Neumann </w:t>
      </w:r>
      <w:r>
        <w:rPr>
          <w:rFonts w:ascii="Times New Roman" w:cs="Times New Roman" w:eastAsia="Times New Roman" w:hAnsi="Times New Roman"/>
          <w:sz w:val="18"/>
          <w:szCs w:val="18"/>
          <w:color w:val="auto"/>
        </w:rPr>
        <w:t>has served on the Board since June 2022. Dr. Neumann joined the Parent Board in February 2022. Dr. Neumann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Dr. Neumann is qualified to serve on the Board based on his significant executive experience in the automotive sector.</w:t>
      </w:r>
    </w:p>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Richter </w:t>
      </w:r>
      <w:r>
        <w:rPr>
          <w:rFonts w:ascii="Times New Roman" w:cs="Times New Roman" w:eastAsia="Times New Roman" w:hAnsi="Times New Roman"/>
          <w:sz w:val="18"/>
          <w:szCs w:val="18"/>
          <w:color w:val="auto"/>
        </w:rPr>
        <w:t>has served on the Board since June 2022 and joined the Parent Board in May 2020. Mr. Richter has wide experience at high-growth technology companies, including leading business development, corporate development, legal, finance and product teams. Mr. Richter is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Richter is qualified to serve on the Board based on his significant experience in the fast-moving shared mobility industry and as a business development and start-up executive.</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Rowan (“Jim Rowan”) </w:t>
      </w:r>
      <w:r>
        <w:rPr>
          <w:rFonts w:ascii="Times New Roman" w:cs="Times New Roman" w:eastAsia="Times New Roman" w:hAnsi="Times New Roman"/>
          <w:sz w:val="18"/>
          <w:szCs w:val="18"/>
          <w:color w:val="auto"/>
        </w:rPr>
        <w:t>has served on the Board since June 2022. Mr. Rowan joined Volvo Cars as its new 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has also been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Mr. Rowan is qualified to serve on the Board based on his significant global experience as a technology executive.</w:t>
      </w:r>
    </w:p>
    <w:p>
      <w:pPr>
        <w:spacing w:after="0" w:line="2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Zhe (David) Wei (“David Wei”) </w:t>
      </w:r>
      <w:r>
        <w:rPr>
          <w:rFonts w:ascii="Times New Roman" w:cs="Times New Roman" w:eastAsia="Times New Roman" w:hAnsi="Times New Roman"/>
          <w:sz w:val="18"/>
          <w:szCs w:val="18"/>
          <w:color w:val="auto"/>
        </w:rPr>
        <w:t>has served on the Board since June 2022. Mr. Wei has over 20 years of experience in both investment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to a non-executive director of PCCW in May 2012. Mr. Wei also serves as a director of Zall Smart Commerce Group Ltd. (HKSE: 02098) since April 2016 and as a director at JNBY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Design Limited (HKSE: 03306) since June 2013. Mr. Wei was a director of Informa PLC (LON: INF) from June 2018 to May 2019, a director of Zhong</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spacing w:after="0" w:line="18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Wei is qualified to serve on the Board based on his significant experience in investment and operational management in China.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Closing, directors will be elected to serve for a term of three years to succeed the directors of the class whose terms expire at such annual general meeting.</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a period of three years following the Closing, a majority of the Board will be (i) independent under applicable stock exchange rules and</w:t>
      </w:r>
    </w:p>
    <w:p>
      <w:pPr>
        <w:spacing w:after="0" w:line="27" w:lineRule="exact"/>
        <w:rPr>
          <w:sz w:val="20"/>
          <w:szCs w:val="20"/>
          <w:color w:val="auto"/>
        </w:rPr>
      </w:pPr>
    </w:p>
    <w:p>
      <w:pPr>
        <w:ind w:left="120" w:right="140" w:hanging="4"/>
        <w:spacing w:after="0" w:line="253" w:lineRule="auto"/>
        <w:tabs>
          <w:tab w:leader="none" w:pos="3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with Volvo Cars/Geely. In addition,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pursuant to the Shareholder Acknowledgement Agreement, Parent and the Parent Shareholders have undertaken that (i) the initial Board after the Closing will include nine directors, a majority of whom will be independent directors, (ii) for a period of three years following the Closing, Parent and the Parent Shareholders will not vote in favor of the removal of any independent director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Karen Francis, Carla De Geyseleer, Karl-Thomas Neumann, David Richter and David Wei qualify as independent, as defined under the listing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 Contracts of Directors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the Company and any of its current non-employee directors providing for benefits upon termination of their service. For a discussion of compensation, including post-termination benefits, of employee directors, see section titled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Duties of the audit committee include the following:</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the adequacy of the audit committee charter and reviewing the performance of the audit committee;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recommending the appointment, retention and termination of the Company’s independent auditors and determining the compensation of the Company’s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plans and results of the audit engagement with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the Company’s independent auditors;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approve in advance all audit and non-audit services by the Company’s independent auditors, the scope and terms thereof and the fees therefor; reviewing the adequacy of the Company’s internal accounting controls;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Company maintains a robust risk management function, including in respect of IT and cybersecurity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at least quarterly with the Company’s Chief Financial Officer and the Company’s independent auditors.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consists of Karen Francis, Daniel Li, Jim Rowan and Håkan Samuelsson, with Håkan Samuelsson serving as the chair of the compensation committee.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reviewing and making recommendations to the Board relating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making recommendations to the Board regarding the Company’s compensation plans;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regarding the performance, evaluation and compensation of other officers.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which satisfies the applicable rules of the SEC and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spacing w:after="0" w:line="81" w:lineRule="exact"/>
        <w:rPr>
          <w:sz w:val="20"/>
          <w:szCs w:val="20"/>
          <w:color w:val="auto"/>
        </w:rPr>
      </w:pPr>
    </w:p>
    <w:p>
      <w:pPr>
        <w:ind w:left="5480" w:right="1820" w:hanging="4824"/>
        <w:spacing w:after="0" w:line="454" w:lineRule="auto"/>
        <w:tabs>
          <w:tab w:leader="none" w:pos="10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 147</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with the Board the composition of the board with regards to characteristics such as independence, knowledge, skills, experience and diversity of the Board members;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the Company and periodically reviewing such guidelines and recommending changes to the Board for approval as necessary;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 of the Board.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which satisfies the applicable rules of the SEC and the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Information contained on the Company’s website is not incorporated by reference into this prospectus, and you should not consider information contained on the Company’s website to be part of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203" w:lineRule="exact"/>
        <w:rPr>
          <w:sz w:val="20"/>
          <w:szCs w:val="20"/>
          <w:color w:val="auto"/>
        </w:rPr>
      </w:pPr>
    </w:p>
    <w:p>
      <w:pPr>
        <w:ind w:left="1080" w:right="1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Polestar’s Key Management and Directors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was formed on September 15, 2021 and did not have any key management or directors prior to Closing. The aggregate amount of compensation, including cash, equity awards and other benefits, the Company’s executive officers (Thomas Ingenlath, Johan Malmqvist and Dennis Nobelius) received from Polestar for the year ended December 31, 2021 was approximately $2,308,209. The total compensation paid to Polestar’s executive officers in fiscal year 2021 consisted solely of base salary, short-term variable pay, and the value of pension benefits and other employee benefits, including, for eligible participants, variable pay pursuant to Polestar’s cash incentive programs (as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Bonus Program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employees of Polestar, including each of the Company’s executive officers, participate in the Polestar Bonus Program, a short-term cash incentive program, which is approved by the Board annually. Under the Polestar Bonus Program, employees are eligible to receive an annual cash bonus based on global Polestar key performance indicators (“KPIs”) applicable for all markets and all employees. At the end of the applicable performance period, the Board determines the achievement of the relevant performance metrics.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2021, the Polestar Bonus Program was based on the following KPIs: (i) operational growth and retail deliveries volume;</w:t>
      </w:r>
    </w:p>
    <w:p>
      <w:pPr>
        <w:spacing w:after="0" w:line="27" w:lineRule="exact"/>
        <w:rPr>
          <w:sz w:val="20"/>
          <w:szCs w:val="20"/>
          <w:color w:val="auto"/>
        </w:rPr>
      </w:pPr>
    </w:p>
    <w:p>
      <w:pPr>
        <w:ind w:left="120" w:right="60" w:hanging="4"/>
        <w:spacing w:after="0" w:line="253" w:lineRule="auto"/>
        <w:tabs>
          <w:tab w:leader="none" w:pos="3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growth; (iii) customer experience; and (iv) implementation of the Company’s sustainability action plans on all department levels. After the conclusion of the fiscal year 2021 performance period on December 31, 2021, the Board determined that the KPIs were achieved at 130% of target levels (in the case of the operational growth and retail deliveries volume and financial growth metrics, based on achievement of the objective performance goals) for fiscal year 2021, resulting in a payout equal to 130% of target bonus levels.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LTVP Program</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Polestar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Awards under the LTVP Program are paid based on achievement of performance conditions and the market value of Volvo Car Group at the end of a three-year performance period. For fiscal year 2021, performance conditions under the LTVP Program were based on (i) value creation, as measured by an independent third-party valuation, and (ii) Volvo Cars Group performance, measured based on average three-year Operating Margin and average three-year Revenue Growth.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Nobelius and Mr. Malmqvist are entitled to health care insurance at the expense of Polestar, and Mr. Malmqvist is also entitled to relocation support in connection with their relocation to Sweden, with company-paid housing costs for three months and housing cost support for an additional nine months.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Messrs. Ingenlath, Malmqvist and Nobelius are each subject to restrictive covenants under their employment agreements relating to assignment of intellectual property and confidentiality. In addition, Mr. Ingenlath is subject to restrictive covenants relating to non-competition, non-solicitation of customers and non-solicitation and non-hire of employees during the term of his employment. In the event Mr. Ingenlath breaches any restrictive covenant under his employment agreement, he may owe liquidated damages to Polestar in respect of each such breach in an amount equal to six times his average monthly gross salary.</w:t>
      </w:r>
    </w:p>
    <w:p>
      <w:pPr>
        <w:spacing w:after="0" w:line="183"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Messrs. Ingenlath and Malmqvist’s employments may be terminated by Polestar subject to 12 months’ notice and be terminated by the executive subject to six months’ notice. In the event of termination of employment by Polestar, Messrs. Ingenlath and Malmqvist are each entitled to severance pay equal to 12 times monthly base salary, payable in installments. Mr. Nobelius’s employment may be terminated according to the notice periods stipulated under the applicable collective bargaining agreement. Mr. Nobelius is not entitled to severance pursuant to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Messrs. Malmqvist and Nobelius are covered by the defined contribution pension plan (ITP 1) as per the Swedish collectively agreed “Avtal om ITP och TGL,” and the VFF pension (Volvo Företagspension), a defined contribution pension scheme.</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Mr. Ingenlath is covered by the defined benefit pension plan (ITP 2) as per the Swedish collectively agreed “Avtal om ITP och TGL” and the Volvo Management Pension (VMP), a supplementary pension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For 2020, Polestar did not have access to the information to report its proportionate share of the plan’s obligations, assets under management and cost that would make it possible to report this plan as a defined benefit plan, so it is recorded as a defined contribution plan. Polestar paid premiums of about TUSD 3.340 to Alecta in 2021. Polestar’s share of the total saving premiums for the ITP pension plan in Alecta as of December 31, 2021 amounted to 0.13056 (0.05375) per cent and Polestar’s share of the total number of active policy holders amounted to 0.04485 (0.02605)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2021, the consolidation level amounts to 171 per cent.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Non-Employee Directors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Polestar has established a compensation program for its non-employee directors. Directors who are employed or otherwise remunerated by Volvo Cars or Geely do not receive any compensation for their services as directors.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aggregate amount of Polestar’s non-employee directors’ compensation paid to or earned by such directors for service on the Polestar Board was approximately $153,881,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after the Business Combination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entered into to be party 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18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determinations regarding the compensation arrangements that will govern following the Closing for executive officers have been made at this point and current compensation arrangements will remain in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Closing, the Company adopted the Equity Plan and the Employee Stock Purchase Plan (each, as defined and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Closing, the Company adopted the Polestar Automotive Holding UK PLC 2022 Omnibus Incentive Plan (the “Equity Plan”), pursuant to which employees of the Company and the Company’s affiliates performing services for the Company, including the Company’s executive officers, will be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Equity Plan is qualified in its entirety by reference to the Equity Plan, a copy of which is filed as an exhibit to this prospectus.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Securities Offered</w:t>
      </w:r>
    </w:p>
    <w:p>
      <w:pPr>
        <w:spacing w:after="0" w:line="119"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Subject to adjustment in the event of certain transactions or changes of capitalization in accordance with the Equity Plan, a total of 10,000,000 shares of Class A ADSs (or Class A Shares, as the context may require) have been initially reserved for issuance pursuant to awards under the Equity Plan. The total number of shares reserved for issuance under the Equity Plan will be increased on January 1 of each calendar year during the term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Equity Plan, by the lesser of (i) 0.5% of the total number of Shares outstanding on each December 31 immediately prior to the date of increase or</w:t>
      </w:r>
    </w:p>
    <w:p>
      <w:pPr>
        <w:spacing w:after="0" w:line="27" w:lineRule="exact"/>
        <w:rPr>
          <w:sz w:val="20"/>
          <w:szCs w:val="20"/>
          <w:color w:val="auto"/>
        </w:rPr>
      </w:pPr>
    </w:p>
    <w:p>
      <w:pPr>
        <w:ind w:left="120" w:hanging="4"/>
        <w:spacing w:after="0" w:line="252" w:lineRule="auto"/>
        <w:tabs>
          <w:tab w:leader="none" w:pos="3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Equity Plan is administered by a committee of the Board that has been authorized to administer the Equity Plan, except if no such committee is authorized by the Board, the Board will administer the Equity Plan (as applicable, the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and its affiliates are eligible to receive awards under the Equity Plan. Consultants and non-employee directors of the Company and its affiliates may receive awards granted under the Annex.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may grant options to the Company’s employees and employees of its affiliates, except that ISOs may only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 SAR is the right to receive an amount (payable in Class A ADSs) equal to the excess of the fair market value of one Class A ADS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 grant of Class A ADSs subject to the restrictions on transferability and risk of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the discretion to determine the terms and conditions that the participant will be entitled to dividends payable on the shares of restricted stock.</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RSU is a right to receive Class A ADSs at the end of a specified period equal to the fair market value of one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w:t>
      </w:r>
    </w:p>
    <w:p>
      <w:pPr>
        <w:spacing w:after="0" w:line="182"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that vests and/or becomes exercisable or distributable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during a specified performance period, as established by the Committee. Performance awards may be granted alone or in addition to other awards under the Equity Plan, and will be settled in Class A ADSs.</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Other share-based awards are awards denominated and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or related to, the value of Class A ADSs.</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Under the Annex to the Equity Plan, cash awards may be granted on a free-standing basis or as an element of, a supplement to,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any other award. SARs, RSUs and performance awards that may be settled in cash may be granted under the Annex to the Equity Plan.</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 Awards. </w:t>
      </w:r>
      <w:r>
        <w:rPr>
          <w:rFonts w:ascii="Times New Roman" w:cs="Times New Roman" w:eastAsia="Times New Roman" w:hAnsi="Times New Roman"/>
          <w:sz w:val="18"/>
          <w:szCs w:val="18"/>
          <w:color w:val="auto"/>
        </w:rPr>
        <w:t>Awards may be granted under the Equity Plan in substitution for similar awards held for individuals who become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merger, consolidation or acquisition of another entity by or with the Company or one of its affiliates.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awards granted under the Equity Plan are subject to reduction, cancelation or recoupment under any written clawback policy that the Company may adopt and that the Company determines should apply to awards under the Equity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Board or the Committee may amend or terminate any award, award agreement or the Equity Plan at any time, provided that the rights of a participant granted an award prior to such amendment or termination may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awards under the Equity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If an optionee is granted an NSO under the Equity Plan, the optionee should not have taxable income 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Generally, the optionee should recognize ordinary income at the time of exercise in an amount equal to the fair market value of the shares acquired on the date of exercise, less the exercise price paid for the shares. The optionee’s basis in the Class A ADSs for purposes of determining gain or loss on a subsequent sale or disposition of such shares generally will be the fair market value of the Class A ADSs on the date the optionee exercises such option. Any subsequent gain or loss will be taxable as a long-term or short-term capital gain or loss. The Company or its subsidiaries or affiliates generally should be entitled to a federal income tax deduction at the time and for the same amount as the optionee recognizes ordinary income.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receiving ISOs should not recognize taxable income upon grant. Additionally, if applicable holding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the participant should not recognize taxable income at the time of exercise. However, the excess of the fair market value of the shares of Class A ADSs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the Company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The Company or its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current federal income tax consequences of other awards authorized under the Equity Plan generally follow certain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The Company or its subsidiaries or affiliates generally should be entitled to a federal income tax deduction at the time and for the same amount as the award recipient recognizes ordinary income.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409A of the Code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types of awards under the Equity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Equity Plan and awards granted under the Equity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Equity Plan and applicable award agreements may be amended to further comply with Section 409A of the Code or to exempt the applicable awards from Section 409A of the Code.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EQUITY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adopted the Polestar Automotive Holding UK PLC 2022 Employee Stock Purchase Plan (the “Employee Stock Purchase Plan”). The following is a summary of the material features of the Employee Stock Purchase Plan. This summary is qualified in its entirety by reference to the complete text of the Employee Stock Purchase Plan, a copy of which is filed as an exhibit to this prospectus.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 of the Employee Stock Purchase Plan</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Employee Stock Purchase Plan is to provide the Company’s employees and employees of the Company’s participating subsidiaries with the opportunity to purchase Class A ADSs (or Class A Shares, as the context may require) through accumulated payroll deductions during successive offering periods.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will be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Eligible employees become participants in the Employee Stock Purchase Plan by enrolling and authorizing payroll deductions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total of 2,000,000 Class A ADSs are reserved for issuance under the Employee Stock Purchase Plan, which reserve amount will be increased on the first day of each fiscal year during the term of the Employee Stock Purchase Plan following the fiscal year in which the effective date of the Employee Stock Purchase Plan occurs by the lesser of (i) 0.1% of the total number of shares of Company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Participating in an Offering</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Periods. </w:t>
      </w:r>
      <w:r>
        <w:rPr>
          <w:rFonts w:ascii="Times New Roman" w:cs="Times New Roman" w:eastAsia="Times New Roman" w:hAnsi="Times New Roman"/>
          <w:sz w:val="18"/>
          <w:szCs w:val="18"/>
          <w:color w:val="auto"/>
        </w:rPr>
        <w:t>Class A ADSs are offered to eligible employees under the Employee Stock Purchase Plan during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Offering periods under the Employee Stock Purchase Plan commence when determined by the administrator. The length of an offering period under the Employee Stock Purchase Plan is determined by the administrator and may be up to 27 months long. Employee payroll deductions are used to purchase Class A ADSs on the exercise date of an offering period. The exercise date for each offering period is the final trading day in the offering period. The administrator may, in its discretion, modify the terms of future offering periods.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Enrollment and Contributions</w:t>
      </w:r>
      <w:r>
        <w:rPr>
          <w:rFonts w:ascii="Times New Roman" w:cs="Times New Roman" w:eastAsia="Times New Roman" w:hAnsi="Times New Roman"/>
          <w:sz w:val="18"/>
          <w:szCs w:val="18"/>
          <w:color w:val="auto"/>
        </w:rPr>
        <w:t>. The Employee Stock Purchase Plan permits participants to purchase Class A ADSs through payroll deductions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eligible compensation, but not more than 5% of their eligible compensation as of each payroll date during an offering period.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w:t>
      </w:r>
    </w:p>
    <w:p>
      <w:pPr>
        <w:spacing w:after="0" w:line="183"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On the first trading day of each offering period, each participant is automatically granted an option to purchase Class 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expires on the last trading day of the applicable offering period and is exercised at that time to the extent of the payroll deductions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purchase price of the Class A ADSs under the Employee Stock Purchase Plan, in the absence of a contrary designation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Withdrawal and Termination of Employment</w:t>
      </w:r>
      <w:r>
        <w:rPr>
          <w:rFonts w:ascii="Times New Roman" w:cs="Times New Roman" w:eastAsia="Times New Roman" w:hAnsi="Times New Roman"/>
          <w:sz w:val="18"/>
          <w:szCs w:val="18"/>
          <w:color w:val="auto"/>
        </w:rPr>
        <w:t>. Participants may voluntarily end their participation in the Employee Stock Purchase Plan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 offering period prior to the end of the offering period by delivering written notice to the Company, and can elect to either (i) be paid their accrued payroll deductions that have not yet been used to purchase Class A ADSs or (ii) exercise their option at the end of the applicable offering period, and then be paid any remaining accrued payroll deductions. Participation in the Employee Stock Purchase Plan ends automatically upon a participant’s termination of employment and any remaining accrued payroll deductions in the participant’s account will be paid to such participant following such termination.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outstanding rights under the Employee Stock Purchase Plan. 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10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Matching Shares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countries outside of the United States and to provide benefits under the Employee Stock Purchase Plan to employees located in the United States in excess of the limitations under Section 423 of the Code. Subject to the administrator’s determination, eligible employees located within or outside the United States may elect to have an amount credited to their plan account (in the case of eligible employees located in the United States, which may be in excess of the $25,000 limitation under Section 423 of the Code), which amounts will be used to purchase Class A ADSs on the open market on such participant’s behalf (based on the full fair market value of such Class A ADSs). In addition, the administrator may, in its discretion, offer matching shares denominated in Class A ADSs on a quarterly basis to all eligible employees, in an amount equal to up to 100% of the number of Class A ADSs credited to the participant’s plan account prior to the last day of the applicable purchase period, provided that a participant may not receive an aggregate value of matching shares in respect of any calendar year in excess of 1% of the participant’s eligible compensation. To receive matching shares, the participant must (i) be an eligible employee on the date the matching shares are offered and (ii) retain the Class A ADSs purchased during the applicable quarter until the date following the one-year anniversary of the purchase with respect to which the matching shares are credited to the participant’s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rights granted under the Employee Stock Purchase Plan other than by will or the laws of descent and distribution, and such rights are generally exercisable only by the participant.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suspend or terminate the Employee Stock Purchase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Employee Stock Purchase Plan to no longer be an “employee stock purchase plan” under Section 423(b) of the Code.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under “—Matching Shares,”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the holding periods described above, or in the event a U.S. participant receives matching Class A ADSs as described above under “—Matching Shares,”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9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EMPLOYEE STOCK PURCHASE PLAN. AMONG OTHER ITEMS THIS DISCUSSION DOES NOT ADDRESS ARE TAX CONSEQUENCES UNDER THE LAWS OF ANY STATE,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LOCALITY OR FOREIGN JURISDICTION, OR ANY TAX TREATIES OR CONVENTIONS BETWEEN THE UNITED STATES AND FOREIGN JURISDICTIONS. THIS DISCUSSION IS BASED UPON CURRENT LAW AND INTERPRETATIONAL AUTHORITIES WHICH ARE SUBJECT TO CHANGE AT ANY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will also enter into indemnification agreements with its directors and officers, as well as members of Polestar Group’s senior management. These agreements, among other things, will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 in the form of American Depositary shares by:</w:t>
      </w:r>
    </w:p>
    <w:p>
      <w:pPr>
        <w:spacing w:after="0" w:line="13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more than 5% of the outstanding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or a director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the Shares is based on 2,109,034,797 Shares issued and outstanding. The expected beneficial ownership percentage set forth below does not take into account (i) warrants that are outstanding and may be exercised commencing 30 days after the Closing Date, (ii) Earn Out Shares and (iii) shares that will vest pursuant to the Equity Plan and Employee Stock Purchase Plan.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noted, the business address of each beneficial owner is Assar Gabrielssons Väg 9, 405 31 Göteborg, Sweden.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6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1640" w:type="dxa"/>
            <w:vAlign w:val="bottom"/>
          </w:tcPr>
          <w:p>
            <w:pPr>
              <w:spacing w:after="0"/>
              <w:rPr>
                <w:sz w:val="18"/>
                <w:szCs w:val="18"/>
                <w:color w:val="auto"/>
              </w:rPr>
            </w:pPr>
          </w:p>
        </w:tc>
        <w:tc>
          <w:tcPr>
            <w:tcW w:w="1900" w:type="dxa"/>
            <w:vAlign w:val="bottom"/>
            <w:gridSpan w:val="2"/>
          </w:tcPr>
          <w:p>
            <w:pPr>
              <w:ind w:left="82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(1)</w:t>
            </w:r>
          </w:p>
        </w:tc>
        <w:tc>
          <w:tcPr>
            <w:tcW w:w="1040" w:type="dxa"/>
            <w:vAlign w:val="bottom"/>
            <w:gridSpan w:val="2"/>
          </w:tcPr>
          <w:p>
            <w:pPr>
              <w:ind w:left="5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1640" w:type="dxa"/>
            <w:vAlign w:val="bottom"/>
          </w:tcPr>
          <w:p>
            <w:pPr>
              <w:spacing w:after="0"/>
              <w:rPr>
                <w:sz w:val="18"/>
                <w:szCs w:val="18"/>
                <w:color w:val="auto"/>
              </w:rPr>
            </w:pPr>
          </w:p>
        </w:tc>
        <w:tc>
          <w:tcPr>
            <w:tcW w:w="19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2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(1)</w:t>
            </w:r>
          </w:p>
        </w:tc>
        <w:tc>
          <w:tcPr>
            <w:tcW w:w="1040" w:type="dxa"/>
            <w:vAlign w:val="bottom"/>
            <w:gridSpan w:val="2"/>
            <w:shd w:val="clear" w:color="auto" w:fill="CCEEFF"/>
          </w:tcPr>
          <w:p>
            <w:pPr>
              <w:ind w:left="5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(1)</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1640" w:type="dxa"/>
            <w:vAlign w:val="bottom"/>
          </w:tcPr>
          <w:p>
            <w:pPr>
              <w:spacing w:after="0"/>
              <w:rPr>
                <w:sz w:val="18"/>
                <w:szCs w:val="18"/>
                <w:color w:val="auto"/>
              </w:rPr>
            </w:pPr>
          </w:p>
        </w:tc>
        <w:tc>
          <w:tcPr>
            <w:tcW w:w="1900" w:type="dxa"/>
            <w:vAlign w:val="bottom"/>
            <w:gridSpan w:val="2"/>
          </w:tcPr>
          <w:p>
            <w:pPr>
              <w:ind w:left="82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(1)</w:t>
            </w:r>
          </w:p>
        </w:tc>
        <w:tc>
          <w:tcPr>
            <w:tcW w:w="1040" w:type="dxa"/>
            <w:vAlign w:val="bottom"/>
            <w:gridSpan w:val="2"/>
          </w:tcPr>
          <w:p>
            <w:pPr>
              <w:ind w:left="5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540" w:type="dxa"/>
            <w:vAlign w:val="bottom"/>
            <w:gridSpan w:val="3"/>
            <w:shd w:val="clear" w:color="auto" w:fill="CCEEFF"/>
          </w:tcPr>
          <w:p>
            <w:pPr>
              <w:jc w:val="right"/>
              <w:ind w:right="640"/>
              <w:spacing w:after="0" w:line="216" w:lineRule="exact"/>
              <w:rPr>
                <w:sz w:val="20"/>
                <w:szCs w:val="20"/>
                <w:color w:val="auto"/>
              </w:rPr>
            </w:pPr>
            <w:r>
              <w:rPr>
                <w:rFonts w:ascii="Times New Roman" w:cs="Times New Roman" w:eastAsia="Times New Roman" w:hAnsi="Times New Roman"/>
                <w:sz w:val="17"/>
                <w:szCs w:val="17"/>
                <w:color w:val="auto"/>
              </w:rPr>
              <w:t>20,892</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1640" w:type="dxa"/>
            <w:vAlign w:val="bottom"/>
          </w:tcPr>
          <w:p>
            <w:pPr>
              <w:spacing w:after="0"/>
              <w:rPr>
                <w:sz w:val="18"/>
                <w:szCs w:val="18"/>
                <w:color w:val="auto"/>
              </w:rPr>
            </w:pPr>
          </w:p>
        </w:tc>
        <w:tc>
          <w:tcPr>
            <w:tcW w:w="19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1640" w:type="dxa"/>
            <w:vAlign w:val="bottom"/>
          </w:tcPr>
          <w:p>
            <w:pPr>
              <w:spacing w:after="0"/>
              <w:rPr>
                <w:sz w:val="18"/>
                <w:szCs w:val="18"/>
                <w:color w:val="auto"/>
              </w:rPr>
            </w:pPr>
          </w:p>
        </w:tc>
        <w:tc>
          <w:tcPr>
            <w:tcW w:w="19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Rowan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1640" w:type="dxa"/>
            <w:vAlign w:val="bottom"/>
          </w:tcPr>
          <w:p>
            <w:pPr>
              <w:spacing w:after="0"/>
              <w:rPr>
                <w:sz w:val="18"/>
                <w:szCs w:val="18"/>
                <w:color w:val="auto"/>
              </w:rPr>
            </w:pPr>
          </w:p>
        </w:tc>
        <w:tc>
          <w:tcPr>
            <w:tcW w:w="19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7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6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(eleven individuals)</w:t>
            </w:r>
          </w:p>
        </w:tc>
        <w:tc>
          <w:tcPr>
            <w:tcW w:w="16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More Holders:</w:t>
            </w: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 Shufu</w:t>
            </w:r>
            <w:r>
              <w:rPr>
                <w:rFonts w:ascii="Times New Roman" w:cs="Times New Roman" w:eastAsia="Times New Roman" w:hAnsi="Times New Roman"/>
                <w:sz w:val="25"/>
                <w:szCs w:val="25"/>
                <w:color w:val="auto"/>
                <w:vertAlign w:val="superscript"/>
              </w:rPr>
              <w:t>(3)</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1,997,110,924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161</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line="25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Class A ADSs which the individuals may acquire or have acquired at their behest pursuant to an arrangement with PSINV AB, a subsidiary of Volvo Cars.</w:t>
      </w: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ADSs that Ms. Francis has purchased in connection with the March Sponsor Assignment.</w:t>
      </w:r>
    </w:p>
    <w:p>
      <w:pPr>
        <w:spacing w:after="0" w:line="9"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294,877,349 Class A ADSs and 1,642,233,575 Class B Shares in the form of American depositary shares for which Parent is the record holder. Also includes 60,000,000 Class A ADSs for which Snita is the record holder. 42.7% of Parent is owned by PSD Investment Limited and 48.8% of Parent is owned by Volvo Cars as of March 4, 2022. As of March 4, 2022, Li Shufu controls PSD Investment Limited and owns approximately 91.1% of equity interests in Geely, which owns approximately 82.0% of equity interests in Volvo Cars. Consequently, since voting and dispositive decisions with respect to such securities are ultimately made by Li Shufu, he is deemed to have beneficial ownership over 1,997,110,924 Class A ADSs, assuming the conversion of all Class B ADSs into Class A ADSs. Li Shufu disclaims beneficial ownership of these securities except to the extent of any pecuniary interest therein. The business address of Li Shufu and Parent is 13/F, Gloucester Tower, The Landmark, 15 Queen’s Road Central, Central, Hong Kong and the business address of Snita is Stationswerg 2, 4153 RD Beesd, Netherlands.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we had approximately 95 shareholders of record of our Class A ADSs, one shareholder of record of record of our Class B ADSs and two shareholders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Changes in Ownership by Major Shareholders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and Pre-Closing Reorganization, 42.7% of Parent was owned by PSD Investment Limited and 48.8% of Parent was owned by Volvo Cars. Li Shufu controls PSD Investment Limited and owns approximately 91.1% of equity interests in Geely, which owns approximately 82.0% of equity interests in Volvo Cars. After the Closing, Li Shufu is expected to have a beneficial ownership of 94.7% of the outstanding Shares, as described in beneficial ownership table above.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60"/>
          </w:cols>
          <w:pgMar w:left="320" w:top="455" w:right="5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w:t>
      </w:r>
    </w:p>
    <w:p>
      <w:pPr>
        <w:spacing w:after="0" w:line="1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the Selling Securityholders own Class C ADSs. The Class C ADSs were previously issued in a transaction registered with the SEC, and the registration statement of which this prospectus is a part is registering the issuance of Class A ADSs underlying the exercise of such Class C ADSs. Accordingly, such registration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15,999,965 Class A ADSs upon conversion of all of the issued and outstanding, publicly held Class C-1 ADSs, which are also covered by this prospectus.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held by certain of the Selling Securityholders are subject to transfer restrictions, as described in the sections entitled “Description of Share Capital and Articles of Association—Description of Company Share Capital and Polesetar Articles—Company Securities—Transfer of Shares,” “Description of American Depositary Shares—ADSs—Transfer, Combination and Split Up of ADRs” and “Securities Eligible For Future Sale—Lock-Up Agreements.”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left="6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0" w:type="dxa"/>
            <w:vAlign w:val="bottom"/>
            <w:gridSpan w:val="4"/>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be Sold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7"/>
          </w:tcPr>
          <w:p>
            <w:pPr>
              <w:jc w:val="center"/>
              <w:ind w:left="2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0" w:type="dxa"/>
            <w:vAlign w:val="bottom"/>
            <w:gridSpan w:val="4"/>
          </w:tcPr>
          <w:p>
            <w:pPr>
              <w:jc w:val="center"/>
              <w:ind w:left="629"/>
              <w:spacing w:after="0"/>
              <w:rPr>
                <w:sz w:val="20"/>
                <w:szCs w:val="20"/>
                <w:color w:val="auto"/>
              </w:rPr>
            </w:pPr>
            <w:r>
              <w:rPr>
                <w:rFonts w:ascii="Times New Roman" w:cs="Times New Roman" w:eastAsia="Times New Roman" w:hAnsi="Times New Roman"/>
                <w:sz w:val="13"/>
                <w:szCs w:val="13"/>
                <w:b w:val="1"/>
                <w:bCs w:val="1"/>
                <w:color w:val="auto"/>
                <w:w w:val="96"/>
              </w:rPr>
              <w:t>Prior to This Offering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 This Offering</w:t>
            </w:r>
          </w:p>
        </w:tc>
        <w:tc>
          <w:tcPr>
            <w:tcW w:w="1880" w:type="dxa"/>
            <w:vAlign w:val="bottom"/>
            <w:gridSpan w:val="7"/>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w w:val="95"/>
              </w:rPr>
              <w:t>After This Offering</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Securityholders</w:t>
            </w:r>
          </w:p>
        </w:tc>
        <w:tc>
          <w:tcPr>
            <w:tcW w:w="110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1100" w:type="dxa"/>
            <w:vAlign w:val="bottom"/>
            <w:tcBorders>
              <w:top w:val="single" w:sz="8" w:color="auto"/>
            </w:tcBorders>
            <w:gridSpan w:val="2"/>
          </w:tcPr>
          <w:p>
            <w:pPr>
              <w:ind w:left="280"/>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1280" w:type="dxa"/>
            <w:vAlign w:val="bottom"/>
            <w:tcBorders>
              <w:top w:val="single" w:sz="8" w:color="auto"/>
            </w:tcBorders>
            <w:gridSpan w:val="2"/>
          </w:tcPr>
          <w:p>
            <w:pPr>
              <w:jc w:val="right"/>
              <w:ind w:right="60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760" w:type="dxa"/>
            <w:vAlign w:val="bottom"/>
            <w:tcBorders>
              <w:top w:val="single" w:sz="8" w:color="auto"/>
            </w:tcBorders>
            <w:gridSpan w:val="2"/>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620" w:type="dxa"/>
            <w:vAlign w:val="bottom"/>
            <w:gridSpan w:val="2"/>
            <w:vMerge w:val="continue"/>
          </w:tcPr>
          <w:p>
            <w:pPr>
              <w:spacing w:after="0"/>
              <w:rPr>
                <w:sz w:val="14"/>
                <w:szCs w:val="14"/>
                <w:color w:val="auto"/>
              </w:rPr>
            </w:pPr>
          </w:p>
        </w:tc>
        <w:tc>
          <w:tcPr>
            <w:tcW w:w="11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10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2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ADSs</w:t>
            </w:r>
          </w:p>
        </w:tc>
        <w:tc>
          <w:tcPr>
            <w:tcW w:w="3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3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339 Capital Holdings LLC</w:t>
            </w:r>
            <w:r>
              <w:rPr>
                <w:rFonts w:ascii="Times New Roman" w:cs="Times New Roman" w:eastAsia="Times New Roman" w:hAnsi="Times New Roman"/>
                <w:sz w:val="10"/>
                <w:szCs w:val="10"/>
                <w:color w:val="auto"/>
              </w:rPr>
              <w:t>(1)</w:t>
            </w:r>
          </w:p>
        </w:tc>
        <w:tc>
          <w:tcPr>
            <w:tcW w:w="19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550,055</w:t>
            </w: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7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480"/>
              <w:spacing w:after="0" w:line="136" w:lineRule="exact"/>
              <w:rPr>
                <w:sz w:val="20"/>
                <w:szCs w:val="20"/>
                <w:color w:val="auto"/>
              </w:rPr>
            </w:pPr>
            <w:r>
              <w:rPr>
                <w:rFonts w:ascii="Times New Roman" w:cs="Times New Roman" w:eastAsia="Times New Roman" w:hAnsi="Times New Roman"/>
                <w:sz w:val="14"/>
                <w:szCs w:val="14"/>
                <w:color w:val="auto"/>
                <w:w w:val="96"/>
              </w:rPr>
              <w:t>550,055</w:t>
            </w: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9"/>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AEG Holdings, LLC</w:t>
            </w:r>
            <w:r>
              <w:rPr>
                <w:rFonts w:ascii="Times New Roman" w:cs="Times New Roman" w:eastAsia="Times New Roman" w:hAnsi="Times New Roman"/>
                <w:sz w:val="10"/>
                <w:szCs w:val="10"/>
                <w:color w:val="auto"/>
              </w:rPr>
              <w:t>(2)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Alyeska Master Fund, LP</w:t>
            </w:r>
            <w:r>
              <w:rPr>
                <w:rFonts w:ascii="Times New Roman" w:cs="Times New Roman" w:eastAsia="Times New Roman" w:hAnsi="Times New Roman"/>
                <w:sz w:val="10"/>
                <w:szCs w:val="10"/>
                <w:color w:val="auto"/>
              </w:rPr>
              <w:t>(3)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AMF Tjänstepension AB</w:t>
            </w:r>
            <w:r>
              <w:rPr>
                <w:rFonts w:ascii="Times New Roman" w:cs="Times New Roman" w:eastAsia="Times New Roman" w:hAnsi="Times New Roman"/>
                <w:sz w:val="10"/>
                <w:szCs w:val="10"/>
                <w:color w:val="auto"/>
              </w:rPr>
              <w:t>(4)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BNP Paribas Assset Management AS – Agent on Behalf of</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1,925,192</w:t>
            </w:r>
          </w:p>
        </w:tc>
        <w:tc>
          <w:tcPr>
            <w:tcW w:w="11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1,925,192</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1,470,634</w:t>
            </w:r>
          </w:p>
        </w:tc>
        <w:tc>
          <w:tcPr>
            <w:tcW w:w="500" w:type="dxa"/>
            <w:vAlign w:val="bottom"/>
            <w:gridSpan w:val="3"/>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BNP Paribas – Funds Energy Transition</w:t>
            </w:r>
            <w:r>
              <w:rPr>
                <w:rFonts w:ascii="Times New Roman" w:cs="Times New Roman" w:eastAsia="Times New Roman" w:hAnsi="Times New Roman"/>
                <w:sz w:val="10"/>
                <w:szCs w:val="10"/>
                <w:color w:val="auto"/>
              </w:rPr>
              <w:t>(5)</w:t>
            </w:r>
          </w:p>
        </w:tc>
        <w:tc>
          <w:tcPr>
            <w:tcW w:w="11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Charles Pacheco</w:t>
            </w:r>
            <w:r>
              <w:rPr>
                <w:rFonts w:ascii="Times New Roman" w:cs="Times New Roman" w:eastAsia="Times New Roman" w:hAnsi="Times New Roman"/>
                <w:sz w:val="10"/>
                <w:szCs w:val="10"/>
                <w:color w:val="auto"/>
              </w:rPr>
              <w:t>(6)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T Charlton Revocable Living Trust</w:t>
            </w:r>
            <w:r>
              <w:rPr>
                <w:rFonts w:ascii="Times New Roman" w:cs="Times New Roman" w:eastAsia="Times New Roman" w:hAnsi="Times New Roman"/>
                <w:sz w:val="10"/>
                <w:szCs w:val="10"/>
                <w:color w:val="auto"/>
              </w:rPr>
              <w:t>(7)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Citadel CEMF Investments Ltd.</w:t>
            </w:r>
            <w:r>
              <w:rPr>
                <w:rFonts w:ascii="Times New Roman" w:cs="Times New Roman" w:eastAsia="Times New Roman" w:hAnsi="Times New Roman"/>
                <w:sz w:val="10"/>
                <w:szCs w:val="10"/>
                <w:color w:val="auto"/>
              </w:rPr>
              <w:t>(8)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DSK EV Investment Limited</w:t>
            </w:r>
            <w:r>
              <w:rPr>
                <w:rFonts w:ascii="Times New Roman" w:cs="Times New Roman" w:eastAsia="Times New Roman" w:hAnsi="Times New Roman"/>
                <w:sz w:val="10"/>
                <w:szCs w:val="10"/>
                <w:color w:val="auto"/>
              </w:rPr>
              <w:t>(9)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Edward A. Johnson</w:t>
            </w:r>
            <w:r>
              <w:rPr>
                <w:rFonts w:ascii="Times New Roman" w:cs="Times New Roman" w:eastAsia="Times New Roman" w:hAnsi="Times New Roman"/>
                <w:sz w:val="10"/>
                <w:szCs w:val="10"/>
                <w:color w:val="auto"/>
              </w:rPr>
              <w:t>(10)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Elizabeth Marcellino</w:t>
            </w:r>
            <w:r>
              <w:rPr>
                <w:rFonts w:ascii="Times New Roman" w:cs="Times New Roman" w:eastAsia="Times New Roman" w:hAnsi="Times New Roman"/>
                <w:sz w:val="10"/>
                <w:szCs w:val="10"/>
                <w:color w:val="auto"/>
              </w:rPr>
              <w:t>(11)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Elliott Associates, L.P.</w:t>
            </w:r>
            <w:r>
              <w:rPr>
                <w:rFonts w:ascii="Times New Roman" w:cs="Times New Roman" w:eastAsia="Times New Roman" w:hAnsi="Times New Roman"/>
                <w:sz w:val="10"/>
                <w:szCs w:val="10"/>
                <w:color w:val="auto"/>
              </w:rPr>
              <w:t>(12)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Elliott International, L.P.</w:t>
            </w:r>
            <w:r>
              <w:rPr>
                <w:rFonts w:ascii="Times New Roman" w:cs="Times New Roman" w:eastAsia="Times New Roman" w:hAnsi="Times New Roman"/>
                <w:sz w:val="10"/>
                <w:szCs w:val="10"/>
                <w:color w:val="auto"/>
              </w:rPr>
              <w:t>(13)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Erich Sixt Vermögensverwaltung GmbH</w:t>
            </w:r>
            <w:r>
              <w:rPr>
                <w:rFonts w:ascii="Times New Roman" w:cs="Times New Roman" w:eastAsia="Times New Roman" w:hAnsi="Times New Roman"/>
                <w:sz w:val="10"/>
                <w:szCs w:val="10"/>
                <w:color w:val="auto"/>
              </w:rPr>
              <w:t>(14)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GG Sponsor, LLC</w:t>
            </w:r>
            <w:r>
              <w:rPr>
                <w:rFonts w:ascii="Times New Roman" w:cs="Times New Roman" w:eastAsia="Times New Roman" w:hAnsi="Times New Roman"/>
                <w:sz w:val="10"/>
                <w:szCs w:val="10"/>
                <w:color w:val="auto"/>
              </w:rPr>
              <w:t>(15)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GGP Sponsor Holdings, LLC</w:t>
            </w:r>
            <w:r>
              <w:rPr>
                <w:rFonts w:ascii="Times New Roman" w:cs="Times New Roman" w:eastAsia="Times New Roman" w:hAnsi="Times New Roman"/>
                <w:sz w:val="10"/>
                <w:szCs w:val="10"/>
                <w:color w:val="auto"/>
              </w:rPr>
              <w:t>(16</w:t>
            </w: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Gores Guggenheim Sponsor LLC</w:t>
            </w:r>
            <w:r>
              <w:rPr>
                <w:rFonts w:ascii="Times New Roman" w:cs="Times New Roman" w:eastAsia="Times New Roman" w:hAnsi="Times New Roman"/>
                <w:sz w:val="10"/>
                <w:szCs w:val="10"/>
                <w:color w:val="auto"/>
              </w:rPr>
              <w:t>(17)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Healthcare Of Ontario Pension Plan Trust Fund</w:t>
            </w:r>
            <w:r>
              <w:rPr>
                <w:rFonts w:ascii="Times New Roman" w:cs="Times New Roman" w:eastAsia="Times New Roman" w:hAnsi="Times New Roman"/>
                <w:sz w:val="10"/>
                <w:szCs w:val="10"/>
                <w:color w:val="auto"/>
              </w:rPr>
              <w:t>(18)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Stone</w:t>
            </w:r>
            <w:r>
              <w:rPr>
                <w:rFonts w:ascii="Times New Roman" w:cs="Times New Roman" w:eastAsia="Times New Roman" w:hAnsi="Times New Roman"/>
                <w:sz w:val="10"/>
                <w:szCs w:val="10"/>
                <w:color w:val="auto"/>
              </w:rPr>
              <w:t>(19)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MG6TV, LLC</w:t>
            </w:r>
            <w:r>
              <w:rPr>
                <w:rFonts w:ascii="Times New Roman" w:cs="Times New Roman" w:eastAsia="Times New Roman" w:hAnsi="Times New Roman"/>
                <w:sz w:val="10"/>
                <w:szCs w:val="10"/>
                <w:color w:val="auto"/>
              </w:rPr>
              <w:t>(20)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MGXBD LLC</w:t>
            </w:r>
            <w:r>
              <w:rPr>
                <w:rFonts w:ascii="Times New Roman" w:cs="Times New Roman" w:eastAsia="Times New Roman" w:hAnsi="Times New Roman"/>
                <w:sz w:val="10"/>
                <w:szCs w:val="10"/>
                <w:color w:val="auto"/>
              </w:rPr>
              <w:t>(21)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MMF LT, LLC</w:t>
            </w:r>
            <w:r>
              <w:rPr>
                <w:rFonts w:ascii="Times New Roman" w:cs="Times New Roman" w:eastAsia="Times New Roman" w:hAnsi="Times New Roman"/>
                <w:sz w:val="10"/>
                <w:szCs w:val="10"/>
                <w:color w:val="auto"/>
              </w:rPr>
              <w:t>(22)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Nancy Tellem</w:t>
            </w:r>
            <w:r>
              <w:rPr>
                <w:rFonts w:ascii="Times New Roman" w:cs="Times New Roman" w:eastAsia="Times New Roman" w:hAnsi="Times New Roman"/>
                <w:sz w:val="10"/>
                <w:szCs w:val="10"/>
                <w:color w:val="auto"/>
              </w:rPr>
              <w:t>(23)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Master Limited</w:t>
            </w:r>
            <w:r>
              <w:rPr>
                <w:rFonts w:ascii="Times New Roman" w:cs="Times New Roman" w:eastAsia="Times New Roman" w:hAnsi="Times New Roman"/>
                <w:sz w:val="10"/>
                <w:szCs w:val="10"/>
                <w:color w:val="auto"/>
              </w:rPr>
              <w:t>(24)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Opportunity Fund</w:t>
            </w:r>
            <w:r>
              <w:rPr>
                <w:rFonts w:ascii="Times New Roman" w:cs="Times New Roman" w:eastAsia="Times New Roman" w:hAnsi="Times New Roman"/>
                <w:sz w:val="10"/>
                <w:szCs w:val="10"/>
                <w:color w:val="auto"/>
              </w:rPr>
              <w:t>(25)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Multi-Strategy Alpha Master Limited</w:t>
            </w:r>
            <w:r>
              <w:rPr>
                <w:rFonts w:ascii="Times New Roman" w:cs="Times New Roman" w:eastAsia="Times New Roman" w:hAnsi="Times New Roman"/>
                <w:sz w:val="10"/>
                <w:szCs w:val="10"/>
                <w:color w:val="auto"/>
              </w:rPr>
              <w:t>(26)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Northpole GLY 2 LP</w:t>
            </w:r>
            <w:r>
              <w:rPr>
                <w:rFonts w:ascii="Times New Roman" w:cs="Times New Roman" w:eastAsia="Times New Roman" w:hAnsi="Times New Roman"/>
                <w:sz w:val="10"/>
                <w:szCs w:val="10"/>
                <w:color w:val="auto"/>
              </w:rPr>
              <w:t>(27)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Polestar Automotive Holding Limited</w:t>
            </w:r>
            <w:r>
              <w:rPr>
                <w:rFonts w:ascii="Times New Roman" w:cs="Times New Roman" w:eastAsia="Times New Roman" w:hAnsi="Times New Roman"/>
                <w:sz w:val="10"/>
                <w:szCs w:val="10"/>
                <w:color w:val="auto"/>
              </w:rPr>
              <w:t>(28)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1,937,110,924</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2,095,288,533</w:t>
            </w:r>
            <w:r>
              <w:rPr>
                <w:rFonts w:ascii="Times New Roman" w:cs="Times New Roman" w:eastAsia="Times New Roman" w:hAnsi="Times New Roman"/>
                <w:sz w:val="10"/>
                <w:szCs w:val="10"/>
                <w:color w:val="auto"/>
              </w:rPr>
              <w:t>(29)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Randall Bort</w:t>
            </w:r>
            <w:r>
              <w:rPr>
                <w:rFonts w:ascii="Times New Roman" w:cs="Times New Roman" w:eastAsia="Times New Roman" w:hAnsi="Times New Roman"/>
                <w:sz w:val="10"/>
                <w:szCs w:val="10"/>
                <w:color w:val="auto"/>
              </w:rPr>
              <w:t>(30)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III, LP</w:t>
            </w:r>
            <w:r>
              <w:rPr>
                <w:rFonts w:ascii="Times New Roman" w:cs="Times New Roman" w:eastAsia="Times New Roman" w:hAnsi="Times New Roman"/>
                <w:sz w:val="10"/>
                <w:szCs w:val="10"/>
                <w:color w:val="auto"/>
              </w:rPr>
              <w:t>(31)</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Ltd.</w:t>
            </w:r>
            <w:r>
              <w:rPr>
                <w:rFonts w:ascii="Times New Roman" w:cs="Times New Roman" w:eastAsia="Times New Roman" w:hAnsi="Times New Roman"/>
                <w:sz w:val="10"/>
                <w:szCs w:val="10"/>
                <w:color w:val="auto"/>
              </w:rPr>
              <w:t>(32)</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SPAC Opportunities, Ltd.</w:t>
            </w:r>
            <w:r>
              <w:rPr>
                <w:rFonts w:ascii="Times New Roman" w:cs="Times New Roman" w:eastAsia="Times New Roman" w:hAnsi="Times New Roman"/>
                <w:sz w:val="10"/>
                <w:szCs w:val="10"/>
                <w:color w:val="auto"/>
              </w:rPr>
              <w:t>(33)</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II AIV LP</w:t>
            </w:r>
            <w:r>
              <w:rPr>
                <w:rFonts w:ascii="Times New Roman" w:cs="Times New Roman" w:eastAsia="Times New Roman" w:hAnsi="Times New Roman"/>
                <w:sz w:val="10"/>
                <w:szCs w:val="10"/>
                <w:color w:val="auto"/>
              </w:rPr>
              <w:t>(34)</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Shutfut Menayot Chool – Phoenix Amitim</w:t>
            </w:r>
            <w:r>
              <w:rPr>
                <w:rFonts w:ascii="Times New Roman" w:cs="Times New Roman" w:eastAsia="Times New Roman" w:hAnsi="Times New Roman"/>
                <w:sz w:val="10"/>
                <w:szCs w:val="10"/>
                <w:color w:val="auto"/>
              </w:rPr>
              <w:t>(35)</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Snita Holding BV</w:t>
            </w:r>
            <w:r>
              <w:rPr>
                <w:rFonts w:ascii="Times New Roman" w:cs="Times New Roman" w:eastAsia="Times New Roman" w:hAnsi="Times New Roman"/>
                <w:sz w:val="10"/>
                <w:szCs w:val="10"/>
                <w:color w:val="auto"/>
              </w:rPr>
              <w:t>(36)</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Sycomore L/S Opportunities</w:t>
            </w:r>
            <w:r>
              <w:rPr>
                <w:rFonts w:ascii="Times New Roman" w:cs="Times New Roman" w:eastAsia="Times New Roman" w:hAnsi="Times New Roman"/>
                <w:sz w:val="10"/>
                <w:szCs w:val="10"/>
                <w:color w:val="auto"/>
              </w:rPr>
              <w:t>(37)</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Phoenix Insurance Company LTD</w:t>
            </w:r>
            <w:r>
              <w:rPr>
                <w:rFonts w:ascii="Times New Roman" w:cs="Times New Roman" w:eastAsia="Times New Roman" w:hAnsi="Times New Roman"/>
                <w:sz w:val="10"/>
                <w:szCs w:val="10"/>
                <w:color w:val="auto"/>
              </w:rPr>
              <w:t>(38)</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Union Square Park Partners, LP</w:t>
            </w:r>
            <w:r>
              <w:rPr>
                <w:rFonts w:ascii="Times New Roman" w:cs="Times New Roman" w:eastAsia="Times New Roman" w:hAnsi="Times New Roman"/>
                <w:sz w:val="10"/>
                <w:szCs w:val="10"/>
                <w:color w:val="auto"/>
              </w:rPr>
              <w:t>(39)</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67,027</w:t>
            </w:r>
          </w:p>
        </w:tc>
        <w:tc>
          <w:tcPr>
            <w:tcW w:w="500" w:type="dxa"/>
            <w:vAlign w:val="bottom"/>
            <w:gridSpan w:val="3"/>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Investments VIII LLC</w:t>
            </w:r>
            <w:r>
              <w:rPr>
                <w:rFonts w:ascii="Times New Roman" w:cs="Times New Roman" w:eastAsia="Times New Roman" w:hAnsi="Times New Roman"/>
                <w:sz w:val="10"/>
                <w:szCs w:val="10"/>
                <w:color w:val="auto"/>
              </w:rPr>
              <w:t>(40)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512,223</w:t>
            </w:r>
            <w:r>
              <w:rPr>
                <w:rFonts w:ascii="Times New Roman" w:cs="Times New Roman" w:eastAsia="Times New Roman" w:hAnsi="Times New Roman"/>
                <w:sz w:val="10"/>
                <w:szCs w:val="10"/>
                <w:color w:val="auto"/>
              </w:rPr>
              <w:t>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Additional Selling Holders</w:t>
            </w:r>
            <w:r>
              <w:rPr>
                <w:rFonts w:ascii="Times New Roman" w:cs="Times New Roman" w:eastAsia="Times New Roman" w:hAnsi="Times New Roman"/>
                <w:sz w:val="10"/>
                <w:szCs w:val="10"/>
                <w:color w:val="auto"/>
              </w:rPr>
              <w:t>(42)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873,317</w:t>
            </w:r>
          </w:p>
        </w:tc>
        <w:tc>
          <w:tcPr>
            <w:tcW w:w="140" w:type="dxa"/>
            <w:vAlign w:val="bottom"/>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6"/>
              </w:rPr>
              <w:t>873,317</w:t>
            </w: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2,054,300,000</w:t>
            </w:r>
          </w:p>
        </w:tc>
        <w:tc>
          <w:tcPr>
            <w:tcW w:w="1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2,212,977,609</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1,537,661</w:t>
            </w:r>
          </w:p>
        </w:tc>
        <w:tc>
          <w:tcPr>
            <w:tcW w:w="500" w:type="dxa"/>
            <w:vAlign w:val="bottom"/>
            <w:gridSpan w:val="3"/>
            <w:shd w:val="clear" w:color="auto" w:fill="CCEEFF"/>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one percent.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81" w:lineRule="auto"/>
        <w:tabs>
          <w:tab w:leader="none" w:pos="5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69" w:lineRule="exact"/>
        <w:rPr>
          <w:rFonts w:ascii="Times New Roman" w:cs="Times New Roman" w:eastAsia="Times New Roman" w:hAnsi="Times New Roman"/>
          <w:sz w:val="17"/>
          <w:szCs w:val="17"/>
          <w:color w:val="auto"/>
        </w:rPr>
      </w:pPr>
    </w:p>
    <w:p>
      <w:pPr>
        <w:ind w:left="540" w:right="16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925,158 Class A ADSs purchased pursuant to a PIPE Subscription Agreement and (ii) 78,426 Class A ADSs issued upon the conversion of certain shares of GGI Class F Common Stock.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88"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88"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w:t>
      </w:r>
    </w:p>
    <w:p>
      <w:pPr>
        <w:spacing w:after="0" w:line="88"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3,395,826 Class A ADSs purchased pursuant to a PIPE Subscription Agreement.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spacing w:after="0" w:line="88"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spacing w:after="0" w:line="67"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spacing w:after="0" w:line="85"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312" w:lineRule="auto"/>
        <w:rPr>
          <w:sz w:val="20"/>
          <w:szCs w:val="20"/>
          <w:color w:val="auto"/>
        </w:rPr>
      </w:pPr>
      <w:r>
        <w:rPr>
          <w:rFonts w:ascii="Times New Roman" w:cs="Times New Roman" w:eastAsia="Times New Roman" w:hAnsi="Times New Roman"/>
          <w:sz w:val="17"/>
          <w:szCs w:val="17"/>
          <w:color w:val="auto"/>
        </w:rPr>
        <w:t>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45" w:lineRule="exact"/>
        <w:rPr>
          <w:sz w:val="20"/>
          <w:szCs w:val="20"/>
          <w:color w:val="auto"/>
        </w:rPr>
      </w:pPr>
    </w:p>
    <w:p>
      <w:pPr>
        <w:ind w:left="540" w:hanging="424"/>
        <w:spacing w:after="0" w:line="258"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88"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The business address of this Selling Securityholder is 3130 N Harwood St Apt 1901, Dallas, TX 75201.</w:t>
      </w:r>
    </w:p>
    <w:p>
      <w:pPr>
        <w:spacing w:after="0" w:line="67" w:lineRule="exact"/>
        <w:rPr>
          <w:rFonts w:ascii="Times New Roman" w:cs="Times New Roman" w:eastAsia="Times New Roman" w:hAnsi="Times New Roman"/>
          <w:sz w:val="18"/>
          <w:szCs w:val="18"/>
          <w:color w:val="auto"/>
        </w:rPr>
      </w:pPr>
    </w:p>
    <w:p>
      <w:pPr>
        <w:ind w:left="540" w:right="22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spacing w:after="0" w:line="81" w:lineRule="exact"/>
        <w:rPr>
          <w:rFonts w:ascii="Times New Roman" w:cs="Times New Roman" w:eastAsia="Times New Roman" w:hAnsi="Times New Roman"/>
          <w:sz w:val="18"/>
          <w:szCs w:val="18"/>
          <w:color w:val="auto"/>
        </w:rPr>
      </w:pPr>
    </w:p>
    <w:p>
      <w:pPr>
        <w:ind w:left="540" w:right="20" w:hanging="424"/>
        <w:spacing w:after="0" w:line="274" w:lineRule="auto"/>
        <w:tabs>
          <w:tab w:leader="none" w:pos="5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20" w:hanging="424"/>
        <w:spacing w:after="0" w:line="274" w:lineRule="auto"/>
        <w:tabs>
          <w:tab w:leader="none" w:pos="5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140" w:hanging="424"/>
        <w:spacing w:after="0" w:line="258"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spacing w:after="0" w:line="88" w:lineRule="exact"/>
        <w:rPr>
          <w:rFonts w:ascii="Times New Roman" w:cs="Times New Roman" w:eastAsia="Times New Roman" w:hAnsi="Times New Roman"/>
          <w:sz w:val="18"/>
          <w:szCs w:val="18"/>
          <w:color w:val="auto"/>
        </w:rPr>
      </w:pPr>
    </w:p>
    <w:p>
      <w:pPr>
        <w:ind w:left="540" w:right="140" w:hanging="424"/>
        <w:spacing w:after="0" w:line="25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8,892,083 Class A ADSs issued upon the conversion of certain shares of GGI Class F Common Stock and (ii) 4,500,000 Class A ADSs issued upon the conversion of certain Class C-2 ADSs.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92"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8,813,656 Class A ADSs issued upon the conversion of certain shares of GGI Class F Common Stock and (ii) 4,500,000 Class A ADSs issued upon the conversion of certain Class C-2 ADSs. Andrew Rosenfield is the Sole Manager of such Selling Securityholder and, as such, may be deemed to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80"/>
        <w:spacing w:after="0" w:line="266" w:lineRule="auto"/>
        <w:rPr>
          <w:sz w:val="20"/>
          <w:szCs w:val="20"/>
          <w:color w:val="auto"/>
        </w:rPr>
      </w:pPr>
      <w:r>
        <w:rPr>
          <w:rFonts w:ascii="Times New Roman" w:cs="Times New Roman" w:eastAsia="Times New Roman" w:hAnsi="Times New Roman"/>
          <w:sz w:val="18"/>
          <w:szCs w:val="18"/>
          <w:color w:val="auto"/>
        </w:rPr>
        <w:t>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6260 Lookout Road, Boulder, CO 80301.</w:t>
      </w:r>
    </w:p>
    <w:p>
      <w:pPr>
        <w:spacing w:after="0" w:line="81" w:lineRule="exact"/>
        <w:rPr>
          <w:sz w:val="20"/>
          <w:szCs w:val="20"/>
          <w:color w:val="auto"/>
        </w:rPr>
      </w:pPr>
    </w:p>
    <w:p>
      <w:pPr>
        <w:ind w:left="540" w:hanging="424"/>
        <w:spacing w:after="0" w:line="255"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Class A ADSs issued upon the conversion of certain shares of GGI Class F Common Stock. Gores Guggenheim Sponsor LLC is managed by GG Sponsor, LLC and GGP Sponsor Holdings, LLC. GG Sponsor, LLC is managed by AEG Holdings, LLC. Alec E. Gores is the Managing Member of AEG Holdings, LLC and, as such, may be deemed to be the beneficial owner of the securities reported by such Selling Securityholder. Andrew Rosenfield is the Sole Manager of GGP Sponsor Holdings, LLC and, as such, may be deemed to be the beneficial owner of the securities reported by such Selling Securityholder. Each of Messrs. Gores and Rosenfield disclaims any beneficial ownership of the securities reported by such Selling Securityholder other than to the extent of any pecuniary interest each may have therein, directly or indirectly. The business address of this Selling Securityholder is 227 W. Monroe, Chicago, IL 60606.</w:t>
      </w:r>
    </w:p>
    <w:p>
      <w:pPr>
        <w:spacing w:after="0" w:line="94"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522,316 Class A ADSs purchased pursuant to a PIPE Subscription Agreement. The business address of this Selling Securityholder is 1 York St Suite 1900, Toronto, ON M5J 0B6.</w:t>
      </w:r>
    </w:p>
    <w:p>
      <w:pPr>
        <w:spacing w:after="0" w:line="67"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Mark Stone is the Chief Executive Officer of Gores Guggenheim, Inc. The business address of this Selling Securityholder is 8520 Calera Dr, Austin, TX 78735.</w:t>
      </w:r>
    </w:p>
    <w:p>
      <w:pPr>
        <w:spacing w:after="0" w:line="67" w:lineRule="exact"/>
        <w:rPr>
          <w:rFonts w:ascii="Times New Roman" w:cs="Times New Roman" w:eastAsia="Times New Roman" w:hAnsi="Times New Roman"/>
          <w:sz w:val="18"/>
          <w:szCs w:val="18"/>
          <w:color w:val="auto"/>
        </w:rPr>
      </w:pPr>
    </w:p>
    <w:p>
      <w:pPr>
        <w:ind w:left="540" w:right="20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28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88"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85"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00"/>
        <w:spacing w:after="0" w:line="282" w:lineRule="auto"/>
        <w:rPr>
          <w:sz w:val="20"/>
          <w:szCs w:val="20"/>
          <w:color w:val="auto"/>
        </w:rPr>
      </w:pPr>
      <w:r>
        <w:rPr>
          <w:rFonts w:ascii="Times New Roman" w:cs="Times New Roman" w:eastAsia="Times New Roman" w:hAnsi="Times New Roman"/>
          <w:sz w:val="18"/>
          <w:szCs w:val="18"/>
          <w:color w:val="auto"/>
        </w:rPr>
        <w:t>pecuniary interest Mr. Russell may have therein, directly or indirectly. The business address of this Selling Securityholder is One N Wacker Dr 31st Fl, Chicago, IL 60606.</w:t>
      </w:r>
    </w:p>
    <w:p>
      <w:pPr>
        <w:spacing w:after="0" w:line="67" w:lineRule="exact"/>
        <w:rPr>
          <w:sz w:val="20"/>
          <w:szCs w:val="20"/>
          <w:color w:val="auto"/>
        </w:rPr>
      </w:pPr>
    </w:p>
    <w:p>
      <w:pPr>
        <w:ind w:left="540" w:hanging="424"/>
        <w:spacing w:after="0" w:line="258"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1,165,041 Class A ADSs acquired in connection with the conversion of certain convertible notes of Parent. Northpole GLY 2 LP is managed by Northpole GLY GP1, its General Partner. Hrvoje Krkalo and Zhang Quan are directors of Northpole GLY GP1 and, as such, may be deemed to be the beneficial owners of the securities reported by this Selling Securityholder. Each of Messrs. Krkalo and Quan disclaims any beneficial ownership of the securities reported by such Selling Securityholder other than to the extent of any pecuniary interest each may have therein, directly or indirectly. The business address of this Selling Securityholder is 12F H Code, 45 Pottinger St, Central, Hong Kong.</w:t>
      </w:r>
    </w:p>
    <w:p>
      <w:pPr>
        <w:spacing w:after="0" w:line="88"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1,937,110,924 Class A ADSs (including 294,877,349 Class A ADSs that were issued to Parent as merger consideration in connection with the Business Combination and 1,642,233,575 Class A ADSs issuable to Parent assuming that Parent elects to convert the 1,642,233,575 Class B ADSs it holds into Class A ADSs) and 1,642,233,575 Class B ADSs that were issued to Parent as merger consideration in connection with the Business Combination.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12/F, H Code, 45 Pottinger Street, Central, Hong Kong.</w:t>
      </w:r>
    </w:p>
    <w:p>
      <w:pPr>
        <w:spacing w:after="0" w:line="92" w:lineRule="exact"/>
        <w:rPr>
          <w:rFonts w:ascii="Times New Roman" w:cs="Times New Roman" w:eastAsia="Times New Roman" w:hAnsi="Times New Roman"/>
          <w:sz w:val="18"/>
          <w:szCs w:val="18"/>
          <w:color w:val="auto"/>
        </w:rPr>
      </w:pPr>
    </w:p>
    <w:p>
      <w:pPr>
        <w:ind w:left="540" w:right="240" w:hanging="424"/>
        <w:spacing w:after="0" w:line="312"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(i) the issuance of all 134,098,971 Earn Out Class B Shares and all 24,078,638 Earn Out Class A Shares to this Selling Securityholder and (ii) the conversion of all Class B ADSs held by this Selling Securityholder after such earn out share issuances to Class A ADSs.</w:t>
      </w:r>
    </w:p>
    <w:p>
      <w:pPr>
        <w:spacing w:after="0" w:line="45" w:lineRule="exact"/>
        <w:rPr>
          <w:rFonts w:ascii="Times New Roman" w:cs="Times New Roman" w:eastAsia="Times New Roman" w:hAnsi="Times New Roman"/>
          <w:sz w:val="17"/>
          <w:szCs w:val="17"/>
          <w:color w:val="auto"/>
        </w:rPr>
      </w:pPr>
    </w:p>
    <w:p>
      <w:pPr>
        <w:ind w:left="540" w:right="520" w:hanging="424"/>
        <w:spacing w:after="0" w:line="282"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The business address of this Selling Securityholder is 406 28th Street, Manhattan Beach, CA 90266.</w:t>
      </w:r>
    </w:p>
    <w:p>
      <w:pPr>
        <w:spacing w:after="0" w:line="67" w:lineRule="exact"/>
        <w:rPr>
          <w:rFonts w:ascii="Times New Roman" w:cs="Times New Roman" w:eastAsia="Times New Roman" w:hAnsi="Times New Roman"/>
          <w:sz w:val="18"/>
          <w:szCs w:val="18"/>
          <w:color w:val="auto"/>
        </w:rPr>
      </w:pPr>
    </w:p>
    <w:p>
      <w:pPr>
        <w:ind w:left="540" w:right="180" w:hanging="424"/>
        <w:spacing w:after="0" w:line="289"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81" w:lineRule="exact"/>
        <w:rPr>
          <w:sz w:val="20"/>
          <w:szCs w:val="20"/>
          <w:color w:val="auto"/>
        </w:rPr>
      </w:pPr>
    </w:p>
    <w:p>
      <w:pPr>
        <w:ind w:left="540" w:hanging="424"/>
        <w:spacing w:after="0" w:line="25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40" w:hanging="424"/>
        <w:spacing w:after="0" w:line="25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887,937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58,882,610 Class A ADSs and 1,117,390 Class A ADSs held directly by this Securityholders. Snita is 100% owned by Volvo Car Corporation (“Volvo Cars”), (ii) Volvo Cars is 100% owned by Volvo Car AB (“VCAB”), (iii) VCAB is 82% owned by Geely Sweden Holdings AB (“Geely Sweden”) and 18% owned by stock exchange investors, (iv) Geely Sweden is 100% owned by Shanghai Geely Zhaoyuan International Investment Co., Ltd (“Shanghai Geely”), (v) Shanghai Geely is 60.96% owned by Beijing Geely Wanyuan International Investment Co. Ltd (“Beijing Geely Wanyuan”) and 39,04% owned by Zhejiang Geely Holding Group Company Limited (“Zhejiang Geely”), (vi) Beijing Geely Wanyuan is 100% owned by Beijing Geely Kaisheng, (vii) Beijing Geely Kaisheng International Investment Co., Ltd. (“Beijing Geely Kaisheng”) is 100% owned by Zhejiang Geely Holding Group Company Limited (“Zhejiang Geely”), and (viii) Zhejiang Geely is 82.23% owned by Shufu Li. Reporting Persons that are direct or indirect shareholders of Snita, including Volvo Cars, VCAB, Geely Sweden, Shanghai Geely, Beijing Geely Wanyuan, Beijing Geely Kaisheng, Zhejiang Geely, and Shufu Li have the sole voting and dispositive power with respect to 100% of the Class A ADSs directly held by Snita.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18"/>
          <w:szCs w:val="18"/>
          <w:color w:val="auto"/>
        </w:rPr>
        <w:t>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Stationsweg 2, Beesd, 4153 RD, Netherlands.</w:t>
      </w:r>
    </w:p>
    <w:p>
      <w:pPr>
        <w:spacing w:after="0" w:line="89" w:lineRule="exact"/>
        <w:rPr>
          <w:sz w:val="20"/>
          <w:szCs w:val="20"/>
          <w:color w:val="auto"/>
        </w:rPr>
      </w:pPr>
    </w:p>
    <w:p>
      <w:pPr>
        <w:ind w:left="540" w:hanging="424"/>
        <w:spacing w:after="0" w:line="261"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spacing w:after="0" w:line="85"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156,695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88"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12,223 Class A ADSs acquired in connection with the conversion of certain convertible notes of Parent.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w:t>
      </w:r>
    </w:p>
    <w:p>
      <w:pPr>
        <w:spacing w:after="0" w:line="88" w:lineRule="exact"/>
        <w:rPr>
          <w:rFonts w:ascii="Times New Roman" w:cs="Times New Roman" w:eastAsia="Times New Roman" w:hAnsi="Times New Roman"/>
          <w:sz w:val="18"/>
          <w:szCs w:val="18"/>
          <w:color w:val="auto"/>
        </w:rPr>
      </w:pPr>
    </w:p>
    <w:p>
      <w:pPr>
        <w:ind w:left="540" w:right="340" w:hanging="424"/>
        <w:spacing w:after="0" w:line="282"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up to 500,000 Class A ADSs to this Selling Securityholder in exchange for the performance of marketing consulting services, as further described in this prospectus.</w:t>
      </w:r>
    </w:p>
    <w:p>
      <w:pPr>
        <w:spacing w:after="0" w:line="67"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Securityholders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entitled “Certain Relationships and Related Party Transactions.”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60"/>
          </w:cols>
          <w:pgMar w:left="320" w:top="455" w:right="5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agreement descriptions set forth below do not purport to be complete and are qualified in their entirety by the terms and conditions of the agreements filed as exhibits to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Related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GGI and the Company entered into the Initial PIPE Subscription Agreements with the Initial PIPE Investors, pursuant to which the Initial PIPE Investors purchased an aggregate of approximately 7.43 million Class A Shares in the form of Class A ADSs for a purchase price of $9.09 per share in a private placement, for an aggregate amount of approximately $67.5 million. On December 17, 2021, GGI and the Company entered into the December PIPE Subscription Agreements with the December PIPE Investors, which include certain affiliates and employees of the GGI Sponsor. Pursuant to the December PIPE Subscription Agreements, the December PIPE Investors purchased an aggregate of 14.3 million Class A Shares in the form of Class A ADSs for an average price of approximately $9.54 per Class A ADS, for an amount of approximately $136.0 million. On March 24, 2022, GGI and the Company entered into the March PIPE Subscription Agreements with the March PIPE Investors, which include certain affiliates and employees of the GGI Sponsor. Pursuant to the March PIPE Subscription Agreements, the March PIPE Investors purchased an aggregate of approximately 2.8 million Class A Shares in the form of Class A ADSs for an average price of approximately $9.57 per Class A ADS, for an amount of approximately $27.2 million. The December PIPE Subscription Agreements and the March PIPE Subscription Agreements are substantially similar to the Initial PIPE Subscription Agreements, except with regard to purchase price.</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December PIPE Assignment and the March PIPE Assignments, the aggregate investment amount and number of Class A ADSs purchased pursuant to the Subscription Agreements remained unchanged.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Sponsor Subscription Agreement with the GGI Sponsor, pursuant to which, the GGI Sponsor purchased an additional 2.15 million Class A Shares in the form of Class A ADSs for a purchase price of $9.09 per share on the Closing Date,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 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PIPE Subscription Agreement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Volvo Cars PIPE Subscription Agreement with Snita, a corporation organized under the laws of Netherlands and a wholly owned indirect subsidiary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70" w:lineRule="auto"/>
        <w:rPr>
          <w:sz w:val="20"/>
          <w:szCs w:val="20"/>
          <w:color w:val="auto"/>
        </w:rPr>
      </w:pPr>
      <w:r>
        <w:rPr>
          <w:rFonts w:ascii="Times New Roman" w:cs="Times New Roman" w:eastAsia="Times New Roman" w:hAnsi="Times New Roman"/>
          <w:sz w:val="17"/>
          <w:szCs w:val="17"/>
          <w:color w:val="auto"/>
        </w:rPr>
        <w:t>Volvo Cars, pursuant to which Snita purchased an additional 10 million Class A Shares in the form of Class A ADSs for a purchase price of $10.00 per share on the date of Closing.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w:t>
      </w:r>
    </w:p>
    <w:p>
      <w:pPr>
        <w:spacing w:after="0" w:line="3"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regards to purchase price.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entered into the Volvo Cars Preference Subscription Agreement with Snita. Pursuant to the Volvo Cars Preference Subscription Agreement, Snita purchased Preference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Parent to Volvo Cars. The Preference Shares converted into Class A ADSs at Closing, in accordance with, and subject to, the terms of the Preference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this prospectus.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40"/>
          </w:cols>
          <w:pgMar w:left="320" w:top="455" w:right="5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Warrant Amendment</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GGI and Computershare entered into the Class C Warrant Amendment, which is included as an exhibit to this prospectus.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Acknowledgment</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September 27, 2021, Parent, the Parent Shareholders, Volvo Car Corporation and the Company entered into the Shareholders Acknowledgement Agreement, which is included as an exhibit to this prospectus. Pursuant to the Shareholders Acknowledgement Agreement, the Parent and the Parent Shareholders undertook that (i) at Closing, the initial Board was to include nine directors, a majority of whom would be independent directors, (ii) for a period of three years following the Closing, Parent and the Parent Shareholders will not vote in favor of the removal any independent directors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Relationships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Volvo and Geely</w:t>
      </w:r>
    </w:p>
    <w:p>
      <w:pPr>
        <w:spacing w:after="0" w:line="117"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among Volvo Car Corporation and Polestar Performance AB, dated October 31, 2018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October 31, 2018, between Volvo Car Corporation and Polestar Performance AB, as 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 May 5, 2021, between Volvo Car Corporation and Polestar Performance AB are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spacing w:after="0" w:line="19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as 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supplemented by the </w:t>
      </w:r>
      <w:r>
        <w:rPr>
          <w:rFonts w:ascii="Times New Roman" w:cs="Times New Roman" w:eastAsia="Times New Roman" w:hAnsi="Times New Roman"/>
          <w:sz w:val="18"/>
          <w:szCs w:val="18"/>
          <w:i w:val="1"/>
          <w:iCs w:val="1"/>
          <w:color w:val="auto"/>
        </w:rPr>
        <w:t>Supplement to Car Model Assignment and License Agreement</w:t>
      </w:r>
      <w:r>
        <w:rPr>
          <w:rFonts w:ascii="Times New Roman" w:cs="Times New Roman" w:eastAsia="Times New Roman" w:hAnsi="Times New Roman"/>
          <w:sz w:val="18"/>
          <w:szCs w:val="18"/>
          <w:color w:val="auto"/>
        </w:rPr>
        <w:t xml:space="preserve">, dated as of September 23, 2019, between Volvo Car Corporation and Polestar New Energy Vehicle Co. Ltd., as amended by the </w:t>
      </w:r>
      <w:r>
        <w:rPr>
          <w:rFonts w:ascii="Times New Roman" w:cs="Times New Roman" w:eastAsia="Times New Roman" w:hAnsi="Times New Roman"/>
          <w:sz w:val="18"/>
          <w:szCs w:val="18"/>
          <w:i w:val="1"/>
          <w:iCs w:val="1"/>
          <w:color w:val="auto"/>
        </w:rPr>
        <w:t>Amendment Agreement to the Car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Model Assignment and License Agreement</w:t>
      </w:r>
      <w:r>
        <w:rPr>
          <w:rFonts w:ascii="Times New Roman" w:cs="Times New Roman" w:eastAsia="Times New Roman" w:hAnsi="Times New Roman"/>
          <w:sz w:val="18"/>
          <w:szCs w:val="18"/>
          <w:color w:val="auto"/>
        </w:rPr>
        <w:t>, dated as of June 2020, between Volvo Car Corporation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Side Letter, the termination of one Car Model Assignment and License Agreement gives Volvo Car Corporation the right to immediately terminate the other Car Model Assignment and License Agreement.</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PHEV IP Sub-License Agreement</w:t>
      </w:r>
      <w:r>
        <w:rPr>
          <w:rFonts w:ascii="Times New Roman" w:cs="Times New Roman" w:eastAsia="Times New Roman" w:hAnsi="Times New Roman"/>
          <w:sz w:val="18"/>
          <w:szCs w:val="18"/>
          <w:color w:val="auto"/>
        </w:rPr>
        <w:t>, dated as of September 4, 2018, between Volvo Personvagnar AB and Polestar Performance AB is a sub-license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PHEV IP Sub-License Agreement</w:t>
      </w:r>
      <w:r>
        <w:rPr>
          <w:rFonts w:ascii="Times New Roman" w:cs="Times New Roman" w:eastAsia="Times New Roman" w:hAnsi="Times New Roman"/>
          <w:sz w:val="17"/>
          <w:szCs w:val="17"/>
          <w:color w:val="auto"/>
        </w:rPr>
        <w:t>, dated as of September 7, 2018, between Volvo Personvagnar AB and Polestar New Energy Vehicle Co. Ltd,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Management Agreement</w:t>
      </w:r>
      <w:r>
        <w:rPr>
          <w:rFonts w:ascii="Times New Roman" w:cs="Times New Roman" w:eastAsia="Times New Roman" w:hAnsi="Times New Roman"/>
          <w:sz w:val="18"/>
          <w:szCs w:val="18"/>
          <w:color w:val="auto"/>
        </w:rPr>
        <w:t>, dated as of June 12, 2020, between Volvo Car Corporation and Polestar Performance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October 31, 2018, between Volvo Car Corporation and Polestar New Energy Vehicle Co. Ltd., as amended by the</w:t>
      </w:r>
      <w:r>
        <w:rPr>
          <w:rFonts w:ascii="Times New Roman" w:cs="Times New Roman" w:eastAsia="Times New Roman" w:hAnsi="Times New Roman"/>
          <w:sz w:val="18"/>
          <w:szCs w:val="18"/>
          <w:i w:val="1"/>
          <w:iCs w:val="1"/>
          <w:color w:val="auto"/>
        </w:rPr>
        <w:t xml:space="preserve"> 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17, 2020, between Volvo Cars Technology (Shanghai) Co., Ltd. and Polestar New Energy Vehicle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insolvency of the other party. Polestar New Energy Vehicle Co., Ltd. also has certain service cancelation rights and has an immediate termination right with respect to certain breaches by Volvo Cars Technology (Shanghai) Co., Ltd. </w:t>
      </w:r>
      <w:r>
        <w:rPr>
          <w:rFonts w:ascii="Times New Roman" w:cs="Times New Roman" w:eastAsia="Times New Roman" w:hAnsi="Times New Roman"/>
          <w:sz w:val="18"/>
          <w:szCs w:val="18"/>
          <w:i w:val="1"/>
          <w:iCs w:val="1"/>
          <w:color w:val="auto"/>
        </w:rPr>
        <w:t>The Service Agreement</w:t>
      </w:r>
      <w:r>
        <w:rPr>
          <w:rFonts w:ascii="Times New Roman" w:cs="Times New Roman" w:eastAsia="Times New Roman" w:hAnsi="Times New Roman"/>
          <w:sz w:val="18"/>
          <w:szCs w:val="18"/>
          <w:color w:val="auto"/>
        </w:rPr>
        <w:t>,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w:t>
      </w:r>
    </w:p>
    <w:p>
      <w:pPr>
        <w:spacing w:after="0" w:line="17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Daqing Volvo Car Manufacturing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w:t>
      </w:r>
    </w:p>
    <w:p>
      <w:pPr>
        <w:spacing w:after="0" w:line="17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Volvo Car (Asia Pacific) Investment Holding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9, 2018, between Zhongjia Automobile Manufacturing (Chengdu) Co. Ltd. and Polestar New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w:t>
      </w:r>
    </w:p>
    <w:p>
      <w:pPr>
        <w:spacing w:after="0" w:line="18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17, 2019, between Volvo Car Belgium NV, Ltd. and Polestar Performance AB, as amended by the</w:t>
      </w:r>
      <w:r>
        <w:rPr>
          <w:rFonts w:ascii="Times New Roman" w:cs="Times New Roman" w:eastAsia="Times New Roman" w:hAnsi="Times New Roman"/>
          <w:sz w:val="18"/>
          <w:szCs w:val="18"/>
          <w:i w:val="1"/>
          <w:iCs w:val="1"/>
          <w:color w:val="auto"/>
        </w:rPr>
        <w:t xml:space="preserve"> Amendment to the Service Agreement</w:t>
      </w:r>
      <w:r>
        <w:rPr>
          <w:rFonts w:ascii="Times New Roman" w:cs="Times New Roman" w:eastAsia="Times New Roman" w:hAnsi="Times New Roman"/>
          <w:sz w:val="18"/>
          <w:szCs w:val="18"/>
          <w:color w:val="auto"/>
        </w:rPr>
        <w:t>, dated as of March 4, 2020, between Volvo Car Belgium NV, Ltd. and Polestar Performance AB governs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Component Supply Agreement</w:t>
      </w:r>
      <w:r>
        <w:rPr>
          <w:rFonts w:ascii="Times New Roman" w:cs="Times New Roman" w:eastAsia="Times New Roman" w:hAnsi="Times New Roman"/>
          <w:sz w:val="18"/>
          <w:szCs w:val="18"/>
          <w:color w:val="auto"/>
        </w:rPr>
        <w:t>, dated as of 2018, between Polestar New Energy Vehicle Co., Ltd. and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General Distributor Agreement</w:t>
      </w:r>
      <w:r>
        <w:rPr>
          <w:rFonts w:ascii="Times New Roman" w:cs="Times New Roman" w:eastAsia="Times New Roman" w:hAnsi="Times New Roman"/>
          <w:sz w:val="18"/>
          <w:szCs w:val="18"/>
          <w:color w:val="auto"/>
        </w:rPr>
        <w:t>, effective as of January 1, 2020, between Zhejiang Haoqing Automobile Manufacturing Co., Ltd. Chengdu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w:t>
      </w:r>
    </w:p>
    <w:p>
      <w:pPr>
        <w:spacing w:after="0" w:line="18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February 15, 2021, between Volvo Car Corporation and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license assignment and service agreement under which Volvo Car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92"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and License Assignment Agreement</w:t>
      </w:r>
      <w:r>
        <w:rPr>
          <w:rFonts w:ascii="Times New Roman" w:cs="Times New Roman" w:eastAsia="Times New Roman" w:hAnsi="Times New Roman"/>
          <w:sz w:val="18"/>
          <w:szCs w:val="18"/>
          <w:color w:val="auto"/>
        </w:rPr>
        <w:t>, dated as of February 15, 2021, between Volvo Car Corporation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28, 2018, between First Automobile Branch of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Manufacturing Co., Ltd.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26, 2018, between Asia Euro Automobile Manufacturing (Taizhou)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as supplemented by the </w:t>
      </w:r>
      <w:r>
        <w:rPr>
          <w:rFonts w:ascii="Times New Roman" w:cs="Times New Roman" w:eastAsia="Times New Roman" w:hAnsi="Times New Roman"/>
          <w:sz w:val="18"/>
          <w:szCs w:val="18"/>
          <w:i w:val="1"/>
          <w:iCs w:val="1"/>
          <w:color w:val="auto"/>
        </w:rPr>
        <w:t>Supplement Car Manufacturing Agreement</w:t>
      </w:r>
      <w:r>
        <w:rPr>
          <w:rFonts w:ascii="Times New Roman" w:cs="Times New Roman" w:eastAsia="Times New Roman" w:hAnsi="Times New Roman"/>
          <w:sz w:val="18"/>
          <w:szCs w:val="18"/>
          <w:color w:val="auto"/>
        </w:rPr>
        <w:t xml:space="preserve">, dated as of May 2021, between Polestar Performance AB and Asia Euro Manufacturing (Taizhou) Co. Ltd., as amended by the </w:t>
      </w:r>
      <w:r>
        <w:rPr>
          <w:rFonts w:ascii="Times New Roman" w:cs="Times New Roman" w:eastAsia="Times New Roman" w:hAnsi="Times New Roman"/>
          <w:sz w:val="18"/>
          <w:szCs w:val="18"/>
          <w:i w:val="1"/>
          <w:iCs w:val="1"/>
          <w:color w:val="auto"/>
        </w:rPr>
        <w:t>Amendment Car Model Manufacturing Agreement</w:t>
      </w:r>
      <w:r>
        <w:rPr>
          <w:rFonts w:ascii="Times New Roman" w:cs="Times New Roman" w:eastAsia="Times New Roman" w:hAnsi="Times New Roman"/>
          <w:sz w:val="18"/>
          <w:szCs w:val="18"/>
          <w:color w:val="auto"/>
        </w:rPr>
        <w:t>,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w:t>
      </w:r>
    </w:p>
    <w:p>
      <w:pPr>
        <w:spacing w:after="0" w:line="182"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June 30, 2019,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 xml:space="preserve">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License, License Agreement and Service Agreement</w:t>
      </w:r>
      <w:r>
        <w:rPr>
          <w:rFonts w:ascii="Times New Roman" w:cs="Times New Roman" w:eastAsia="Times New Roman" w:hAnsi="Times New Roman"/>
          <w:sz w:val="18"/>
          <w:szCs w:val="18"/>
          <w:color w:val="auto"/>
        </w:rPr>
        <w:t>,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Polestar Performance AB, Polestar New Energy Vehicle Co., Ltd., Volvo Car Corporation and Volvo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Cars (China) Investment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Cars (China) Investment Co., Ltd.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June 30, 2019, 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xml:space="preserve">, dated as of November 28, 2019, between Volvo Cars (China) Investment Co. Ltd. and Polestar New Energy Vehicle Co. Ltd., as amended by the </w:t>
      </w:r>
      <w:r>
        <w:rPr>
          <w:rFonts w:ascii="Times New Roman" w:cs="Times New Roman" w:eastAsia="Times New Roman" w:hAnsi="Times New Roman"/>
          <w:sz w:val="18"/>
          <w:szCs w:val="18"/>
          <w:i w:val="1"/>
          <w:iCs w:val="1"/>
          <w:color w:val="auto"/>
        </w:rPr>
        <w:t>Novation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upon the insolvency of the other party. The applicable Polestar entity also has the right to cancel the services performed by Volvo Cars (China) Investment Co., Ltd. for convenience upon 90 days’ written notice.</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31, 2020,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1, 2020, between Volvo Car Corporation and Polestar Automotive China Distribution Co. Ltd.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23, 2020, between Polestar Performance AB and Volvo Car Corporation is a license agreement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Software Agreement</w:t>
      </w:r>
      <w:r>
        <w:rPr>
          <w:rFonts w:ascii="Times New Roman" w:cs="Times New Roman" w:eastAsia="Times New Roman" w:hAnsi="Times New Roman"/>
          <w:sz w:val="18"/>
          <w:szCs w:val="18"/>
          <w:color w:val="auto"/>
        </w:rPr>
        <w:t>, dated as of January 1, 2020, between Polestar Performance AB and Volvo Car Corporation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design, development and supply of performance enhancing software by Polestar Performance AB for Volvo Car Corporation AB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spacing w:after="0" w:line="182" w:lineRule="exact"/>
        <w:rPr>
          <w:sz w:val="20"/>
          <w:szCs w:val="20"/>
          <w:color w:val="auto"/>
        </w:rPr>
      </w:pPr>
    </w:p>
    <w:p>
      <w:pPr>
        <w:ind w:left="120" w:right="10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February 27, 2020, between Zhongjia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(Chengdu) Co., Ltd. and Polestar Automotive China Distribution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February 2021, between Zhongjia Automobile Manufacturing (Chengdu)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April 28, 2021, between Volvo Car Corporation and Polestar Automotive China Distribution Co. Ltd. largely mirrors the previously described agreement but with Volvo Car Corporation acting as the service provider.</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March 17, 2021, between Volvo Car Corporation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AB is an agreement relating to the planned production of Polestar 3 vehicles in Volvo Car Corporation’s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cs="Times New Roman" w:eastAsia="Times New Roman" w:hAnsi="Times New Roman"/>
          <w:sz w:val="18"/>
          <w:szCs w:val="18"/>
          <w:i w:val="1"/>
          <w:iCs w:val="1"/>
          <w:color w:val="auto"/>
        </w:rPr>
        <w:t>Financial 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Investments for Vehicle Assembly</w:t>
      </w:r>
      <w:r>
        <w:rPr>
          <w:rFonts w:ascii="Times New Roman" w:cs="Times New Roman" w:eastAsia="Times New Roman" w:hAnsi="Times New Roman"/>
          <w:sz w:val="18"/>
          <w:szCs w:val="18"/>
          <w:color w:val="auto"/>
        </w:rPr>
        <w:t>, dated as of March 23, 2021, between Volvo Car Corporation and Polestar Performance AB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mirrors the previously described agreement but instead imposes investment commitments on Polestar Performance AB relating to Polestar 3 unique equipment (rather than common equipment that is used in the production of both Volvo’s and Polestar’s vehicles).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3"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27,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will provide complete design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28,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May 11, 2020, between Volvo Car Corporation and Polestar Performance AB is a service agreement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AB’s usage of Volvo Car Performance Academy (Volvo’s learning management system) to manage Polestar’s technical training in the markets. The agreement provides that Polestar Performance AB will pay Volvo Car Corporation a monthly service charge taking into account the following cost categories: technical support, system hosting, administrative support, system enhancement, global commercial team support and share of historical development costs. The costs charged to Polestar Performance AB are in part based on Polestar Performance AB’s market representation share as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determined in accordance with the agreement. In addition, hourly rates that are used to calculate the service charges are determined annually by Volvo Car Corporation and take into account the full cost incurred plus an arm’s length mark-up. The agreement remains in force until December 31, 2022. Either party may terminate within 30 days of written notice for breach or immediately upon the insolvency of the other party. Volvo Car Corporation may terminate the agreement for convenience upon 90 days’ written notice. Polestar Performance AB also has an immediate termination right with respect to certain breaches by Volvo Car Corporation and may cancel the services performed for convenience upon 90 days’ written notice. Further, if the Volvo Cars Performance Academy agreement between Volvo Car Corporation and its supplier of the Volvo Cars Performance Academy terminates, the service agreement is automatically terminated.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Polestar Performance AB and Volvo Bil i Göteborg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6, 2020, between Volvo Car Corporation and Polestar Performance AB, as amended by the</w:t>
      </w:r>
      <w:r>
        <w:rPr>
          <w:rFonts w:ascii="Times New Roman" w:cs="Times New Roman" w:eastAsia="Times New Roman" w:hAnsi="Times New Roman"/>
          <w:sz w:val="18"/>
          <w:szCs w:val="18"/>
          <w:i w:val="1"/>
          <w:iCs w:val="1"/>
          <w:color w:val="auto"/>
        </w:rPr>
        <w:t xml:space="preserve"> Amendment Agreement</w:t>
      </w:r>
      <w:r>
        <w:rPr>
          <w:rFonts w:ascii="Times New Roman" w:cs="Times New Roman" w:eastAsia="Times New Roman" w:hAnsi="Times New Roman"/>
          <w:sz w:val="18"/>
          <w:szCs w:val="18"/>
          <w:color w:val="auto"/>
        </w:rPr>
        <w:t>, dated as of June 30, 2021, between Volvo Car Corporation and Polestar Performance AB is a license agreement under which Volvo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6,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cancelation rights and has an immediate termination right with respect to certain breaches by Volvo Car Corporation.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19, 2020, between Volvo Car UK Limited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w:t>
      </w:r>
    </w:p>
    <w:p>
      <w:pPr>
        <w:spacing w:after="0" w:line="185" w:lineRule="exact"/>
        <w:rPr>
          <w:sz w:val="20"/>
          <w:szCs w:val="20"/>
          <w:color w:val="auto"/>
        </w:rPr>
      </w:pPr>
    </w:p>
    <w:p>
      <w:pPr>
        <w:jc w:val="both"/>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European CO2 Emission Credit Payment Agreement</w:t>
      </w:r>
      <w:r>
        <w:rPr>
          <w:rFonts w:ascii="Times New Roman" w:cs="Times New Roman" w:eastAsia="Times New Roman" w:hAnsi="Times New Roman"/>
          <w:sz w:val="18"/>
          <w:szCs w:val="18"/>
          <w:color w:val="auto"/>
        </w:rPr>
        <w:t>, dated as of November 27, 2020, between Volvo Car Corporation and Polestar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w:t>
      </w:r>
    </w:p>
    <w:p>
      <w:pPr>
        <w:spacing w:after="0" w:line="182"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Parts Supply and License Agreement Polestar Aftermarket Parts and Accessories (CHINA)</w:t>
      </w:r>
      <w:r>
        <w:rPr>
          <w:rFonts w:ascii="Times New Roman" w:cs="Times New Roman" w:eastAsia="Times New Roman" w:hAnsi="Times New Roman"/>
          <w:sz w:val="17"/>
          <w:szCs w:val="17"/>
          <w:color w:val="auto"/>
        </w:rPr>
        <w:t>, dated as of November 22, 2021, between Polestar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w:t>
      </w:r>
    </w:p>
    <w:p>
      <w:pPr>
        <w:spacing w:after="0" w:line="17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July 1, 2021, between Volvo Car Corporation and Polestar Automotive China Distribution., Ltd. is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is a service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 Ltd. largely mirrors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but with Volvo Cars Technology (Shanghai) Co., Ltd. acting as the service provider under the agreement.</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Automotive China Distribution, Ltd., and the</w:t>
      </w:r>
      <w:r>
        <w:rPr>
          <w:rFonts w:ascii="Times New Roman" w:cs="Times New Roman" w:eastAsia="Times New Roman" w:hAnsi="Times New Roman"/>
          <w:sz w:val="18"/>
          <w:szCs w:val="18"/>
          <w:i w:val="1"/>
          <w:iCs w:val="1"/>
          <w:color w:val="auto"/>
        </w:rPr>
        <w:t xml:space="preserve"> 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w:t>
      </w:r>
    </w:p>
    <w:p>
      <w:pPr>
        <w:spacing w:after="0" w:line="185"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28,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an agreement governing the outsourcing of development services for Polestar vehicles. The agreement remains in full force and effect until the services are completed.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spacing w:after="0" w:line="18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Tooling and Equipment Agreement</w:t>
      </w:r>
      <w:r>
        <w:rPr>
          <w:rFonts w:ascii="Times New Roman" w:cs="Times New Roman" w:eastAsia="Times New Roman" w:hAnsi="Times New Roman"/>
          <w:sz w:val="18"/>
          <w:szCs w:val="18"/>
          <w:color w:val="auto"/>
        </w:rPr>
        <w:t>, dated as of December 10,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Unique Vendor Tooling Agreement</w:t>
      </w:r>
      <w:r>
        <w:rPr>
          <w:rFonts w:ascii="Times New Roman" w:cs="Times New Roman" w:eastAsia="Times New Roman" w:hAnsi="Times New Roman"/>
          <w:sz w:val="18"/>
          <w:szCs w:val="18"/>
          <w:color w:val="auto"/>
        </w:rPr>
        <w:t>, dated as of December 23,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March 4, 2022,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and the </w:t>
      </w: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10,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30,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7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Parts Supply and License Agreement Polestar Aftermarket Parts and Accessories (ROW)</w:t>
      </w:r>
      <w:r>
        <w:rPr>
          <w:rFonts w:ascii="Times New Roman" w:cs="Times New Roman" w:eastAsia="Times New Roman" w:hAnsi="Times New Roman"/>
          <w:sz w:val="18"/>
          <w:szCs w:val="18"/>
          <w:color w:val="auto"/>
        </w:rPr>
        <w:t>, dated as of January 1, 2020, between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and Volvo Car Corporation, is a supply and license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New, Used and Demonstrator Funding Agreement</w:t>
      </w:r>
      <w:r>
        <w:rPr>
          <w:rFonts w:ascii="Times New Roman" w:cs="Times New Roman" w:eastAsia="Times New Roman" w:hAnsi="Times New Roman"/>
          <w:sz w:val="18"/>
          <w:szCs w:val="18"/>
          <w:color w:val="auto"/>
        </w:rPr>
        <w:t>, dated June 14, 2021, by and among Volvo Car Financial Services UK Limited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January 28, 2022, by and between Volvo Cars USA LLC and Polestar Automotive USA Inc.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outbound logistics through the utilization of Volvo Cars USA LLC’s existing vehicle distribution process. Under the agreement, Polestar pays Volvo for the estimated hours of work performed and other costs incurred by Volvo.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May 28, 2021, by and between Volvo Car Financial Services UK Limited and Polestar 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Limited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Corporate Guarantee and Indemnity Relating to Polestar Automotive UK Limited</w:t>
      </w:r>
      <w:r>
        <w:rPr>
          <w:rFonts w:ascii="Times New Roman" w:cs="Times New Roman" w:eastAsia="Times New Roman" w:hAnsi="Times New Roman"/>
          <w:sz w:val="18"/>
          <w:szCs w:val="18"/>
          <w:color w:val="auto"/>
        </w:rPr>
        <w:t>, dated as of June 14, 2021, between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w:t>
      </w:r>
    </w:p>
    <w:p>
      <w:pPr>
        <w:spacing w:after="0" w:line="17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dated as of April 1, 2020, between Polestar Automotive China Distribution Co., Ltd. and Hangzhou Easybao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w:t>
      </w:r>
    </w:p>
    <w:p>
      <w:pPr>
        <w:spacing w:after="0" w:line="19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June 1, 2021, between Polestar Automotive China Distribution Co., Ltd and Genius Auto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Framework Agreement on Import and Export of Polestar Vehicles </w:t>
      </w:r>
      <w:r>
        <w:rPr>
          <w:rFonts w:ascii="Times New Roman" w:cs="Times New Roman" w:eastAsia="Times New Roman" w:hAnsi="Times New Roman"/>
          <w:sz w:val="18"/>
          <w:szCs w:val="18"/>
          <w:color w:val="auto"/>
        </w:rPr>
        <w:t>between Volvo Car Corporate and Polestar Performance AB, dated June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w:t>
      </w:r>
    </w:p>
    <w:p>
      <w:pPr>
        <w:spacing w:after="0" w:line="18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sale of Polestar vehicles to Volvo Cars is set forth in the </w:t>
      </w:r>
      <w:r>
        <w:rPr>
          <w:rFonts w:ascii="Times New Roman" w:cs="Times New Roman" w:eastAsia="Times New Roman" w:hAnsi="Times New Roman"/>
          <w:sz w:val="18"/>
          <w:szCs w:val="18"/>
          <w:i w:val="1"/>
          <w:iCs w:val="1"/>
          <w:color w:val="auto"/>
        </w:rPr>
        <w:t>Importer Agreement</w:t>
      </w:r>
      <w:r>
        <w:rPr>
          <w:rFonts w:ascii="Times New Roman" w:cs="Times New Roman" w:eastAsia="Times New Roman" w:hAnsi="Times New Roman"/>
          <w:sz w:val="18"/>
          <w:szCs w:val="18"/>
          <w:color w:val="auto"/>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 and Purchase Agreement </w:t>
      </w:r>
      <w:r>
        <w:rPr>
          <w:rFonts w:ascii="Times New Roman" w:cs="Times New Roman" w:eastAsia="Times New Roman" w:hAnsi="Times New Roman"/>
          <w:sz w:val="18"/>
          <w:szCs w:val="18"/>
          <w:color w:val="auto"/>
        </w:rPr>
        <w:t>between Volvo Car USA LLC and Polestar Automotive USA LLC, dated June 21, 2022, provides for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vehicles imported by Volvo Cars to Polestar for sale in the United States. The agreement will remain in force until December 31, 2023.</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Research and Development Frame Agreement,</w:t>
      </w:r>
      <w:r>
        <w:rPr>
          <w:rFonts w:ascii="Times New Roman" w:cs="Times New Roman" w:eastAsia="Times New Roman" w:hAnsi="Times New Roman"/>
          <w:sz w:val="18"/>
          <w:szCs w:val="18"/>
          <w:color w:val="auto"/>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Volvo Cars Technology (Shanghai) Co., Ltd and Polestar Automotive China Distribution Co. Ltd. governs Volvo Cars Technology (Shanghai) Co., Ltd’s provision to Polestar Automotive China Distribution Co. Ltd. of services related to its role as site leader for R&amp;D China and the ramp-up and maintenance of such. Under the agreement, Volvo Cars Technology (Shanghai) Co., Ltd is responsible for R&amp;D staff management in accordance with legal and company requirements, driving and executing engineering topics assigned to the corresponding engineering site, and establishing and maintaining corporations with local internal and external partners, suppliers, and research institutes. Service charges are based on actual hours required for the services to be performed, and the hourly rates are determined on an annual basis. The agreement is in effect until November 30, 2022, at the latest,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Volvo Cars Technology (Shanghai) Co., Ltd. Either party is also entitled to terminate the agreement for convenience with 60 days’ prior written notice to the other party.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Under Articles of Incorporation; Indemnification Agreements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980"/>
          </w:cols>
          <w:pgMar w:left="320" w:top="455" w:right="5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Preference Shares of nominal value USD 10.00 each, and (f) 50,000 GBP Redeemable Preferred Shares of nominal value GBP 1.00 each (“</w:t>
      </w:r>
      <w:r>
        <w:rPr>
          <w:rFonts w:ascii="Times New Roman" w:cs="Times New Roman" w:eastAsia="Times New Roman" w:hAnsi="Times New Roman"/>
          <w:sz w:val="18"/>
          <w:szCs w:val="18"/>
          <w:i w:val="1"/>
          <w:iCs w:val="1"/>
          <w:color w:val="auto"/>
        </w:rPr>
        <w:t>GBP 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addition, Class A Shares and Deferred Shares of nominal value USD 0.01 each (“</w:t>
      </w:r>
      <w:r>
        <w:rPr>
          <w:rFonts w:ascii="Times New Roman" w:cs="Times New Roman" w:eastAsia="Times New Roman" w:hAnsi="Times New Roman"/>
          <w:sz w:val="18"/>
          <w:szCs w:val="18"/>
          <w:i w:val="1"/>
          <w:iCs w:val="1"/>
          <w:color w:val="auto"/>
        </w:rPr>
        <w:t>Deferred Shares</w:t>
      </w:r>
      <w:r>
        <w:rPr>
          <w:rFonts w:ascii="Times New Roman" w:cs="Times New Roman" w:eastAsia="Times New Roman" w:hAnsi="Times New Roman"/>
          <w:sz w:val="18"/>
          <w:szCs w:val="18"/>
          <w:color w:val="auto"/>
        </w:rPr>
        <w:t>”) may be created upon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C-1 Shares, Class C-2 Shares and Preference Shares without any requirement for further authorization. Subsequent to the Closing, the following securities were issued and outstanding: 466,801,222 Class A Shares, 1,642,233,575 Class B Shares, no Preference Shares, 50,000 GBP Redeemable Preferred Shares, 15,999,965 Class C-1 Shares and 9,000,000 Class C-2 Shares. The Class A Shares, Class B Shares and Class C Shares are represented by Class A ADSs, Class B ADSs and Class C ADSs, respectively.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Share Capital and Polestar Articles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English law and any preferences that may apply to shares outstanding at the time, holders of outstanding Class A Shares, Class B Shares and Preference Shares are entitled to receive dividends out of assets legally available at the times and in the amounts as the Board may determine from time to time.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Preference Shares shall not entitle any holder to preferred dividends or accruals except that the holders of Preference Shares shall participate in dividends or other distributions on the Class A Shares as if such Preference Shares had been converted into Class A Shares in accordance with the Polestar Articles.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or in respect of shares into a separate account shall not constitute the Company as a trustee in respect thereof. For further information regarding the payment of dividends under English law, see “—Polestar Articles and English Law Considerations—Other English Law Considerations— Distributions &amp;Dividends.”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carry no voting rights and do not entitle their holders to receive notice of, to attend, to speak or to vote at any general meeting of the Company. Holders of Shares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Shares and the Company intends to propose equivalent resolutions in the future once the initial period</w:t>
      </w:r>
    </w:p>
    <w:p>
      <w:pPr>
        <w:spacing w:after="0" w:line="5"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Redemption Rights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Preference Share shall convert into one Class A Share (credited as fully paid) in the form of a Class A ADS, provided that:</w:t>
      </w:r>
    </w:p>
    <w:p>
      <w:pPr>
        <w:spacing w:after="0" w:line="131" w:lineRule="exact"/>
        <w:rPr>
          <w:sz w:val="20"/>
          <w:szCs w:val="20"/>
          <w:color w:val="auto"/>
        </w:rPr>
      </w:pPr>
    </w:p>
    <w:p>
      <w:pPr>
        <w:ind w:left="1080" w:right="280" w:hanging="532"/>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conversion and redemption features of the Class C Shares are described below under “—Class C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a return of assets on liquidation or otherwise, the assets of Polestar remaining after payment of its debts and liabilities and available for distribution to holders of Shares, Class C Shares, Preference Shares, Deferred Shares and GBP Redeemable Preferred Shares will be applied in the following manner and order of priority:</w:t>
      </w:r>
    </w:p>
    <w:p>
      <w:pPr>
        <w:spacing w:after="0" w:line="81" w:lineRule="exact"/>
        <w:rPr>
          <w:sz w:val="20"/>
          <w:szCs w:val="20"/>
          <w:color w:val="auto"/>
        </w:rPr>
      </w:pPr>
    </w:p>
    <w:p>
      <w:pPr>
        <w:ind w:left="1080" w:right="6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holders of the Preference Shares (pro rata and pari passu) an amount equal to the initial liquidation preference of $588,826,100 less the aggregate subscription price of any Preference Shares that have been converted into Class A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the GBP Redeemable Preferred Shares an amount equal to the nominal value of such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up to an amount of $1 million per Share; and</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 pro rata to the number of Class C Shares respectively held by them up to an amount of $1 million per Class C Share;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holders of Deferred Shares an amount equal to the nominal value of the Deferred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and</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provided that if the amount which would be received by the holders of the Preference Shares if all such shares had been converted in accordance with the Polestar Articles would be greater than pursuant to (a) above, the relevant Preference Shares shall be deemed for the purposes of the relevant return of capital to be treated pari passu with the holders of Shares on an as-converted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Calls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93" w:lineRule="exact"/>
        <w:rPr>
          <w:sz w:val="20"/>
          <w:szCs w:val="20"/>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fully paid;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upon which the Company has a lien;</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duly stamped (if required) or is duly certified or otherwise shown to the satisfaction of the Board to be exempt from stamp duty (if required);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81"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default share where the holder has failed to provide the required details to Polestar under “—Polestar Articles and English Law Considerations—Other English Law Considerations—Disclosure of Interest in Shares,” subject to certain exceptions;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more than one class of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transfer to joint holders of a share, the number of joint holders to whom the share is to be transferred exceeds four.</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on Ownership</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the Polestar Articles, there are no limitations on the right of non-residents of the U.K. or owners who are not citizens of the U.K. to hold or, other than the holders of Preference Shares, Class C Shares, Deferred Shares or GBP Redeemable Preferred Shares which do no confer voting rights on the relevant holders, vote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Articles and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Polestar Articles provide that at the time of their adoption, the number of directors of the Company shall be nine (the “Initial Directors”), and that otherwise the number of directors shall be as determined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Board from time to time. Directors may be appointed by any ordinary resolution of shareholders or by the Board, as described below under “— Appointment and Retirement of Directors.” Each director elected shall hold office until his or her successor is elected or until his or her earlier resignation or removal in accordance with the Polestar Articles.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period of three years post-Closing a majority of the director shall be independent directors. A director shall be independent when he or she</w:t>
      </w:r>
    </w:p>
    <w:p>
      <w:pPr>
        <w:spacing w:after="0" w:line="27" w:lineRule="exact"/>
        <w:rPr>
          <w:sz w:val="20"/>
          <w:szCs w:val="20"/>
          <w:color w:val="auto"/>
        </w:rPr>
      </w:pPr>
    </w:p>
    <w:p>
      <w:pPr>
        <w:ind w:left="120" w:right="140" w:hanging="4"/>
        <w:spacing w:after="0" w:line="253" w:lineRule="auto"/>
        <w:tabs>
          <w:tab w:leader="none" w:pos="3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requirements to qualify as an “independent director” under the stock exchange rules of the stock exchange on which the Class A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Cars or Geely.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Appointment and Retirement of Directors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 of Directors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shares of the Company, present in person or by proxy and entitled to attend and to vote on the business to be transacted, at such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Requisitioning Shareholder Meetings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English Law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U.K. City Code on Takeovers and Mergers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93" w:lineRule="exact"/>
        <w:rPr>
          <w:sz w:val="20"/>
          <w:szCs w:val="20"/>
          <w:color w:val="auto"/>
        </w:rPr>
      </w:pPr>
    </w:p>
    <w:p>
      <w:pPr>
        <w:ind w:left="1080" w:right="10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to disclose prescribed particulars of those shares. For this purpose, default shares includes any of the Company’s shares allotted or issued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&amp; Dividends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1" w:lineRule="exact"/>
        <w:rPr>
          <w:sz w:val="20"/>
          <w:szCs w:val="20"/>
          <w:color w:val="auto"/>
        </w:rPr>
      </w:pPr>
    </w:p>
    <w:p>
      <w:pPr>
        <w:ind w:left="1080" w:right="10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67" w:lineRule="exact"/>
        <w:rPr>
          <w:rFonts w:ascii="Times New Roman" w:cs="Times New Roman" w:eastAsia="Times New Roman" w:hAnsi="Times New Roman"/>
          <w:sz w:val="18"/>
          <w:szCs w:val="18"/>
          <w:color w:val="auto"/>
        </w:rPr>
      </w:pPr>
    </w:p>
    <w:p>
      <w:pPr>
        <w:ind w:left="5480" w:hanging="4932"/>
        <w:spacing w:after="0" w:line="454" w:lineRule="auto"/>
        <w:tabs>
          <w:tab w:leader="none" w:pos="107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 198</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Shares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C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Closing, at 5:00 p.m., New York City time, or earlier upon redemption or liquidation.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92"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cash. </w:t>
      </w:r>
      <w:r>
        <w:rPr>
          <w:rFonts w:ascii="Times New Roman" w:cs="Times New Roman" w:eastAsia="Times New Roman" w:hAnsi="Times New Roman"/>
          <w:sz w:val="18"/>
          <w:szCs w:val="18"/>
          <w:color w:val="auto"/>
        </w:rPr>
        <w:t>Once the Class C Shares become exercisable, the Company may call the Class C Shares for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described herein with respect to Class C-2 Shares):</w:t>
      </w:r>
    </w:p>
    <w:p>
      <w:pPr>
        <w:spacing w:after="0" w:line="66"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Class C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holder of a Class C Share;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312" w:lineRule="auto"/>
        <w:tabs>
          <w:tab w:leader="none" w:pos="10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redemption trigger price as well as the $11.50 (for whole Class A ADSs) Class C Shares exercise price after the redemption notice is issued.</w:t>
      </w:r>
    </w:p>
    <w:p>
      <w:pPr>
        <w:spacing w:after="0" w:line="181"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Class A ADSs. </w:t>
      </w:r>
      <w:r>
        <w:rPr>
          <w:rFonts w:ascii="Times New Roman" w:cs="Times New Roman" w:eastAsia="Times New Roman" w:hAnsi="Times New Roman"/>
          <w:sz w:val="18"/>
          <w:szCs w:val="18"/>
          <w:color w:val="auto"/>
        </w:rPr>
        <w:t>Commencing 90 days after the Class C Shares become exercisable, the Company may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Class C Shares:</w:t>
      </w:r>
    </w:p>
    <w:p>
      <w:pPr>
        <w:spacing w:after="0" w:line="66"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Class C-2 Shares are also concurrently exchanged at the same price (equal to a number of Class A ADSs) as the outstanding Class C-1 Shares, as described above;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upon exercise of a Class C Share as so adjusted. The number of Class A ADSs in the table below shall be adjusted in the same manner and at the same time as the number of Class A ADSs issuable upon exercise of a Class C Share.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Fair Market Value of Class A ADSs</w:t>
            </w: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6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$12.00</w:t>
            </w:r>
          </w:p>
        </w:tc>
        <w:tc>
          <w:tcPr>
            <w:tcW w:w="7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$13.00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$14.00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68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$17.00</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0" w:type="dxa"/>
            <w:vAlign w:val="bottom"/>
            <w:gridSpan w:val="7"/>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Redemption Date (period to expiration of Class C Shares)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0.325</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0.239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0.316</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0.304</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0.259</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0.296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0.286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0.281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7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Class C Shares held by the Company officers or directors will be subject to this redemption feature, except that such officers and directors shall only receive “fair market value” for such Class C Shares so redeemed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(“fair market value” for such Class C-1 Shares held by the Company officers or directors being defined as the last reported sale price of the Class C-1 Shares on such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redemption feature differs from typical warrant redemption features, which typically only provide for a redemption of warrants for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private placement warrants) when the trading price for Class A common stock exceeds $18.00 per share for a specified period of time.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feature is structured to allow for all of the outstanding Class C-1 Shares to be redeemed when the Class A ADSs are trading at or above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Class A ADS, which may be at a time when the trading price of the Class A ADSs is below the exercise price of the Class C-1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has established this redemption feature to provide the Class C-1 Shares with an additional liquidity feature, which provides the Company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flexibility to redeem the Class C-1 Shares for Class A ADSs, instead of cash, for “fair value” without the Class C-1 Shares having to reach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$18.00 per Class A ADS threshold set forth above under “—Redemption of Class C Shares for cash.” Holders of the Class C-1 Shares will,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number of Class A ADSs representing fair value for their Class C-1 Shares based on an option pricing model with a fixed volatility input.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right provides the Company not only with an additional mechanism by which to redeem all of the outstanding Class C-1 Shares, in this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Class A ADSs, and therefore have certainty as to (i) the Company’s capital structure as the Class C-1 Shares would no longer be outstanding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have been exercised or redeemed and (ii) to the amount of cash provided by the exercise of the Class C-1 Shares and available to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also provides a ceiling to the theoretical value of the Class C-1 Shares as it locks in the “redemption prices” the Company would pay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Polestar chose to redeem Class C-1 Shares in this manner. The Company will effectively be required to pay fair value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the Company chooses to exercise this redemption right and it will allow the Company to quickly proceed with a redemption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for Class A ADSs if the Company determines it is in the Company’s best interest to do so. As such, the Company would redeem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C-1 Shares in this manner when the Company believes it is in the Company’s best interest to update the Company’s capital structure to remove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and pay fair value to the holders of Class C-1 Shares. In particular, it would allow the Company to quickly redeem the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 Class A ADSs, without having to negotiate a redemption price with the holders of Class C-1 Shares. In addition, the holders of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will have the ability to exercise the Class C Shares prior to redemption if they should choose to do so.</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Class C-1 Shares when the Class A ADSs are trading at a price starting at $10.00, which is below the exercise price of $11.50,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procedures and cashless exercise. </w:t>
      </w:r>
      <w:r>
        <w:rPr>
          <w:rFonts w:ascii="Times New Roman" w:cs="Times New Roman" w:eastAsia="Times New Roman" w:hAnsi="Times New Roman"/>
          <w:sz w:val="18"/>
          <w:szCs w:val="18"/>
          <w:color w:val="auto"/>
        </w:rPr>
        <w:t>If the Company calls the Class C-1 Shares for redemption as described above,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8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the Company management takes advantage of this option, all holders of Class C-1 Shares would pay the exercise price by surrendering their Class C-1 Shares for that number of Class A ADSs equal to the quotient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ADSs is increased by a stock dividend payable in Class A ADSs, or by</w:t>
      </w:r>
    </w:p>
    <w:p>
      <w:pPr>
        <w:spacing w:after="0" w:line="2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9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Whenever the number of Class A ADSs purchasable upon the exercise of the Class C Shares is adjusted, as described above, the Class C Share exercise price will be adjusted by multiplying the Class C Share exercise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97" w:lineRule="exact"/>
        <w:rPr>
          <w:sz w:val="20"/>
          <w:szCs w:val="20"/>
          <w:color w:val="auto"/>
        </w:rPr>
      </w:pPr>
    </w:p>
    <w:p>
      <w:pPr>
        <w:jc w:val="center"/>
        <w:ind w:left="380" w:right="60"/>
        <w:spacing w:after="0" w:line="276" w:lineRule="auto"/>
        <w:rPr>
          <w:sz w:val="20"/>
          <w:szCs w:val="20"/>
          <w:color w:val="auto"/>
        </w:rPr>
      </w:pPr>
      <w:r>
        <w:rPr>
          <w:rFonts w:ascii="Times New Roman" w:cs="Times New Roman" w:eastAsia="Times New Roman" w:hAnsi="Times New Roman"/>
          <w:sz w:val="17"/>
          <w:szCs w:val="17"/>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w:t>
      </w:r>
    </w:p>
    <w:p>
      <w:pPr>
        <w:spacing w:after="0" w:line="1" w:lineRule="exact"/>
        <w:rPr>
          <w:sz w:val="20"/>
          <w:szCs w:val="20"/>
          <w:color w:val="auto"/>
        </w:rPr>
      </w:pPr>
    </w:p>
    <w:p>
      <w:pPr>
        <w:ind w:left="120" w:right="40" w:hanging="4"/>
        <w:spacing w:after="0" w:line="268" w:lineRule="auto"/>
        <w:tabs>
          <w:tab w:leader="none" w:pos="33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this prospectus, for a complete description of the terms and conditions applicable to the Class C Shares.</w:t>
      </w:r>
    </w:p>
    <w:p>
      <w:pPr>
        <w:spacing w:after="0" w:line="17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exercise of the Class C Shares. If, upon exercise of the Class C Shares, a holder would be entitled to receive a fractional interest in a Class A ADS, the Company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exercise, round down to the nearest whole number of Class A ADSs to be issued to the holders of Class C Shares.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Class C-2 Shares will not be transferable, assignable or salable until 30 days after Closing and they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ADSs and Class C-1 ADSs are listed on Nasdaq under the symbols “PSNY” and “PSNYW,” respectively.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summarizes the terms of the ADSs.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6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is on file with the SEC under cover of Registration Statements on Form F-6. You may obtain a copy of the deposit agreements from the SEC’s Public Reference Room at 100 F Street, N.E., Washington, D.C. 20549 and from the SEC’s website (www.sec.gov). Please refer to Registration Number 333-263479 (for the Class A ADSs), 333-263480 (for the Class C-1 ADSs), and 333-263481 (for the Class C-2 ADSs), respectively, when retrieving such copy.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have no rights or obligations under the deposit agreement for any other class of Shares. The Company urges you to review the applicable deposit agreements in their entirety. </w:t>
      </w:r>
      <w:r>
        <w:rPr>
          <w:rFonts w:ascii="Times New Roman" w:cs="Times New Roman" w:eastAsia="Times New Roman" w:hAnsi="Times New Roman"/>
          <w:sz w:val="18"/>
          <w:szCs w:val="18"/>
          <w:i w:val="1"/>
          <w:iCs w:val="1"/>
          <w:color w:val="auto"/>
        </w:rPr>
        <w:t>The portions of this summary description that are italicized describe matters that may be relevant to the ownership of ADSs but that may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contained in the deposit agreements.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62" w:lineRule="exact"/>
        <w:rPr>
          <w:sz w:val="20"/>
          <w:szCs w:val="20"/>
          <w:color w:val="auto"/>
        </w:rPr>
      </w:pPr>
    </w:p>
    <w:p>
      <w:pPr>
        <w:jc w:val="both"/>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Shares will continue to be governed by the laws of England and Wales, which may be different from the laws in the United States.</w:t>
      </w:r>
    </w:p>
    <w:p>
      <w:pPr>
        <w:spacing w:after="0" w:line="16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the Company will not treat you as one of its shareholders and you will not have direct shareholder rights. The depositary will hold on your behalf the shareholder rights attached to the Shares underlying your ADSs. As an owner of ADSs you will be able to exercise the shareholders rights for the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9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registration of the Shares in the name of the depositary or the custodian shall, to the maximum extent permitted by applicable law, vest in the depositary or the custodian the record ownership in the applicable Shares with the beneficial ownership rights and interests in such Shares being at all times vested with the beneficial owners of the ADSs representing the applicable Shares. The depositary or the custodian shall at all times be entitled to exercise the beneficial ownership rights in all corresponding deposited property, in each case only on behalf of the holders and beneficial owners of the ADSs representing the deposited property.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Shares, the transfer of which is restricted due to contractual or regulatory limitations and commonly referred to as “Restricted Shares,” are eligible for deposit under the deposit agreements only in limited circumstances described under the section entitled “—Restricted ADSs,”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Cash</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Shares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Whenever the Company makes a free distribution of Shares for the securities on deposit with the custodian, the Company will deposit the applicable number of Shares with the custodian. Upon receipt of confirmation of such deposit, the depositary will either distribute to the applicable holders new ADSs representing the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Shares so distributed.</w:t>
      </w:r>
    </w:p>
    <w:p>
      <w:pPr>
        <w:spacing w:after="0" w:line="174"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Shares received upon the terms described in the deposit agreement and will distribute the proceeds of the sale as in the case of a distribution of cash.</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Rights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rights to subscribe for additional Shares, the Company will give prior notice to the depositary and will assist the depositary in determining whether it is lawful and reasonably practicable to distribute rights to subscribe for additional ADSs to the applicable holders.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Shares other than in the form of ADSs.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timely request that the rights be distributed to you or the Company requests that the rights not be distributed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Elective Distributions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a dividend payable at the election of shareholders either in cash or in additional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Distributions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property other than cash, Shares or rights to subscribe for additional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76" w:lineRule="exact"/>
        <w:rPr>
          <w:sz w:val="20"/>
          <w:szCs w:val="20"/>
          <w:color w:val="auto"/>
        </w:rPr>
      </w:pPr>
    </w:p>
    <w:p>
      <w:pPr>
        <w:jc w:val="both"/>
        <w:ind w:left="120" w:right="860" w:firstLine="440"/>
        <w:spacing w:after="0" w:line="312"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14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33" w:lineRule="exact"/>
        <w:rPr>
          <w:sz w:val="20"/>
          <w:szCs w:val="20"/>
          <w:color w:val="auto"/>
        </w:rPr>
      </w:pPr>
    </w:p>
    <w:p>
      <w:pPr>
        <w:ind w:left="5480" w:hanging="4824"/>
        <w:spacing w:after="0" w:line="454" w:lineRule="auto"/>
        <w:tabs>
          <w:tab w:leader="none" w:pos="10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request that the property be distributed to you or if the Company requests that the property not be distributed to you; 209</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and, with respect to Class C Shares, Mandatory Conversion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Shares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Shares held on deposit for your ADSs may change from time to time. For example, there may be a change in nominal or par value, split-up, cancellation, consolidation or any other reclassification of such Shares or a recapitalization, reorganization, merger, consolidation or sale of assets of the Company.</w:t>
      </w:r>
    </w:p>
    <w:p>
      <w:pPr>
        <w:spacing w:after="0" w:line="176"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If any such change were to occur, your ADSs would, to the extent permitted by law and the deposit agreement, represent the right to receive the property received or exchanged in respect of the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Shares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Upon completion of the Business Combination, the Shares being offered in connection with the Business Combination were deposited by the Company with the custodian. Upon receipt of confirmation of such deposit, the depositary issued ADSs representing the deposited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6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Shares with the custodian. The depositary will deliver the corresponding ADSs to the person you indicate only after you pay any applicable issuance fees and any charges and taxes payable for the transfer of the Shares to the custodian. Your ability to deposit Shares and receive ADSs may be limited by U.S. and English legal considerations applicable at the time of deposit.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When you make a deposit of Shares, you will be responsible for transferring good and valid title to the depositary. As such, you will be deemed to represent and warrant that:</w:t>
      </w:r>
    </w:p>
    <w:p>
      <w:pPr>
        <w:spacing w:after="0" w:line="67"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duly authorized, validly issued, fully paid, non-assessable and legally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Shares have been validly waived or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have not been stripped of any rights or entitlements.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Combination and Split Up of ADRs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7"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 of Shares Upon Cancellation of ADSs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Shares at the custodian’s offices. Your ability to withdraw the Shares held in respect of the ADSs may be limited by U.S. and English legal considerations applicable at the time of withdrawal. In order to withdraw the Shares represented by your ADSs, you will be required to pay to the depositary the fees for cancellation of ADSs and any charges and taxes payable upon the transfer of the Shares. You assume the risk for delivery of all funds and securities upon withdrawal. Once canceled, the ADSs will not have any rights under the deposit agreement.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5"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2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Shares or ADSs are closed, or (ii) the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Shares represented by your ADSs. The voting rights of holders of Shares are described in “Description of Share Capital and Articles of Association— Description of Company Share Capital and Polestar Articles—Company Securities—Voting Rights.”</w:t>
      </w:r>
    </w:p>
    <w:p>
      <w:pPr>
        <w:spacing w:after="0" w:line="176"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18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9"/>
        </w:trPr>
        <w:tc>
          <w:tcPr>
            <w:tcW w:w="5620" w:type="dxa"/>
            <w:vAlign w:val="bottom"/>
            <w:tcBorders>
              <w:top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•    Other than the initial deposit in connection with the Business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8"/>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Combination,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 issuance of ADS upon a</w:t>
            </w:r>
          </w:p>
        </w:tc>
        <w:tc>
          <w:tcPr>
            <w:tcW w:w="5180" w:type="dxa"/>
            <w:vAlign w:val="bottom"/>
          </w:tcPr>
          <w:p>
            <w:pPr>
              <w:spacing w:after="0"/>
              <w:rPr>
                <w:sz w:val="18"/>
                <w:szCs w:val="18"/>
                <w:color w:val="auto"/>
              </w:rPr>
            </w:pPr>
          </w:p>
        </w:tc>
      </w:tr>
      <w:tr>
        <w:trPr>
          <w:trHeight w:val="216"/>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 of Shares, upon a change in the ADS(s)-to-Share ratio or</w:t>
            </w:r>
          </w:p>
        </w:tc>
        <w:tc>
          <w:tcPr>
            <w:tcW w:w="5180" w:type="dxa"/>
            <w:vAlign w:val="bottom"/>
          </w:tcPr>
          <w:p>
            <w:pPr>
              <w:spacing w:after="0"/>
              <w:rPr>
                <w:sz w:val="18"/>
                <w:szCs w:val="18"/>
                <w:color w:val="auto"/>
              </w:rPr>
            </w:pPr>
          </w:p>
        </w:tc>
      </w:tr>
      <w:tr>
        <w:trPr>
          <w:trHeight w:val="216"/>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conversion of Class C Shares/ Class C ADSs or for any other reason),</w:t>
            </w:r>
          </w:p>
        </w:tc>
        <w:tc>
          <w:tcPr>
            <w:tcW w:w="5180" w:type="dxa"/>
            <w:vAlign w:val="bottom"/>
          </w:tcPr>
          <w:p>
            <w:pPr>
              <w:spacing w:after="0"/>
              <w:rPr>
                <w:sz w:val="18"/>
                <w:szCs w:val="18"/>
                <w:color w:val="auto"/>
              </w:rPr>
            </w:pPr>
          </w:p>
        </w:tc>
      </w:tr>
      <w:tr>
        <w:trPr>
          <w:trHeight w:val="234"/>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excluding ADS issuances as a result of distributions of Shares</w:t>
            </w:r>
          </w:p>
        </w:tc>
        <w:tc>
          <w:tcPr>
            <w:tcW w:w="5180" w:type="dxa"/>
            <w:vAlign w:val="bottom"/>
          </w:tcPr>
          <w:p>
            <w:pPr>
              <w:spacing w:after="0"/>
              <w:rPr>
                <w:sz w:val="20"/>
                <w:szCs w:val="20"/>
                <w:color w:val="auto"/>
              </w:rPr>
            </w:pPr>
          </w:p>
        </w:tc>
      </w:tr>
      <w:tr>
        <w:trPr>
          <w:trHeight w:val="365"/>
        </w:trPr>
        <w:tc>
          <w:tcPr>
            <w:tcW w:w="584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212</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28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property, upon a change in the ADS(s)-to-Share ratio, or for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 ADS Services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established by the depositary</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transferred</w:t>
            </w: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converted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conversion of Partial Entitlement ADSs for Full Entitlement ADSs, upon</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Class C ADSs into Class A ADSs, or upon conversion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ADSs (each as defined in the applicable deposit agreement)</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 (including any applicable stamp duty or SDRT);</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Shares, ADSs and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2" w:lineRule="exact"/>
        <w:rPr>
          <w:sz w:val="20"/>
          <w:szCs w:val="20"/>
          <w:color w:val="auto"/>
        </w:rPr>
      </w:pPr>
    </w:p>
    <w:p>
      <w:pPr>
        <w:jc w:val="both"/>
        <w:ind w:left="120" w:right="140" w:hanging="4"/>
        <w:spacing w:after="0" w:line="255" w:lineRule="auto"/>
        <w:tabs>
          <w:tab w:leader="none" w:pos="33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Shares represented by your ADSs (except as permitted by law).</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under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Shares represented by ADSs and to direct the depositary of such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Transmission of Notices, Reports and Proxy Soliciting Material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are obligated only to take the actions specifically stated in the deposit agreement without negligence or bad faith.</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Shares, for the validity or worth of the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will not be obligated to perform any act that is inconsistent with the terms of the deposit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the inability by a holder or beneficial holder to benefit from any distribution, offering, right or other benefit that is made available to holders of Shares but is not, under the terms of the deposit agreement, made available to you.</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the Company, the depositary and you as ADS 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Conversion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7" w:lineRule="exact"/>
        <w:rPr>
          <w:sz w:val="20"/>
          <w:szCs w:val="20"/>
          <w:color w:val="auto"/>
        </w:rPr>
      </w:pPr>
    </w:p>
    <w:p>
      <w:pPr>
        <w:ind w:left="1080" w:right="5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applicable holders for whom the conversion and distribution is lawful and practical.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the applicable holders for whom the distribution is lawful and practical.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Law/Waiver of Jury Trial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Shares (including Shares represented by ADSs) are governed by the laws of England and Wales.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deposit agreement provides that, to the extent permitted by law, ADS holders waive the right to a jury trial of any claim they may have against the Company or the depositary arising out of or relating to the Shares, the ADSs or the deposit agreement, including any claim under U.S. federal securities laws. </w:t>
      </w:r>
      <w:r>
        <w:rPr>
          <w:rFonts w:ascii="Times New Roman" w:cs="Times New Roman" w:eastAsia="Times New Roman" w:hAnsi="Times New Roman"/>
          <w:sz w:val="18"/>
          <w:szCs w:val="18"/>
          <w:i w:val="1"/>
          <w:iCs w:val="1"/>
          <w:color w:val="auto"/>
        </w:rPr>
        <w:t>If the Company or the depositary opposed a jury trial demand based on the waiver, the court would determine whether the waiver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ADSs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order to enable the deposit of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Restricted ADSs are not listed on any securities exchange or trading system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The CUSIP number for the Restricted ADSs is different from the CUSIP number for the freely transferable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Restricted ADSs may, after issuance, be sold or otherwise transferred only on the terms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9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ARE SUBJECT TO RESTRICTIONS PURSUANT TO THE SPONSOR AND SUPPORTING SPONSOR STOCKHOLDERS LOCK-UP AGREEMENT, DATED SEPTEMBER 27, 2021, AMONG POLESTAR AUTOMOTIVE HOLDING UK PLC (THE “COMPANY”), GORES GUGGENHEIM SPONSOR LLC AND THE OTHER PARTIES THERETO (AS AMENDED, THE “SPONSOR LOCK UP AGREEMENT”), OR THE PARENT LOCK-UP AGREEMENTS, DATED SEPTEMBER 27, 2021, AMONG THE COMPANY AND THE OTHER PARTIES THERETO (AS AMENDED, THE “SPONSOR LOCK UP AGREEMENTS,” AND TOGETHER WITH THE SPONSOR LOCK UP AGREEMENT, THE “LOCK UP AGREEMENTS”), AS APPLICABLE, MAY ONLY BE OFFERED, SOLD, TRANSFERRED, PLEDGED OR OTHERWISE DISPOSED DURING THE TERM OF THE LOCK-UP PURSUANT TO THE TERMS SET FORTH IN THE LOCK UP AGREEMENTS, AS APPLICABLE.”</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81" w:lineRule="exact"/>
        <w:rPr>
          <w:sz w:val="20"/>
          <w:szCs w:val="20"/>
          <w:color w:val="auto"/>
        </w:rPr>
      </w:pPr>
    </w:p>
    <w:p>
      <w:pPr>
        <w:ind w:left="1080" w:right="18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 of Shares</w:t>
      </w:r>
      <w:r>
        <w:rPr>
          <w:rFonts w:ascii="Times New Roman" w:cs="Times New Roman" w:eastAsia="Times New Roman" w:hAnsi="Times New Roman"/>
          <w:sz w:val="18"/>
          <w:szCs w:val="18"/>
          <w:color w:val="auto"/>
        </w:rPr>
        <w:t>: Restricted Shares deposited with the custodian with respect to Restricted ADSs shall be held separate and distinct from the deposited securities held under the applicable deposit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1"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Fungibility</w:t>
      </w:r>
      <w:r>
        <w:rPr>
          <w:rFonts w:ascii="Times New Roman" w:cs="Times New Roman" w:eastAsia="Times New Roman" w:hAnsi="Times New Roman"/>
          <w:sz w:val="18"/>
          <w:szCs w:val="18"/>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Settlement</w:t>
      </w:r>
      <w:r>
        <w:rPr>
          <w:rFonts w:ascii="Times New Roman" w:cs="Times New Roman" w:eastAsia="Times New Roman" w:hAnsi="Times New Roman"/>
          <w:sz w:val="18"/>
          <w:szCs w:val="18"/>
          <w:color w:val="auto"/>
        </w:rPr>
        <w:t>: The Restricted ADSs are not expected to be eligible for inclusion in any book-entry settlement system, including, without limitation, the book-entry settlement system maintained by DTC.</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RADSs into ADSs</w:t>
      </w:r>
      <w:r>
        <w:rPr>
          <w:rFonts w:ascii="Times New Roman" w:cs="Times New Roman" w:eastAsia="Times New Roman" w:hAnsi="Times New Roman"/>
          <w:sz w:val="18"/>
          <w:szCs w:val="18"/>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C ADSs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holder of Class C ADSs wishing to convert the Class C Shares represented by their Class C ADSs into Class A ADSs will need to take the following actions: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6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spacing w:after="0" w:line="1" w:lineRule="exact"/>
        <w:rPr>
          <w:sz w:val="20"/>
          <w:szCs w:val="20"/>
          <w:color w:val="auto"/>
        </w:rPr>
      </w:pPr>
    </w:p>
    <w:p>
      <w:pPr>
        <w:ind w:left="120" w:right="340" w:hanging="4"/>
        <w:spacing w:after="0" w:line="260" w:lineRule="auto"/>
        <w:tabs>
          <w:tab w:leader="none" w:pos="4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and taxes. The form conversion instructions to be delivered to the applicable conversion agent, may be obtained from the depositary.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of Class C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00"/>
          </w:cols>
          <w:pgMar w:left="320" w:top="455" w:right="5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June 23, 2022, subsequent to the Closing, the following securities were issued and outstanding: 466,801,222 Class A ADSs, 1,642,233,575 Class B ADSs, 15,999,965 Class C-1 ADSs and 9,000,000 Class C-2 ADSs. The Class C ADSs entitle the holder to purchase one Class A ADS per Class C ADS at an exercise price of $11.50 per Class A ADS.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this prospectus.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 We are registering the offer and sale of the securities covered by this prospectus to satisfy these registration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Class A ADSs or Class C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Class A ADSs then issued and outstanding;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applicable ADSs during the four calendar weeks preceding the filing of a notice on Form 144 with respect to the sale.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 Out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the Business Combination Agreement, Parent (or in the event that Parent has been dissolved or liquidated, the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Closing.</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Earn Out Shares will be issued by the Company to Parent (or in the event that Parent has been dissolved or liquidated, the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Closing, ListCo will not be required to issue the Earn Out Shares in respect of such Volume Weighted Average ADS Price threshold. Parent (or in the event that Parent has been dissolved or liquidated, the Parent Shareholders) will be entitled to Earn Out Shares in the event an acceleration event (as described in the Business Combination Agreement) occurs.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to U.S. Holders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85"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base erosion and anti-abuse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U.S. Tax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“anti-inversion” rules;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qualified retirement plans, individual retirement accounts or other tax deferred accounts;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any class of AD securities or of the Company in the aggregate;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 securities as part of a straddle, hedging or conversion transaction, constructive sale, or other arrangement involving more than one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purchased Subscription Shares as part of the Subscription Investments or the Volvo Cars Preference Subscription Investment;</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GGI Sponsor and the initial independent directors of GGI;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 securities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60"/>
          </w:cols>
          <w:pgMar w:left="320" w:top="455" w:right="5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the Company</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1"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7874 ownership percentage”) is at least 80% (by either vote or value) (this test is referred to as the “80% ownership test” and the three-prong test described in clauses (i)–(iii) above is referred to as the “Section 7874(b) expatriation test”).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upon the terms of the Business Combination and Pre-Closing Reorganization, the rules for determining share ownership under Section 7874 of the Code and the Treasury Regulations promulgated thereunder, and certain factual assumptions, we do not expect that the Section 7874 ownership percentage will be less than 60% after the Business Combination. Accordingly, the Company is not expected to be treated as a U.S. corporation for U.S. federal income tax purposes, dividends paid by the Company maybe “qualified dividends” (subject to the discussion below regarding the passive foreign investment company rules and other applicable requirements under Section 1 of the Code) and the U.S. subsidiaries of the Company are not expected to be subject to the limitations and other rules described above under Section 7874 of the Code. However, whether the 80% ownership test (or 60% ownership test) has been satisfied will be finally determined after completion of the Business Combination, by which time there could be adverse changes to the relevant facts and circumstances or adverse rule changes. In addition, the rules for determining ownership under Section 7874 of the Code are complex and unclear.</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American Depositary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AD securities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A ADSs</w:t>
      </w:r>
    </w:p>
    <w:p>
      <w:pPr>
        <w:spacing w:after="0" w:line="129"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on Class A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332"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Exchange, Redemption or Other Taxable Disposition of Class A ADSs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w:t>
      </w:r>
    </w:p>
    <w:p>
      <w:pPr>
        <w:spacing w:after="0" w:line="1" w:lineRule="exact"/>
        <w:rPr>
          <w:sz w:val="20"/>
          <w:szCs w:val="20"/>
          <w:color w:val="auto"/>
        </w:rPr>
      </w:pPr>
    </w:p>
    <w:p>
      <w:pPr>
        <w:ind w:left="120" w:right="40" w:hanging="4"/>
        <w:spacing w:after="0" w:line="253" w:lineRule="auto"/>
        <w:tabs>
          <w:tab w:leader="none" w:pos="3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C ADSs</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The Company intends to treat the Class C ADSs as stock of the Company rather than as warrants. However, holders of Class C ADSs are urged to consult their tax advisors regarding the U.S. federal income tax considerations relating to the ownership, conversion, or disposition of Class C ADSs.</w:t>
      </w:r>
    </w:p>
    <w:p>
      <w:pPr>
        <w:spacing w:after="0" w:line="328" w:lineRule="exact"/>
        <w:rPr>
          <w:sz w:val="20"/>
          <w:szCs w:val="20"/>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ADSs Treated as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assumes that the Class C ADSs are treated as stock for applicable U.S. federal income tax purposes.</w:t>
      </w:r>
    </w:p>
    <w:p>
      <w:pPr>
        <w:spacing w:after="0" w:line="374" w:lineRule="exact"/>
        <w:rPr>
          <w:sz w:val="20"/>
          <w:szCs w:val="20"/>
          <w:color w:val="auto"/>
        </w:rPr>
      </w:pPr>
    </w:p>
    <w:p>
      <w:pPr>
        <w:ind w:left="1540" w:hanging="439"/>
        <w:spacing w:after="0"/>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stock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converted thereto, and a portion of the holding period of the Class A ADSs beginning on the date following the conversion. The ratio of such portions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be equal to the ratio of the fair market value of the converted Class C ADSs to the amount of the conversion price. A U.S. Holder’s tax basis 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ADS received upon conversion of a Class C ADS generally should be an amount equal to the sum of (i) the U.S. Holder’s tax basis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 ADS exchanged therefor and (ii) the conversion price. In the event that a Class C ADS is not converted to a Class A ADS prior to the applicable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expiration date (a “conversion expiration”), a U.S. Holder may be able to recognize a capital loss equal to such U.S. Holder’s tax basis in such Class 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94"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U.S. Holders are urged to consult their tax advisors regarding the tax consequences of a conversion of Class C ADSs or redemption of Class C ADSs for Class A ADSs.</w:t>
      </w:r>
    </w:p>
    <w:p>
      <w:pPr>
        <w:spacing w:after="0" w:line="326"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 Treated as Warrants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310" w:lineRule="exact"/>
        <w:rPr>
          <w:sz w:val="20"/>
          <w:szCs w:val="20"/>
          <w:color w:val="auto"/>
        </w:rPr>
      </w:pPr>
    </w:p>
    <w:p>
      <w:pPr>
        <w:ind w:left="1540" w:hanging="439"/>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Times New Roman" w:cs="Times New Roman" w:eastAsia="Times New Roman" w:hAnsi="Times New Roman"/>
          <w:sz w:val="18"/>
          <w:szCs w:val="18"/>
          <w:i w:val="1"/>
          <w:iCs w:val="1"/>
          <w:color w:val="auto"/>
        </w:rPr>
        <w:t>—Class C ADSs Treated as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 w:cs="Times New Roman" w:eastAsia="Times New Roman" w:hAnsi="Times New Roman"/>
          <w:sz w:val="17"/>
          <w:szCs w:val="17"/>
          <w:i w:val="1"/>
          <w:iCs w:val="1"/>
          <w:color w:val="auto"/>
        </w:rPr>
        <w:t>surrendered Class C ADSs</w:t>
      </w:r>
      <w:r>
        <w:rPr>
          <w:rFonts w:ascii="Times New Roman" w:cs="Times New Roman" w:eastAsia="Times New Roman" w:hAnsi="Times New Roman"/>
          <w:sz w:val="17"/>
          <w:szCs w:val="17"/>
          <w:color w:val="auto"/>
        </w:rPr>
        <w:t>”).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7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Further, under certain conditions, the Company has the right to redeem Class C ADSs for cash or for Class A ADSs, as discussed in the sections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cash,”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Class A ADSs,” respectively. If the Class C ADSs are redeemed for cash, the tax consequences generally will be as described in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Distributions on Class A ADs” above. Such constructive distributions would be subject to tax as described under that section in the same manner as if the U.S. holder received a cash distribution from the Company equal to the fair market value of such increased interest.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w:t>
      </w:r>
    </w:p>
    <w:p>
      <w:pPr>
        <w:spacing w:after="0" w:line="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8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(including the income and assets of each subsidiary for which the Company owns, directly or indirectly, 25% or more (by value) of its stock), the Company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or becomes a PFIC during any year in which a U.S. Holder holds AD securities and such U.S. Holder does not make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4"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its AD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lieu of being subject to the special tax rules discussed above with regard to its Class A ADSs, a U.S. Holder may make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mark-to-market election with respect to its AD securities and with respect to its Class C ADSs if treated as stock. A U.S. Holder may make</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Reporting Requirements</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U.S. Holders who are individuals and certain entities will be required to report information with respect to such U.S. Holder’s investment in “specified foreign financial assets” on IRS Form 8938 (Statement of Specified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40"/>
          </w:cols>
          <w:pgMar w:left="320" w:top="455" w:right="5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spacing w:after="0" w:line="1" w:lineRule="exact"/>
        <w:rPr>
          <w:sz w:val="20"/>
          <w:szCs w:val="20"/>
          <w:color w:val="auto"/>
        </w:rPr>
      </w:pPr>
    </w:p>
    <w:p>
      <w:pPr>
        <w:ind w:left="120" w:right="460" w:hanging="4"/>
        <w:spacing w:after="0" w:line="260" w:lineRule="auto"/>
        <w:tabs>
          <w:tab w:leader="none" w:pos="33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or (ii) 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United Kingdom Tax Considerations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Class A Shares and Class C Shares should not be subject to any withholding or deduction for or on account of United Kingdom income tax.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Tax—Transfers of AD securities</w:t>
      </w:r>
    </w:p>
    <w:p>
      <w:pPr>
        <w:spacing w:after="0" w:line="119"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7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81" w:lineRule="exact"/>
        <w:rPr>
          <w:sz w:val="20"/>
          <w:szCs w:val="20"/>
          <w:color w:val="auto"/>
        </w:rPr>
      </w:pPr>
    </w:p>
    <w:p>
      <w:pPr>
        <w:ind w:left="5480" w:right="3660" w:hanging="4824"/>
        <w:spacing w:after="0" w:line="454" w:lineRule="auto"/>
        <w:tabs>
          <w:tab w:leader="none" w:pos="107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 233</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and/or warrant;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by any Selling Securityholder to its employees, partners (including limited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whereby broker-dealers may agree with the Selling Securityholders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w:t>
      </w:r>
    </w:p>
    <w:p>
      <w:pPr>
        <w:spacing w:after="0" w:line="19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and who acquired such securities in connection with such transactions, will be deemed to have been made pursuant to a distribution and therefore made by an “underwriter” within the meaning of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62"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81"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participating 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involved;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securities are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such broker-dealer(s), where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securities such broker-dealer or other financial institution may resell pursuant to this prospectus (as amended or supplemented to reflect such transaction).</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Certain parties are subject to lock-up restrictions pursuant to certain lock-up agreements that were entered into concurrently with the execution and delivery of the Business Combination Agreement. On September 27, 2021, Parent, the Company and the Parent Shareholders entered into the Parent Lock-Up Agreement, a form of which is included as an exhibit to this prospectus.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 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w:t>
      </w:r>
    </w:p>
    <w:p>
      <w:pPr>
        <w:ind w:left="120" w:right="80" w:hanging="4"/>
        <w:spacing w:after="0" w:line="251" w:lineRule="auto"/>
        <w:tabs>
          <w:tab w:leader="none" w:pos="33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81"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and the representatives’ affiliates will rely upon the truth and accuracy of the foregoing representations, acknowledgements and agreements.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MiFID II Product Governance</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 Shares or ADSs have been offered or will be offered, pursuant to any offering contemplated hereby, to the public in the United Kingdom prior to the publication of a prospectus in relation to such Shares or ADSs which has been approved by the Financial Conduct Authority, except that the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532"/>
        <w:spacing w:after="0" w:line="266"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 provided that no such offer of the Shares or ADSs shall require the Company or any underwriter to publish a prospectus pursuant to Section 85 of the FSMA or supplement a prospectus pursuant to Article 23 of the UK Prospectus Regulation.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and ADSs in the United Kingdom means the communication in any form and by any means of sufficient information on the terms of the offer and any Shares to be offered so as to enable an investor to decide to purchase or subscribe for any Shares or ADSs and the expression “UK Prospectus Regulation” means Regulation (EU) 2017/1129 as it forms part of domestic law by virtue of the European Union (Withdrawal) Act 2018.</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5"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$2,074,885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340" w:hanging="224"/>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Estimated solely for purposes of this section. Actual expenses may vary.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0580"/>
          </w:cols>
          <w:pgMar w:left="320" w:top="455"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Class A Shares and Class C Shares shall be passed on by Kirkland &amp; Ellis International LLP, as our counsel with respect to certain legal matters as to English law.</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60"/>
          </w:cols>
          <w:pgMar w:left="320" w:top="455" w:right="5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Gores Guggenheim, Inc. as of December 31, 2020 and for the period from December 21, 2020 (inception) through December 31, 2020, have been included herein and in this prospectus in reliance upon the report of KPMG LLP, GGI’s former independent registered public accounting firm, appearing elsewhere herein, and upon the authority of said firm as experts in accounting and auditing.</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Gores Guggenheim, Inc. as of December 31, 2021, have been included herein and in this prospectus in reliance upon the report of WithumSmith+Brown, PC, GGI’s independent registered accounting firm, appearing elsewhere herein, and upon the authority of said firm as experts in accounting and auditing. Additionally, Withum conducted a review of GGI’s financials for the quarterly period ending March 31, 2022.</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as of December 31, 2021 and 2020, and for each of the three years in the period ended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UK PLC (formerly known as Polestar Automotive Holding UK Limited) as of September 15, 2021 and December 31, 2021 and for the period September 15, 2021 to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mailing address of Polestar’s principal executive office is Assar Gabrielssons Väg 9, 405 31 Göteborg,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Polesar or any other entity into this prospectus.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00" w:type="dxa"/>
            <w:vAlign w:val="bottom"/>
          </w:tcPr>
          <w:p>
            <w:pPr>
              <w:spacing w:after="0"/>
              <w:rPr>
                <w:sz w:val="20"/>
                <w:szCs w:val="20"/>
                <w:color w:val="auto"/>
              </w:rPr>
            </w:pPr>
          </w:p>
        </w:tc>
      </w:tr>
      <w:tr>
        <w:trPr>
          <w:trHeight w:val="419"/>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Gores Guggenheim, Inc.</w:t>
            </w:r>
          </w:p>
        </w:tc>
        <w:tc>
          <w:tcPr>
            <w:tcW w:w="500" w:type="dxa"/>
            <w:vAlign w:val="bottom"/>
          </w:tcPr>
          <w:p>
            <w:pPr>
              <w:spacing w:after="0"/>
              <w:rPr>
                <w:sz w:val="24"/>
                <w:szCs w:val="24"/>
                <w:color w:val="auto"/>
              </w:rPr>
            </w:pPr>
          </w:p>
        </w:tc>
      </w:tr>
      <w:tr>
        <w:trPr>
          <w:trHeight w:val="302"/>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Financial Statements—For the Period from December 21, 2020 (inception) through December 31, 2020 and for the year ended</w:t>
            </w:r>
          </w:p>
        </w:tc>
        <w:tc>
          <w:tcPr>
            <w:tcW w:w="500" w:type="dxa"/>
            <w:vAlign w:val="bottom"/>
          </w:tcPr>
          <w:p>
            <w:pPr>
              <w:spacing w:after="0"/>
              <w:rPr>
                <w:sz w:val="24"/>
                <w:szCs w:val="24"/>
                <w:color w:val="auto"/>
              </w:rPr>
            </w:pPr>
          </w:p>
        </w:tc>
      </w:tr>
      <w:tr>
        <w:trPr>
          <w:trHeight w:val="238"/>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31, 2021</w:t>
            </w:r>
          </w:p>
        </w:tc>
        <w:tc>
          <w:tcPr>
            <w:tcW w:w="500" w:type="dxa"/>
            <w:vAlign w:val="bottom"/>
          </w:tcPr>
          <w:p>
            <w:pPr>
              <w:spacing w:after="0"/>
              <w:rPr>
                <w:sz w:val="20"/>
                <w:szCs w:val="20"/>
                <w:color w:val="auto"/>
              </w:rPr>
            </w:pPr>
          </w:p>
        </w:tc>
      </w:tr>
      <w:tr>
        <w:trPr>
          <w:trHeight w:val="252"/>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4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Reports of Independent Registered Accounting Firm .</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2020 and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Period from December 21, 2020 (inception) through December 31, 2020 and for the year ended December 31,</w:t>
            </w:r>
          </w:p>
        </w:tc>
        <w:tc>
          <w:tcPr>
            <w:tcW w:w="5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Changes In Stockholders’ Deficit for the Period from December 21, 2020 (inception) through December 31, 2020 and for the year</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94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Period from December 21, 2020 (inception) through December 31, 2020 and for the year ended</w:t>
            </w:r>
          </w:p>
        </w:tc>
        <w:tc>
          <w:tcPr>
            <w:tcW w:w="10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w:t>
            </w:r>
          </w:p>
        </w:tc>
        <w:tc>
          <w:tcPr>
            <w:tcW w:w="88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3"/>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Financial Statements—For the three months ended March 31, 2022</w:t>
            </w:r>
          </w:p>
        </w:tc>
        <w:tc>
          <w:tcPr>
            <w:tcW w:w="500" w:type="dxa"/>
            <w:vAlign w:val="bottom"/>
          </w:tcPr>
          <w:p>
            <w:pPr>
              <w:spacing w:after="0"/>
              <w:rPr>
                <w:sz w:val="24"/>
                <w:szCs w:val="24"/>
                <w:color w:val="auto"/>
              </w:rPr>
            </w:pPr>
          </w:p>
        </w:tc>
      </w:tr>
      <w:tr>
        <w:trPr>
          <w:trHeight w:val="297"/>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Balance Sheets as of March 31, 2022 and December 31,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F-28</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5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Months Ended March 31, 2022 and 2021 (Unaudited)</w:t>
            </w:r>
          </w:p>
        </w:tc>
        <w:tc>
          <w:tcPr>
            <w:tcW w:w="29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Changes in Stockholders’ Deficit for the Three Months Ended March 31, 2022 and 2021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r>
      <w:tr>
        <w:trPr>
          <w:trHeight w:val="196"/>
        </w:trPr>
        <w:tc>
          <w:tcPr>
            <w:tcW w:w="762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Cash Flows for the Three Months Ended March 31, 2022 and 2021 (Unaudited)</w:t>
            </w:r>
          </w:p>
        </w:tc>
        <w:tc>
          <w:tcPr>
            <w:tcW w:w="1540" w:type="dxa"/>
            <w:vAlign w:val="bottom"/>
            <w:tcBorders>
              <w:top w:val="single" w:sz="8" w:color="0000EE"/>
            </w:tcBorders>
          </w:tcPr>
          <w:p>
            <w:pPr>
              <w:spacing w:after="0"/>
              <w:rPr>
                <w:sz w:val="17"/>
                <w:szCs w:val="17"/>
                <w:color w:val="auto"/>
              </w:rPr>
            </w:pPr>
          </w:p>
        </w:tc>
        <w:tc>
          <w:tcPr>
            <w:tcW w:w="13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4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Interim, Condensed Financial Statements</w:t>
            </w:r>
          </w:p>
        </w:tc>
        <w:tc>
          <w:tcPr>
            <w:tcW w:w="600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561"/>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tc>
        <w:tc>
          <w:tcPr>
            <w:tcW w:w="500" w:type="dxa"/>
            <w:vAlign w:val="bottom"/>
          </w:tcPr>
          <w:p>
            <w:pPr>
              <w:spacing w:after="0"/>
              <w:rPr>
                <w:sz w:val="24"/>
                <w:szCs w:val="24"/>
                <w:color w:val="auto"/>
              </w:rPr>
            </w:pPr>
          </w:p>
        </w:tc>
      </w:tr>
      <w:tr>
        <w:trPr>
          <w:trHeight w:val="324"/>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years ended December 31, 2021, 2020 and 2019</w:t>
            </w:r>
          </w:p>
        </w:tc>
        <w:tc>
          <w:tcPr>
            <w:tcW w:w="500" w:type="dxa"/>
            <w:vAlign w:val="bottom"/>
          </w:tcPr>
          <w:p>
            <w:pPr>
              <w:spacing w:after="0"/>
              <w:rPr>
                <w:sz w:val="24"/>
                <w:szCs w:val="24"/>
                <w:color w:val="auto"/>
              </w:rPr>
            </w:pPr>
          </w:p>
        </w:tc>
      </w:tr>
      <w:tr>
        <w:trPr>
          <w:trHeight w:val="297"/>
        </w:trPr>
        <w:tc>
          <w:tcPr>
            <w:tcW w:w="4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F-53</w:t>
            </w:r>
          </w:p>
        </w:tc>
      </w:tr>
      <w:tr>
        <w:trPr>
          <w:trHeight w:val="196"/>
        </w:trPr>
        <w:tc>
          <w:tcPr>
            <w:tcW w:w="65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2020 and 2019</w:t>
            </w:r>
          </w:p>
        </w:tc>
        <w:tc>
          <w:tcPr>
            <w:tcW w:w="396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2021, 2020 and 2019</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r>
      <w:tr>
        <w:trPr>
          <w:trHeight w:val="196"/>
        </w:trPr>
        <w:tc>
          <w:tcPr>
            <w:tcW w:w="76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2020</w:t>
            </w:r>
          </w:p>
        </w:tc>
        <w:tc>
          <w:tcPr>
            <w:tcW w:w="28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F-57</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0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and 2019</w:t>
            </w:r>
          </w:p>
        </w:tc>
        <w:tc>
          <w:tcPr>
            <w:tcW w:w="34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F-58</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Changes in Equity for the Years Ended December 31, 2021, 2020 and 2019</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F-59</w:t>
            </w:r>
          </w:p>
        </w:tc>
      </w:tr>
      <w:tr>
        <w:trPr>
          <w:trHeight w:val="196"/>
        </w:trPr>
        <w:tc>
          <w:tcPr>
            <w:tcW w:w="73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1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F-60</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61"/>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(formerly known as Polestar Automotive Holding UK Limited)</w:t>
            </w:r>
          </w:p>
        </w:tc>
        <w:tc>
          <w:tcPr>
            <w:tcW w:w="500" w:type="dxa"/>
            <w:vAlign w:val="bottom"/>
          </w:tcPr>
          <w:p>
            <w:pPr>
              <w:spacing w:after="0"/>
              <w:rPr>
                <w:sz w:val="24"/>
                <w:szCs w:val="24"/>
                <w:color w:val="auto"/>
              </w:rPr>
            </w:pPr>
          </w:p>
        </w:tc>
      </w:tr>
      <w:tr>
        <w:trPr>
          <w:trHeight w:val="324"/>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period September 15, 2021 to December 31, 2021</w:t>
            </w:r>
          </w:p>
        </w:tc>
        <w:tc>
          <w:tcPr>
            <w:tcW w:w="500" w:type="dxa"/>
            <w:vAlign w:val="bottom"/>
          </w:tcPr>
          <w:p>
            <w:pPr>
              <w:spacing w:after="0"/>
              <w:rPr>
                <w:sz w:val="24"/>
                <w:szCs w:val="24"/>
                <w:color w:val="auto"/>
              </w:rPr>
            </w:pPr>
          </w:p>
        </w:tc>
      </w:tr>
      <w:tr>
        <w:trPr>
          <w:trHeight w:val="297"/>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F-113</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Financial Position as of September 15, 2021 and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F-114</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4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 for the period September 15, 2021 to December 31, 2021</w:t>
            </w:r>
          </w:p>
        </w:tc>
        <w:tc>
          <w:tcPr>
            <w:tcW w:w="302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F-115</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F-116</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12"/>
          </w:tcPr>
          <w:p>
            <w:pPr>
              <w:jc w:val="center"/>
              <w:ind w:right="4780"/>
              <w:spacing w:after="0"/>
              <w:rPr>
                <w:sz w:val="20"/>
                <w:szCs w:val="20"/>
                <w:color w:val="auto"/>
              </w:rPr>
            </w:pPr>
            <w:r>
              <w:rPr>
                <w:rFonts w:ascii="Times New Roman" w:cs="Times New Roman" w:eastAsia="Times New Roman" w:hAnsi="Times New Roman"/>
                <w:sz w:val="18"/>
                <w:szCs w:val="18"/>
                <w:color w:val="auto"/>
                <w:w w:val="95"/>
              </w:rPr>
              <w:t>F-1</w:t>
            </w:r>
          </w:p>
        </w:tc>
        <w:tc>
          <w:tcPr>
            <w:tcW w:w="5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Gores Guggenheim, Inc. (the “Company”) as of December 31, 2021, the related statements of operations, changes in stockholders’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for the year ended December 31, 2021,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PCAOB ID #100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24,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PCAOB ID #100</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Gores Guggenheim, Inc. (the Company) as of December 31, 2020, the related statements of operations, changes in stockholder’s equity, and cash flows for the period from December 21, 2020 (inception) through December 31, 2020 and the related notes (collectively, the financial statements). In our opinion, the financial statements present fairly, in all material respects, the financial position of the Company as of December 31, 2020, and the results of its operations and its cash flows for the period from December 21, 2020 (inception) through December 31, 2020,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19, 2021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302,504</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1,477,280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1,779,784</w:t>
            </w:r>
          </w:p>
        </w:tc>
        <w:tc>
          <w:tcPr>
            <w:tcW w:w="8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800,056,447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8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6,729,383</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200,000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61,440,000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34,560,000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2,000,000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104,929,383</w:t>
            </w:r>
          </w:p>
        </w:tc>
        <w:tc>
          <w:tcPr>
            <w:tcW w:w="8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28,000,000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132,929,383</w:t>
            </w:r>
          </w:p>
        </w:tc>
        <w:tc>
          <w:tcPr>
            <w:tcW w:w="8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and -0- shares at December 31, 2021 and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2020, respectively (at redemption value of $10 per share)</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800,000,000</w:t>
            </w: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 shares issued and outstanding at December 31, 2021 and December 31, 2020,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(131,095,152)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(131,093,152)</w:t>
            </w:r>
          </w:p>
        </w:tc>
        <w:tc>
          <w:tcPr>
            <w:tcW w:w="8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801,836,231</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restart"/>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(8,214,978)</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(72,750,000)</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(832,496)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from operations</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(81,997,474)</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income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56,447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82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shares</w:t>
            </w:r>
          </w:p>
        </w:tc>
        <w:tc>
          <w:tcPr>
            <w:tcW w:w="2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82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22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F Common Stock - basic and diluted</w:t>
            </w:r>
          </w:p>
        </w:tc>
        <w:tc>
          <w:tcPr>
            <w:tcW w:w="22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100" w:type="dxa"/>
            <w:vAlign w:val="bottom"/>
            <w:tcBorders>
              <w:bottom w:val="single" w:sz="8" w:color="auto"/>
            </w:tcBorders>
            <w:gridSpan w:val="1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Period from December 21, 2020 (inception) through December 31, 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240" w:type="dxa"/>
            <w:vAlign w:val="bottom"/>
          </w:tcPr>
          <w:p>
            <w:pPr>
              <w:spacing w:after="0"/>
              <w:rPr>
                <w:sz w:val="11"/>
                <w:szCs w:val="11"/>
                <w:color w:val="auto"/>
              </w:rPr>
            </w:pPr>
          </w:p>
        </w:tc>
        <w:tc>
          <w:tcPr>
            <w:tcW w:w="19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21, 2020 (inception)</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240" w:type="dxa"/>
            <w:vAlign w:val="bottom"/>
          </w:tcPr>
          <w:p>
            <w:pPr>
              <w:spacing w:after="0"/>
              <w:rPr>
                <w:sz w:val="11"/>
                <w:szCs w:val="11"/>
                <w:color w:val="auto"/>
              </w:rPr>
            </w:pPr>
          </w:p>
        </w:tc>
        <w:tc>
          <w:tcPr>
            <w:tcW w:w="19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Class F Common Stock to Sponsor 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10, 2021 at $0.0001 par value</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21,562,500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3"/>
              </w:rPr>
              <w:t>2,156</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Class F Common Stock by Sponsor</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Excess of fair value paid by founders for warrants</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9,630,000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9,630,000</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 additional</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(9,653,000)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(9,653,000)</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(49,152,343)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(49,152,343)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(81,941,027)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(131,095,152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(131,093,152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7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72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(81,941,027)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warrant liability</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832,496</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 warrants derivative liability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72,750,000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state franchise tax accrual</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199,550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(1,477,280)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accrued expenses, formation and offering costs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6,728,051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(2,908,210)</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w w:val="98"/>
              </w:rPr>
              <w:t>(800,000,000)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reinvested in the Trust Account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(56,447)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(800,056,447</w:t>
            </w:r>
          </w:p>
        </w:tc>
        <w:tc>
          <w:tcPr>
            <w:tcW w:w="72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in initial public offering</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800,000,000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 to Sponsor</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18,000,000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F Common Stock to Sponsor</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and advances payable – related party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2,300,000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and advances payable – related party</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underwriters’ discounts and commissions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(16,000,000)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offering costs</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(757,839)</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803,267,161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302,504</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302,504</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28,000,000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income and franchise taxes paid: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and state franchise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 and General</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neither engaged in any operations nor generated any revenue to date. The Company’s management has broad discretion with respect to the Business Combination. The Company’s Sponsor is Gores Guggenheim Sponsor, LLC, a Delaware limited liability company (the “Sponsor”). The Company has selected December 31st as its fiscal year-end.</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2021, the Company had not commenced any operations. All activity for the period from December 21, 2020 (inception) through December 31, 2021 relates to the Company’s formation and initial public offering (“Public Offering”) described below, and subsequent to the Initial Public Offering, identifying a target company for a Business Combination. The Company completed the Public Offering on March 25, 2021 (the “IPO Closing Date”). The Company will not generate any operating revenues until after the completion of its Business Combination, at the earliest. Subsequent to the Public Offering, the Company will generate non-operating income in the form of interest income from the proceeds derived from the Public Offering and the sale of the Private Placement Warrants (as defined below) held in the Trust Account (as defined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Pre-Closing Reorganization</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prior to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As consideration for the Pre-Closing Reorganization, ListCo will issue to Parent a number of class A ordinary shares in the share capital of ListCo which class A ordinary shares shall entitle the holder to one vote per share</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Class A Shares</w:t>
      </w:r>
      <w:r>
        <w:rPr>
          <w:rFonts w:ascii="Times New Roman" w:cs="Times New Roman" w:eastAsia="Times New Roman" w:hAnsi="Times New Roman"/>
          <w:sz w:val="18"/>
          <w:szCs w:val="18"/>
          <w:color w:val="auto"/>
        </w:rPr>
        <w:t>”) and class B ordinary shares in the share capital of ListCo, which class B ordinary shares shall entitle the holder to ten votes per share (“</w:t>
      </w:r>
      <w:r>
        <w:rPr>
          <w:rFonts w:ascii="Times New Roman" w:cs="Times New Roman" w:eastAsia="Times New Roman" w:hAnsi="Times New Roman"/>
          <w:sz w:val="18"/>
          <w:szCs w:val="18"/>
          <w:u w:val="single" w:color="auto"/>
          <w:color w:val="auto"/>
        </w:rPr>
        <w:t>ListCo Class B Shares</w:t>
      </w:r>
      <w:r>
        <w:rPr>
          <w:rFonts w:ascii="Times New Roman" w:cs="Times New Roman" w:eastAsia="Times New Roman" w:hAnsi="Times New Roman"/>
          <w:sz w:val="18"/>
          <w:szCs w:val="18"/>
          <w:color w:val="auto"/>
        </w:rPr>
        <w:t>,” and, together with the ListCo Class A Shares, the “</w:t>
      </w:r>
      <w:r>
        <w:rPr>
          <w:rFonts w:ascii="Times New Roman" w:cs="Times New Roman" w:eastAsia="Times New Roman" w:hAnsi="Times New Roman"/>
          <w:sz w:val="18"/>
          <w:szCs w:val="18"/>
          <w:u w:val="single" w:color="auto"/>
          <w:color w:val="auto"/>
        </w:rPr>
        <w:t>ListCo Shares</w:t>
      </w:r>
      <w:r>
        <w:rPr>
          <w:rFonts w:ascii="Times New Roman" w:cs="Times New Roman" w:eastAsia="Times New Roman" w:hAnsi="Times New Roman"/>
          <w:sz w:val="18"/>
          <w:szCs w:val="18"/>
          <w:color w:val="auto"/>
        </w:rPr>
        <w:t>”), such that, following the Pre-Closing Reorganization, Parent will hold an aggregate number of ListCo Shares equal to approximately (a) $20,003,000,000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8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the Pre-Closing Reorganization and pursuant to the Business Combination Agreement,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the separate corporate existence of Merger Sub will cease, with the Company being the surviving corporation and becoming a wholly owned subsidiary of ListCo.</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of the Company, par value $0.0001 per share (“</w:t>
      </w:r>
      <w:r>
        <w:rPr>
          <w:rFonts w:ascii="Times New Roman" w:cs="Times New Roman" w:eastAsia="Times New Roman" w:hAnsi="Times New Roman"/>
          <w:sz w:val="18"/>
          <w:szCs w:val="18"/>
          <w:u w:val="single" w:color="auto"/>
          <w:color w:val="auto"/>
        </w:rPr>
        <w:t>GG Class A Shares</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those held in treasury, will be exchanged for one newly issued American depository share of ListCo (“</w:t>
      </w:r>
      <w:r>
        <w:rPr>
          <w:rFonts w:ascii="Times New Roman" w:cs="Times New Roman" w:eastAsia="Times New Roman" w:hAnsi="Times New Roman"/>
          <w:sz w:val="18"/>
          <w:szCs w:val="18"/>
          <w:u w:val="single" w:color="auto"/>
          <w:color w:val="auto"/>
        </w:rPr>
        <w:t>ListCo Class A ADS</w:t>
      </w:r>
      <w:r>
        <w:rPr>
          <w:rFonts w:ascii="Times New Roman" w:cs="Times New Roman" w:eastAsia="Times New Roman" w:hAnsi="Times New Roman"/>
          <w:sz w:val="18"/>
          <w:szCs w:val="18"/>
          <w:color w:val="auto"/>
        </w:rPr>
        <w:t>”) duly and validly issued against the deposit of an underlying ListCo Class A Share deposited with a bank (“</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in which ListCo has established and sponsored American depository receipt facilities (each, an “</w:t>
      </w:r>
      <w:r>
        <w:rPr>
          <w:rFonts w:ascii="Times New Roman" w:cs="Times New Roman" w:eastAsia="Times New Roman" w:hAnsi="Times New Roman"/>
          <w:sz w:val="18"/>
          <w:szCs w:val="18"/>
          <w:u w:val="single" w:color="auto"/>
          <w:color w:val="auto"/>
        </w:rPr>
        <w:t>ADR Facility</w:t>
      </w:r>
      <w:r>
        <w:rPr>
          <w:rFonts w:ascii="Times New Roman" w:cs="Times New Roman" w:eastAsia="Times New Roman" w:hAnsi="Times New Roman"/>
          <w:sz w:val="18"/>
          <w:szCs w:val="18"/>
          <w:color w:val="auto"/>
        </w:rPr>
        <w:t>”). Each share of Class F Common Stock of the Company, par value $0.0001 per share (“</w:t>
      </w:r>
      <w:r>
        <w:rPr>
          <w:rFonts w:ascii="Times New Roman" w:cs="Times New Roman" w:eastAsia="Times New Roman" w:hAnsi="Times New Roman"/>
          <w:sz w:val="18"/>
          <w:szCs w:val="18"/>
          <w:u w:val="single" w:color="auto"/>
          <w:color w:val="auto"/>
        </w:rPr>
        <w:t>GG Class F Shares</w:t>
      </w:r>
      <w:r>
        <w:rPr>
          <w:rFonts w:ascii="Times New Roman" w:cs="Times New Roman" w:eastAsia="Times New Roman" w:hAnsi="Times New Roman"/>
          <w:sz w:val="18"/>
          <w:szCs w:val="18"/>
          <w:color w:val="auto"/>
        </w:rPr>
        <w:t>,” and together with the GG Class A Shares, the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8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which underlying securities will be converted as described below.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C-1 ADS</w:t>
      </w:r>
      <w:r>
        <w:rPr>
          <w:rFonts w:ascii="Times New Roman" w:cs="Times New Roman" w:eastAsia="Times New Roman" w:hAnsi="Times New Roman"/>
          <w:sz w:val="18"/>
          <w:szCs w:val="18"/>
          <w:color w:val="auto"/>
        </w:rPr>
        <w:t>”) duly and validly issued against the deposit of an underlying class C-1 preferred share in the share capital of ListCo (“</w:t>
      </w:r>
      <w:r>
        <w:rPr>
          <w:rFonts w:ascii="Times New Roman" w:cs="Times New Roman" w:eastAsia="Times New Roman" w:hAnsi="Times New Roman"/>
          <w:sz w:val="18"/>
          <w:szCs w:val="18"/>
          <w:u w:val="single" w:color="auto"/>
          <w:color w:val="auto"/>
        </w:rPr>
        <w:t>ListCo Class C-1 Share</w:t>
      </w:r>
      <w:r>
        <w:rPr>
          <w:rFonts w:ascii="Times New Roman" w:cs="Times New Roman" w:eastAsia="Times New Roman" w:hAnsi="Times New Roman"/>
          <w:sz w:val="18"/>
          <w:szCs w:val="18"/>
          <w:color w:val="auto"/>
        </w:rPr>
        <w:t>”) deposited with the Depositary Bank. Each ListCo Class C-1 Share will be exercisable to acquire a ListCo Class A Share at an exercise price of $11.50 per share. In addition, each private placement warrant of the Company (“</w:t>
      </w:r>
      <w:r>
        <w:rPr>
          <w:rFonts w:ascii="Times New Roman" w:cs="Times New Roman" w:eastAsia="Times New Roman" w:hAnsi="Times New Roman"/>
          <w:sz w:val="18"/>
          <w:szCs w:val="18"/>
          <w:u w:val="single" w:color="auto"/>
          <w:color w:val="auto"/>
        </w:rPr>
        <w:t>Private Placement Warrant</w:t>
      </w:r>
      <w:r>
        <w:rPr>
          <w:rFonts w:ascii="Times New Roman" w:cs="Times New Roman" w:eastAsia="Times New Roman" w:hAnsi="Times New Roman"/>
          <w:sz w:val="18"/>
          <w:szCs w:val="18"/>
          <w:color w:val="auto"/>
        </w:rPr>
        <w:t>”) will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C-2 ADS</w:t>
      </w:r>
      <w:r>
        <w:rPr>
          <w:rFonts w:ascii="Times New Roman" w:cs="Times New Roman" w:eastAsia="Times New Roman" w:hAnsi="Times New Roman"/>
          <w:sz w:val="18"/>
          <w:szCs w:val="18"/>
          <w:color w:val="auto"/>
        </w:rPr>
        <w:t>”) duly and validly issued against the deposit of an underlying class C-2 preferred share in the share capital of ListCo (“</w:t>
      </w:r>
      <w:r>
        <w:rPr>
          <w:rFonts w:ascii="Times New Roman" w:cs="Times New Roman" w:eastAsia="Times New Roman" w:hAnsi="Times New Roman"/>
          <w:sz w:val="18"/>
          <w:szCs w:val="18"/>
          <w:u w:val="single" w:color="auto"/>
          <w:color w:val="auto"/>
        </w:rPr>
        <w:t>ListCo Class C-2 Share</w:t>
      </w:r>
      <w:r>
        <w:rPr>
          <w:rFonts w:ascii="Times New Roman" w:cs="Times New Roman" w:eastAsia="Times New Roman" w:hAnsi="Times New Roman"/>
          <w:sz w:val="18"/>
          <w:szCs w:val="18"/>
          <w:color w:val="auto"/>
        </w:rPr>
        <w:t>”) deposited with the Depositary Bank. Each ListCo Class C-2 Share will be exercisable to acquire a ListCo Class A Share at an exercise price of $11.50 per share.</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each Public Warrant shall be automatically cancelled and extinguished and converted into the right to receive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American depository warrant of ListCo (“</w:t>
      </w:r>
      <w:r>
        <w:rPr>
          <w:rFonts w:ascii="Times New Roman" w:cs="Times New Roman" w:eastAsia="Times New Roman" w:hAnsi="Times New Roman"/>
          <w:sz w:val="18"/>
          <w:szCs w:val="18"/>
          <w:u w:val="single" w:color="auto"/>
          <w:color w:val="auto"/>
        </w:rPr>
        <w:t>ListCo AD Warrant</w:t>
      </w:r>
      <w:r>
        <w:rPr>
          <w:rFonts w:ascii="Times New Roman" w:cs="Times New Roman" w:eastAsia="Times New Roman" w:hAnsi="Times New Roman"/>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Statement/Proxy Statement; Warrantholder Solicitation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Company, ListCo, Polestar Singapore, Polestar Sweden and Parent will prepare, and ListCo will file with the SEC, a registration statement on Form F-4 (the “</w:t>
      </w:r>
      <w:r>
        <w:rPr>
          <w:rFonts w:ascii="Times New Roman" w:cs="Times New Roman" w:eastAsia="Times New Roman" w:hAnsi="Times New Roman"/>
          <w:sz w:val="18"/>
          <w:szCs w:val="18"/>
          <w:u w:val="single" w:color="auto"/>
          <w:color w:val="auto"/>
        </w:rPr>
        <w:t>Registration Statement/Proxy Statement</w:t>
      </w:r>
      <w:r>
        <w:rPr>
          <w:rFonts w:ascii="Times New Roman" w:cs="Times New Roman" w:eastAsia="Times New Roman" w:hAnsi="Times New Roman"/>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Times New Roman" w:cs="Times New Roman" w:eastAsia="Times New Roman" w:hAnsi="Times New Roman"/>
          <w:sz w:val="18"/>
          <w:szCs w:val="18"/>
          <w:u w:val="single" w:color="auto"/>
          <w:color w:val="auto"/>
        </w:rPr>
        <w:t>Requisite GG Warantholder Approval</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Times New Roman" w:cs="Times New Roman" w:eastAsia="Times New Roman" w:hAnsi="Times New Roman"/>
          <w:sz w:val="18"/>
          <w:szCs w:val="18"/>
          <w:u w:val="single" w:color="auto"/>
          <w:color w:val="auto"/>
        </w:rPr>
        <w:t>Stockholder Redemptions</w:t>
      </w:r>
      <w:r>
        <w:rPr>
          <w:rFonts w:ascii="Times New Roman" w:cs="Times New Roman" w:eastAsia="Times New Roman" w:hAnsi="Times New Roman"/>
          <w:sz w:val="18"/>
          <w:szCs w:val="18"/>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Business Combination Agreement may be terminated at any time prior to the Closing by mutual written consent of the Company and Parent and in certain other circumstances, including if the Closing has not occurred on or prior to May 27, 2022 and the primary cause of the failure for the Closing to have occurred on or prior to such date is not due to a breach of the Business Combination Agreement by the party seeking to terminate.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subscription agreements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have agreed to purchase, substantially concurrently with the Closing, an aggregate of 7.43 million ListCo Class A ADSs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for a purchase price of $9.09 per share in a private placement, for an aggregate amount of $67,500,000 (the “</w:t>
      </w:r>
      <w:r>
        <w:rPr>
          <w:rFonts w:ascii="Times New Roman" w:cs="Times New Roman" w:eastAsia="Times New Roman" w:hAnsi="Times New Roman"/>
          <w:sz w:val="18"/>
          <w:szCs w:val="18"/>
          <w:u w:val="single" w:color="auto"/>
          <w:color w:val="auto"/>
        </w:rPr>
        <w:t>PIPE Investment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PIPE Subscription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PIPE Assignment, on December 17, 2021, the Company and ListCo entered into subscription agreements (the “New PIPE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Agreements”) with the New PIPE Investors, which include certain affiliates and employees of Sponsor. Pursuant to the New PIPE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Subscription Agreements, the New PIPE Investors have agreed to collectively subscribe for approximately 14.3 million ListCo Class A ADSs (the “New</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 Shares”) for an average price of approximately $9.54 per ListCo Class A ADS, reflecting an aggregate investment amount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$136.0 million. The New PIPE Subscription Agreements are substantially similar to the PIPE Subscription Agreements. The aggregate amount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 investment and number of ListCo Class A ADSs to be purchased pursuant thereto remains unchanged.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Sponsor Subscription Agreement</w:t>
      </w:r>
      <w:r>
        <w:rPr>
          <w:rFonts w:ascii="Times New Roman" w:cs="Times New Roman" w:eastAsia="Times New Roman" w:hAnsi="Times New Roman"/>
          <w:sz w:val="18"/>
          <w:szCs w:val="18"/>
          <w:color w:val="auto"/>
        </w:rPr>
        <w:t>”) with Gores Guggenheim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the Sponsor Subscription Agreement, the Sponsor agreed to subscribe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 additional 9.08 million ListCo Class A ADSs for a purchase price of $9.09 per share on the date of Closing, for an aggregate investment of</w:t>
      </w:r>
    </w:p>
    <w:p>
      <w:pPr>
        <w:spacing w:after="0" w:line="27"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$82,500,000 (the “</w:t>
      </w:r>
      <w:r>
        <w:rPr>
          <w:rFonts w:ascii="Times New Roman" w:cs="Times New Roman" w:eastAsia="Times New Roman" w:hAnsi="Times New Roman"/>
          <w:sz w:val="18"/>
          <w:szCs w:val="18"/>
          <w:u w:val="single" w:color="auto"/>
          <w:color w:val="auto"/>
        </w:rPr>
        <w:t>Sponsor Investment Amount</w:t>
      </w:r>
      <w:r>
        <w:rPr>
          <w:rFonts w:ascii="Times New Roman" w:cs="Times New Roman" w:eastAsia="Times New Roman" w:hAnsi="Times New Roman"/>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Sponsor Subscription Agreement</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December 17, 2021, (i) the Sponsor assigned a portion of its commitment to purchase ListCo Class A ADSs, in an aggregate investment amount equaling approximately $63.0 million (the “</w:t>
      </w:r>
      <w:r>
        <w:rPr>
          <w:rFonts w:ascii="Times New Roman" w:cs="Times New Roman" w:eastAsia="Times New Roman" w:hAnsi="Times New Roman"/>
          <w:sz w:val="18"/>
          <w:szCs w:val="18"/>
          <w:u w:val="single" w:color="auto"/>
          <w:color w:val="auto"/>
        </w:rPr>
        <w:t>Sponsor Assignment</w:t>
      </w:r>
      <w:r>
        <w:rPr>
          <w:rFonts w:ascii="Times New Roman" w:cs="Times New Roman" w:eastAsia="Times New Roman" w:hAnsi="Times New Roman"/>
          <w:sz w:val="18"/>
          <w:szCs w:val="18"/>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Subscription Agreement</w:t>
      </w:r>
    </w:p>
    <w:p>
      <w:pPr>
        <w:spacing w:after="0" w:line="119"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7"/>
          <w:szCs w:val="17"/>
          <w:u w:val="single" w:color="auto"/>
          <w:color w:val="auto"/>
        </w:rPr>
        <w:t>Volvo Cars Subscription Agreement</w:t>
      </w:r>
      <w:r>
        <w:rPr>
          <w:rFonts w:ascii="Times New Roman" w:cs="Times New Roman" w:eastAsia="Times New Roman" w:hAnsi="Times New Roman"/>
          <w:sz w:val="17"/>
          <w:szCs w:val="17"/>
          <w:color w:val="auto"/>
        </w:rPr>
        <w:t>,” and, together with the PIPE Subscription Agreements and the Sponsor Subscription Agreement, the “</w:t>
      </w:r>
      <w:r>
        <w:rPr>
          <w:rFonts w:ascii="Times New Roman" w:cs="Times New Roman" w:eastAsia="Times New Roman" w:hAnsi="Times New Roman"/>
          <w:sz w:val="17"/>
          <w:szCs w:val="17"/>
          <w:u w:val="single" w:color="auto"/>
          <w:color w:val="auto"/>
        </w:rPr>
        <w:t>Subscription Agreements</w:t>
      </w:r>
      <w:r>
        <w:rPr>
          <w:rFonts w:ascii="Times New Roman" w:cs="Times New Roman" w:eastAsia="Times New Roman" w:hAnsi="Times New Roman"/>
          <w:sz w:val="17"/>
          <w:szCs w:val="17"/>
          <w:color w:val="auto"/>
        </w:rPr>
        <w:t>”) with Snita Holding B.V., a corporation organized under the laws of Netherlands (“</w:t>
      </w:r>
      <w:r>
        <w:rPr>
          <w:rFonts w:ascii="Times New Roman" w:cs="Times New Roman" w:eastAsia="Times New Roman" w:hAnsi="Times New Roman"/>
          <w:sz w:val="17"/>
          <w:szCs w:val="17"/>
          <w:u w:val="single" w:color="auto"/>
          <w:color w:val="auto"/>
        </w:rPr>
        <w:t>Snita</w:t>
      </w:r>
      <w:r>
        <w:rPr>
          <w:rFonts w:ascii="Times New Roman" w:cs="Times New Roman" w:eastAsia="Times New Roman" w:hAnsi="Times New Roman"/>
          <w:sz w:val="17"/>
          <w:szCs w:val="17"/>
          <w:color w:val="auto"/>
        </w:rPr>
        <w:t>”) and a wholly owned indirect subsidiary of Volvo Car AB (publ) (“</w:t>
      </w:r>
      <w:r>
        <w:rPr>
          <w:rFonts w:ascii="Times New Roman" w:cs="Times New Roman" w:eastAsia="Times New Roman" w:hAnsi="Times New Roman"/>
          <w:sz w:val="17"/>
          <w:szCs w:val="17"/>
          <w:u w:val="single" w:color="auto"/>
          <w:color w:val="auto"/>
        </w:rPr>
        <w:t>Volvo Cars</w:t>
      </w:r>
      <w:r>
        <w:rPr>
          <w:rFonts w:ascii="Times New Roman" w:cs="Times New Roman" w:eastAsia="Times New Roman" w:hAnsi="Times New Roman"/>
          <w:sz w:val="17"/>
          <w:szCs w:val="17"/>
          <w:color w:val="auto"/>
        </w:rPr>
        <w:t>”). Pursuant to the Volvo Cars Subscription Agreement, Snita agreed to subscribe for an</w:t>
      </w:r>
    </w:p>
    <w:p>
      <w:pPr>
        <w:spacing w:after="0" w:line="3"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 the Volvo Cars Subscription Agreement, syndicate its commitment to acquire the ListCo Class A ADSs to be purchased under the Volvo Cars Subscription Agreement in advance of the closing of the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Volvo Cars Preference Subscription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has agreed to subscribe for approximately 2.70 million ListCo Class A ADSs for a purchase price of $10.00 per ListCo Class A ADS on the date of Closing, for an aggregate investment of approximately $27.0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 of the Business Combination.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entered into a subscription agreement (the “</w:t>
      </w:r>
      <w:r>
        <w:rPr>
          <w:rFonts w:ascii="Times New Roman" w:cs="Times New Roman" w:eastAsia="Times New Roman" w:hAnsi="Times New Roman"/>
          <w:sz w:val="18"/>
          <w:szCs w:val="18"/>
          <w:u w:val="single" w:color="auto"/>
          <w:color w:val="auto"/>
        </w:rPr>
        <w:t>Volvo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Cars Preference Subscription Agreement</w:t>
      </w:r>
      <w:r>
        <w:rPr>
          <w:rFonts w:ascii="Times New Roman" w:cs="Times New Roman" w:eastAsia="Times New Roman" w:hAnsi="Times New Roman"/>
          <w:sz w:val="18"/>
          <w:szCs w:val="18"/>
          <w:color w:val="auto"/>
        </w:rPr>
        <w:t>”) with Snita (the “</w:t>
      </w:r>
      <w:r>
        <w:rPr>
          <w:rFonts w:ascii="Times New Roman" w:cs="Times New Roman" w:eastAsia="Times New Roman" w:hAnsi="Times New Roman"/>
          <w:sz w:val="18"/>
          <w:szCs w:val="18"/>
          <w:u w:val="single" w:color="auto"/>
          <w:color w:val="auto"/>
        </w:rPr>
        <w:t>Volvo Cars Preference Subscriber</w:t>
      </w:r>
      <w:r>
        <w:rPr>
          <w:rFonts w:ascii="Times New Roman" w:cs="Times New Roman" w:eastAsia="Times New Roman" w:hAnsi="Times New Roman"/>
          <w:sz w:val="18"/>
          <w:szCs w:val="18"/>
          <w:color w:val="auto"/>
        </w:rPr>
        <w:t>”). Pursuant to the Volvo Cars Preference Subscription Agreement, the Volvo Cars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Preference Subscriber agreed to subscribe for mandatory convertible preference shares of ListCo (the “</w:t>
      </w:r>
      <w:r>
        <w:rPr>
          <w:rFonts w:ascii="Times New Roman" w:cs="Times New Roman" w:eastAsia="Times New Roman" w:hAnsi="Times New Roman"/>
          <w:sz w:val="18"/>
          <w:szCs w:val="18"/>
          <w:u w:val="single" w:color="auto"/>
          <w:color w:val="auto"/>
        </w:rPr>
        <w:t>ListCo Preference Shares</w:t>
      </w:r>
      <w:r>
        <w:rPr>
          <w:rFonts w:ascii="Times New Roman" w:cs="Times New Roman" w:eastAsia="Times New Roman" w:hAnsi="Times New Roman"/>
          <w:sz w:val="18"/>
          <w:szCs w:val="18"/>
          <w:color w:val="auto"/>
        </w:rPr>
        <w:t>”) for an aggregate subscription price of $10.00 per share, for an aggregate investment amount equal to approximately $500,000,000 (the “</w:t>
      </w:r>
      <w:r>
        <w:rPr>
          <w:rFonts w:ascii="Times New Roman" w:cs="Times New Roman" w:eastAsia="Times New Roman" w:hAnsi="Times New Roman"/>
          <w:sz w:val="18"/>
          <w:szCs w:val="18"/>
          <w:u w:val="single" w:color="auto"/>
          <w:color w:val="auto"/>
        </w:rPr>
        <w:t>Volvo Cars PIPE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Parent Lock-Up Agreement</w:t>
      </w:r>
    </w:p>
    <w:p>
      <w:pPr>
        <w:spacing w:after="0" w:line="117"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Parent, ListCo and the other Parent shareholders party thereto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have entered into that Parent Lock-Up Agreement (the “</w:t>
      </w:r>
      <w:r>
        <w:rPr>
          <w:rFonts w:ascii="Times New Roman" w:cs="Times New Roman" w:eastAsia="Times New Roman" w:hAnsi="Times New Roman"/>
          <w:sz w:val="18"/>
          <w:szCs w:val="18"/>
          <w:u w:val="single" w:color="auto"/>
          <w:color w:val="auto"/>
        </w:rPr>
        <w:t>Parent Lock-Up Agreement</w:t>
      </w:r>
      <w:r>
        <w:rPr>
          <w:rFonts w:ascii="Times New Roman" w:cs="Times New Roman" w:eastAsia="Times New Roman" w:hAnsi="Times New Roman"/>
          <w:sz w:val="18"/>
          <w:szCs w:val="18"/>
          <w:color w:val="auto"/>
        </w:rPr>
        <w:t>”). Pursuant to the</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Parent Lock-Up Agreement, each Parent Shareholder has, subject to certain exceptions, among other things, agreed to not transfer any equity security of ListCo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Sponsor and Supporting Sponsor Stockholders Lock-Up Agreement</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Sponsor, the Company, Parent, ListCo and certain of the Company’s directors, executive officers and affiliates (such individuals, the “</w:t>
      </w:r>
      <w:r>
        <w:rPr>
          <w:rFonts w:ascii="Times New Roman" w:cs="Times New Roman" w:eastAsia="Times New Roman" w:hAnsi="Times New Roman"/>
          <w:sz w:val="18"/>
          <w:szCs w:val="18"/>
          <w:u w:val="single" w:color="auto"/>
          <w:color w:val="auto"/>
        </w:rPr>
        <w:t>Supporting Sponsor Stockholders</w:t>
      </w:r>
      <w:r>
        <w:rPr>
          <w:rFonts w:ascii="Times New Roman" w:cs="Times New Roman" w:eastAsia="Times New Roman" w:hAnsi="Times New Roman"/>
          <w:sz w:val="18"/>
          <w:szCs w:val="18"/>
          <w:color w:val="auto"/>
        </w:rPr>
        <w:t>”) have entered into a Sponsor and Supporting Sponsor Stockholders Lock-Up Agreement (the “</w:t>
      </w:r>
      <w:r>
        <w:rPr>
          <w:rFonts w:ascii="Times New Roman" w:cs="Times New Roman" w:eastAsia="Times New Roman" w:hAnsi="Times New Roman"/>
          <w:sz w:val="18"/>
          <w:szCs w:val="18"/>
          <w:u w:val="single" w:color="auto"/>
          <w:color w:val="auto"/>
        </w:rPr>
        <w:t>Sponsor and Supporting Sponsor Stockholders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spacing w:after="0" w:line="3"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Sponsor and Supporting Stockholders Lock-Up Agreement</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Sponsor and Supporting Sponsor Stockholders Lock-Up Agreement entered into Amendment No. 1 to the Sponsor and Supporting Sponsor Stockholders Lock-Up Agreement (the “Lock-Up Agreement Amendment”). The Lock-Up Agreement Amendment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Amendment does not purport to be complete and is qualified in its entirety by the terms and conditions of the Lock-Up Agreement Amendment, a copy of which is attached hereto as Exhibit 10.3 and is incorporated herein by reference.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Parent, the Parent Shareholders, Sponsor and the independent directors of the Company (such persons, together 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Sponsor and the Parent Holders,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have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Registration Rights Agreement</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Registration Rights Agreement entered into Amendment No. 1 to the Registration Rights Agreement (the “Registration Rights Agreement Amendment”), to provide for certain administrative changes to reflect the BCA Amendment and the New PIPE Subscription Agreements. The foregoing description of the Registration Rights Agreement Amendment does not purport to be complete and is qualified in its entirety by the terms and conditions of the Registration Rights Agreement Amendment, a copy of which is attached hereto as Exhibit 10.2 and is incorporated herein by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Warrant Assumption Agreement</w:t>
      </w:r>
    </w:p>
    <w:p>
      <w:pPr>
        <w:spacing w:after="0" w:line="11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the Company, ListCo and 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will enter into a Warrant Assignment, Assumption and Amendment Agreement (the “</w:t>
      </w:r>
      <w:r>
        <w:rPr>
          <w:rFonts w:ascii="Times New Roman" w:cs="Times New Roman" w:eastAsia="Times New Roman" w:hAnsi="Times New Roman"/>
          <w:sz w:val="18"/>
          <w:szCs w:val="18"/>
          <w:u w:val="single" w:color="auto"/>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prior to the Closing. The Warrant Assumption Agreement will amend the Warrant Agreement, dated March 22, 2021, by and among the Company and the Warrant Agent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Upon close of the Public Offering and the sale of the Private Placement Warrants, an aggregate of $800,000,000 was placed in a Trust Account with Computershare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acting as Trustee.</w:t>
      </w:r>
    </w:p>
    <w:p>
      <w:pPr>
        <w:spacing w:after="0" w:line="162"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finance a Business Combination with the net proceeds from its $800,000,000 Public Offering and its sale of $18,000,000 of Private Placement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Trust Account</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Funds held in the Trust Account can be invested only in U.S. government treasury bills with a maturity of one hundred and eighty-five (185) days or less or in money market funds meeting certain conditions under Rule 2a-7 under the Investment Company Act that invest only in direct U.S. government obligations. As of December 31, 2021, the Trust Account consisted of money market funds.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other than the withdrawal of interest to fund regulatory compliance requirements and other costs related thereto (a “</w:t>
      </w:r>
      <w:r>
        <w:rPr>
          <w:rFonts w:ascii="Times New Roman" w:cs="Times New Roman" w:eastAsia="Times New Roman" w:hAnsi="Times New Roman"/>
          <w:sz w:val="18"/>
          <w:szCs w:val="18"/>
          <w:u w:val="single" w:color="auto"/>
          <w:color w:val="auto"/>
        </w:rPr>
        <w:t>Regulatory Withdrawal</w:t>
      </w:r>
      <w:r>
        <w:rPr>
          <w:rFonts w:ascii="Times New Roman" w:cs="Times New Roman" w:eastAsia="Times New Roman" w:hAnsi="Times New Roman"/>
          <w:sz w:val="18"/>
          <w:szCs w:val="18"/>
          <w:color w:val="auto"/>
        </w:rPr>
        <w:t>”)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substance or timing of the Company’s obligation to redeem 100% of such public shares of common stock if the Company does not complete the Business Combination by March 25, 2023; or (iii) the redemption of 100% of the public shares of common stock if the Company is unable to complete a Business Combination by March 25, 2023, subject to the requirements of law and stock exchange rules.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Public Offering, although substantially all of the net proceeds of the Public Offering are intended to be generally applied toward consummating a Business Combination. The Business Combination must be with one or more target businesses that together have an aggregate fair market value of at least 80% of the assets held in the Trust Account (less any deferred underwriting commissions and taxes payable on interest income earned) at the time of the Company signing a definitive agreement in connection with the Business Combination. Furthermore, there is no assurance that the Company will be able to successfully effect a Business Combination.</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income but less taxes payable, or (ii) 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the consummation of the Business Combination, including interest income but less taxes payable.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If the Company seeks stockholder approval, it will complete its Business Combination only if a majority of the outstanding shares of common stock voted are voted in favor of the Business Combination. Currently, the Company will not redeem its public shares of common stock in an amount that would cause its net tangible assets to be less than $5,000,001. In such case, the Company would not proceed with the redemption of its public shares of common stock and the related Business Combination, and instead may search for an alternate Business Combination.</w:t>
      </w:r>
    </w:p>
    <w:p>
      <w:pPr>
        <w:spacing w:after="0" w:line="19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redemption provisions, the public shares of common stock will be recorded at redemption amount and classified as temporary equity, in accordance with Financial Accounting Standards Board (“</w:t>
      </w:r>
      <w:r>
        <w:rPr>
          <w:rFonts w:ascii="Times New Roman" w:cs="Times New Roman" w:eastAsia="Times New Roman" w:hAnsi="Times New Roman"/>
          <w:sz w:val="18"/>
          <w:szCs w:val="18"/>
          <w:u w:val="single" w:color="auto"/>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480</w:t>
      </w:r>
      <w:r>
        <w:rPr>
          <w:rFonts w:ascii="Times New Roman" w:cs="Times New Roman" w:eastAsia="Times New Roman" w:hAnsi="Times New Roman"/>
          <w:sz w:val="18"/>
          <w:szCs w:val="18"/>
          <w:color w:val="auto"/>
        </w:rPr>
        <w:t>”) in subsequent periods.</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and pursuant to the accounting and disclosure rules and regulations of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reflect all adjustments, consisting only of normal recurring adjustments, which are, in the opinion of management, necessary for a fair presentation of the financial position as of December 31, 2021 and December 31, 2020 and the results of operations and cash flows for the periods presented.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F Common Stock (the “</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Earnings and losses are shared pro rata between the two classes of shares. Private and Public warrants to purchase 25,000,000 shares of Common Stock at $11.50 per share were issued on March 25, 2021. At December 31, 2021, no warrants have been exercised. The 25,000,000 potential common shares for outstanding warrants to purchase the Company’s stock were excluded from diluted earnings per share for the three months and year ended December 31, 2021 because the warrants are contingently exercisable, and the contingencies have not yet been met. As a result, diluted net loss per common share is the same as basic net loss per common share for the period. The table below presents a reconciliation of the numerator and denominator used to compute basic and diluted net loss per share for each class of common stock:</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5"/>
            <w:vMerge w:val="restart"/>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2"/>
                <w:szCs w:val="12"/>
                <w:color w:val="auto"/>
              </w:rPr>
            </w:pPr>
          </w:p>
        </w:tc>
        <w:tc>
          <w:tcPr>
            <w:tcW w:w="178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5"/>
                <w:szCs w:val="15"/>
                <w:color w:val="auto"/>
              </w:rPr>
            </w:pPr>
          </w:p>
        </w:tc>
        <w:tc>
          <w:tcPr>
            <w:tcW w:w="1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500" w:type="dxa"/>
            <w:vAlign w:val="bottom"/>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Allocation of net loss including accretion of temporary</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(106,532,707)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(34,213,663)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61,424,658</w:t>
            </w: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19,726,923</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21,562,500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F-16</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7" w:lineRule="exact"/>
        <w:rPr>
          <w:sz w:val="20"/>
          <w:szCs w:val="20"/>
          <w:color w:val="auto"/>
        </w:rPr>
      </w:pPr>
    </w:p>
    <w:p>
      <w:pPr>
        <w:ind w:left="120" w:right="880" w:firstLine="440"/>
        <w:spacing w:after="0" w:line="284"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approximates the carrying amounts represented in the balance sheet.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evaluated the Warrants (as defined below in Note 3 – Public Offering) and Private Placement Warrants (as defined below in Note 4</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 Related Party Transactions) (collectively, “</w:t>
      </w:r>
      <w:r>
        <w:rPr>
          <w:rFonts w:ascii="Times New Roman" w:cs="Times New Roman" w:eastAsia="Times New Roman" w:hAnsi="Times New Roman"/>
          <w:sz w:val="18"/>
          <w:szCs w:val="18"/>
          <w:u w:val="single" w:color="auto"/>
          <w:color w:val="auto"/>
        </w:rPr>
        <w:t>Warrant Securities</w:t>
      </w:r>
      <w:r>
        <w:rPr>
          <w:rFonts w:ascii="Times New Roman" w:cs="Times New Roman" w:eastAsia="Times New Roman" w:hAnsi="Times New Roman"/>
          <w:sz w:val="18"/>
          <w:szCs w:val="18"/>
          <w:color w:val="auto"/>
        </w:rPr>
        <w:t xml:space="preserve">”), and the all forward purchase agreements in accordance with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Entity’s Own Equity</w:t>
      </w:r>
      <w:r>
        <w:rPr>
          <w:rFonts w:ascii="Times New Roman" w:cs="Times New Roman" w:eastAsia="Times New Roman" w:hAnsi="Times New Roman"/>
          <w:sz w:val="18"/>
          <w:szCs w:val="18"/>
          <w:color w:val="auto"/>
        </w:rPr>
        <w:t>, and concluded that the Warrant Securities and forward purchase agreements could not be accounted for as components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Warrant Securities and forward purchase agreements meet the definition of a derivative in accordance with ASC 815, the Warrant Securities and forward purchase agreements are recorded as derivative liabilities on the Balance Sheet and measured at fair value at inception (the Close Date) and remeasured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changes in fair value recognized in the Statement of Operations in the period of 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FASB ASC Topic 340-10-S99-1, “</w:t>
      </w:r>
      <w:r>
        <w:rPr>
          <w:rFonts w:ascii="Times New Roman" w:cs="Times New Roman" w:eastAsia="Times New Roman" w:hAnsi="Times New Roman"/>
          <w:sz w:val="18"/>
          <w:szCs w:val="18"/>
          <w:i w:val="1"/>
          <w:iCs w:val="1"/>
          <w:color w:val="auto"/>
        </w:rPr>
        <w:t>Other Assets and Deferred Costs – SEC Materials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340-10-S99</w:t>
      </w:r>
      <w:r>
        <w:rPr>
          <w:rFonts w:ascii="Times New Roman" w:cs="Times New Roman" w:eastAsia="Times New Roman" w:hAnsi="Times New Roman"/>
          <w:sz w:val="18"/>
          <w:szCs w:val="18"/>
          <w:color w:val="auto"/>
        </w:rPr>
        <w:t>”) and SEC Staff Accounting Bulletin Topic 5A,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were $44,757,840 (including $44,000,000 in underwriters’ fees) consisting principally of professional and registration fees incurred through the balance sheet date that are related to the Public Offering and are charged to stockholders’ temporary equity upon the completion of the Public Offering. Since the Company is required to classify the warrants as derivative liabilities, offering costs totaling $832,496 are reflected as an expense in the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discussed in Note 3, 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December 31, 2021 and December 31, 2020.</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required to pay franchise taxes to the State of Delaware on an annual basis.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Company’s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December 31, 2021, the Company had $800,056,447 in the Trust Account which may be utilized for Business Combinations. At December 31, 2021, the Trust Account consisted of money market funds.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classifications,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 Consideration</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Company does not complete its Business Combination by March 25, 2023, the Company will (i) cease all operations except for the purpose of winding up, (ii) as promptly as reasonably possible but not more than ten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at December 31, 2021 and December 31, 2020, the Company had current liabilities of $104,929,383 and $1,782 and working capital of ($103,149,599) and ($1,782),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December 31, 2021 and amounts are continuing to accrue. Additionally, the warrant liability will not impact the Company’s liquidity until a Business Combination has been consummated, as they do not require cash settlement until such event has occurred.</w:t>
      </w:r>
    </w:p>
    <w:p>
      <w:pPr>
        <w:spacing w:after="0" w:line="332"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25, 2021, the Company sold 75,000,000 units at a price of $10.00 per unit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generating gross proceeds of $750,000,000. Subsequently, the underwriters partially exercised their over-allotment option to purchase 5,000,000 newly issued units, and the closing of the sale of the additional Units pursuant to such exercise occurred on April 22, 2021. The issuance by the Company of 5,000,000 Over-Allotment Option Units at a price of $10.00 per unit resulted in gross proceeds of $50,000,000. The remainder of the over-allotment option expired on May 9, 2021. Each Unit consists of one share of the Company’s Class A Common Stock (the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one-fifth of one redeemable common stock purchase warrant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24-month period allotted to complete the Business Combination, the Warrants will expire at the end of such period.</w:t>
      </w:r>
    </w:p>
    <w:p>
      <w:pPr>
        <w:spacing w:after="0" w:line="19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w:t>
      </w:r>
    </w:p>
    <w:p>
      <w:pPr>
        <w:spacing w:after="0" w:line="3" w:lineRule="exact"/>
        <w:rPr>
          <w:sz w:val="20"/>
          <w:szCs w:val="20"/>
          <w:color w:val="auto"/>
        </w:rPr>
      </w:pPr>
    </w:p>
    <w:p>
      <w:pPr>
        <w:ind w:left="120" w:right="580"/>
        <w:spacing w:after="0" w:line="255" w:lineRule="auto"/>
        <w:rPr>
          <w:sz w:val="20"/>
          <w:szCs w:val="20"/>
          <w:color w:val="auto"/>
        </w:rPr>
      </w:pPr>
      <w:r>
        <w:rPr>
          <w:rFonts w:ascii="Times New Roman" w:cs="Times New Roman" w:eastAsia="Times New Roman" w:hAnsi="Times New Roman"/>
          <w:sz w:val="18"/>
          <w:szCs w:val="18"/>
          <w:color w:val="auto"/>
        </w:rPr>
        <w:t>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April 22, 2021. The issuance by the Company of 5,000,000 Over-Allotment Option Units at a price of $10.00 per unit resulted in gross proceeds of $50,000,000. The remainder of the over-allotment option expired on May 9, 2021.</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paid an upfront underwriting discount of 2.00% ($15,000,000) of the per Unit offering price to the underwriters at the closing of the Public Offering, with an additional fee (the “</w:t>
      </w:r>
      <w:r>
        <w:rPr>
          <w:rFonts w:ascii="Times New Roman" w:cs="Times New Roman" w:eastAsia="Times New Roman" w:hAnsi="Times New Roman"/>
          <w:sz w:val="18"/>
          <w:szCs w:val="18"/>
          <w:u w:val="single" w:color="auto"/>
          <w:color w:val="auto"/>
        </w:rPr>
        <w:t>Deferred Discount</w:t>
      </w:r>
      <w:r>
        <w:rPr>
          <w:rFonts w:ascii="Times New Roman" w:cs="Times New Roman" w:eastAsia="Times New Roman" w:hAnsi="Times New Roman"/>
          <w:sz w:val="18"/>
          <w:szCs w:val="18"/>
          <w:color w:val="auto"/>
        </w:rPr>
        <w: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issued as part of the Units are accounted for as liabilities as there are terms and features do not qualify for equity classification in FASB ASC Topic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The fair value of the public warrants at March 23, 2021 was a liability of $13,950,000. At December 31, 2021, the fair value has increased to $61,440,000. After consideration of the warrant value included in the Over-Allotment Option Units, the change in fair value of $46,560,000 is reflected as an expense in the statements of operations.</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Class A Common Stock reflected on the balance sheet are reconciled in the following table. The accretion of carrying value to redemption value was fully recognized by June 30, 2021. There has been no additional accretion since: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shares issuance costs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58,805,343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48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Contingently redeemable Class A Common Stock</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sale of the Founders Shares is in the scope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718</w:t>
      </w:r>
      <w:r>
        <w:rPr>
          <w:rFonts w:ascii="Times New Roman" w:cs="Times New Roman" w:eastAsia="Times New Roman" w:hAnsi="Times New Roman"/>
          <w:sz w:val="18"/>
          <w:szCs w:val="18"/>
          <w:color w:val="auto"/>
        </w:rPr>
        <w:t>”).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December 31, 2021,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On April 22, 2021, substantially concurrently with the sale of the Over-allotment Option Units, the Company completed a private placement with the Sponsor for an additional 500,000 warrants at a price of $2.00 per warrant (the “</w:t>
      </w:r>
      <w:r>
        <w:rPr>
          <w:rFonts w:ascii="Times New Roman" w:cs="Times New Roman" w:eastAsia="Times New Roman" w:hAnsi="Times New Roman"/>
          <w:sz w:val="18"/>
          <w:szCs w:val="18"/>
          <w:u w:val="single" w:color="auto"/>
          <w:color w:val="auto"/>
        </w:rPr>
        <w:t>Additional Private Placement Warrants</w:t>
      </w:r>
      <w:r>
        <w:rPr>
          <w:rFonts w:ascii="Times New Roman" w:cs="Times New Roman" w:eastAsia="Times New Roman" w:hAnsi="Times New Roman"/>
          <w:sz w:val="18"/>
          <w:szCs w:val="18"/>
          <w:color w:val="auto"/>
        </w:rPr>
        <w:t>”), generating gross proceeds of $1,000,000. Each Private Placement Warrant entitles the holder to purchase one share of Class A Common Stock at $11.50 per share. A portion of the purchase price of the Private Placement Warrants was added to the proceeds from the Public Offering to be held in the Trust Account pending completion of the Business Combination.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76"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holders of Founder Shares, Private Placement Warrants and warrants issued upon conversion of working capital loans, if any, have registration rights (in the case of the Founder Shares, only after conversion of such shares to common shares) pursuant to a registration rights agreement entered into by the Company, the Sponsor and the other security holders named therein on March 25, 2021. These holders will also have certain demand and “piggy back” registration rights. The Company will bear the expenses incurred in connection with the filing of any such registration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Loan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Public Offering, the Sponsor loaned the Company an aggregate of $300,000 by the issuance of an unsecured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December 31, 2021, the net amount advanced by Sponsor to the Company was $2,000,000.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Company entered into an administrative services agreement pursuant to which it agreed to pay to an affiliate of the Sponsor $20,000 a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period commencing March 25, 2021 through December 31, 2021 the Company has accrued and paid the affiliate $185,806.</w:t>
      </w:r>
    </w:p>
    <w:p>
      <w:pPr>
        <w:spacing w:after="0" w:line="370"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Underwriting Compensation</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expense to the income tax expense from continuing operations provided at December 31, 2021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 at the federal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(17,207,616)</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Transaction Expenses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1,336,614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15,452,324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taxes—net of federal income tax benefits</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(73,692)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492,370</w:t>
            </w: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Current/Deferred Taxes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expense/(benefit)</w:t>
            </w:r>
          </w:p>
        </w:tc>
        <w:tc>
          <w:tcPr>
            <w:tcW w:w="3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income tax expense/(benefit)</w:t>
            </w:r>
          </w:p>
        </w:tc>
        <w:tc>
          <w:tcPr>
            <w:tcW w:w="3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income tax expense/(benefit)</w:t>
            </w:r>
          </w:p>
        </w:tc>
        <w:tc>
          <w:tcPr>
            <w:tcW w:w="3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20" w:type="dxa"/>
            <w:vAlign w:val="bottom"/>
            <w:gridSpan w:val="2"/>
          </w:tcPr>
          <w:p>
            <w:pPr>
              <w:jc w:val="right"/>
              <w:ind w:right="2782"/>
              <w:spacing w:after="0"/>
              <w:rPr>
                <w:sz w:val="20"/>
                <w:szCs w:val="20"/>
                <w:color w:val="auto"/>
              </w:rPr>
            </w:pPr>
            <w:r>
              <w:rPr>
                <w:rFonts w:ascii="Times New Roman" w:cs="Times New Roman" w:eastAsia="Times New Roman" w:hAnsi="Times New Roman"/>
                <w:sz w:val="18"/>
                <w:szCs w:val="18"/>
                <w:color w:val="auto"/>
              </w:rPr>
              <w:t>F-24</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2021:</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332,129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(492,808)</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complies with 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7"/>
          <w:szCs w:val="17"/>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was derived from observable public warrant pricing on comparable ‘blank-check’ companies that recently went public in 2020 and 2021. Transfers to/from Levels 1, 2, and 3 are recognized at the beginning of the reporting period. The estimated fair value of Public Warrants was transferred from a Level 3 measurement to a Level 1 measurement, when the Public Warrants were separately listed and traded in an active market in Month 2021. The estimated fair value of the Private Warrants was transferred from a Level 3 measurement to a Level 2 fair value measurement as of Month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w:t>
      </w:r>
    </w:p>
    <w:p>
      <w:pPr>
        <w:spacing w:after="0" w:line="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Warrant. No assets or liabilities are measured at fair value as of December 31, 2020. At December 31, 2021, there were observable transactions in the Company’s public warrants. At December 31, 2021, the Public Warrants had adequate trading volume to provide a reliable indication of value. The Public Warrants were valued at $3.84 at December 31, 2021.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Warrants are measured at fair value on a recurring basis. The subsequent measurement of the Public and Private Warrants as of December 31, 2021, is classified as Level 1 and Level 2, respectively, due to the use of both observable inputs in an active market as well as quoted prices in active markets for similar assets and liabilities.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aggregate values of the Private Placement Warrants and Public Warrants were $34.6 million and $61.4 million, respectively, based on the closing price of GGPIW on that date of $3.84.</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of March 23, 2021, the aggregate values of the Private Placement Warrants and Public Warrants were $8.4 million and $14.9 million, respectively, based on the closing price of GGPIU on that date of $10.00.</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2021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4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92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Cash, Cash Equivalents and Other</w:t>
            </w:r>
          </w:p>
        </w:tc>
        <w:tc>
          <w:tcPr>
            <w:tcW w:w="1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9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800,056,447</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$ 800,056,447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(61,440,000)</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(61,440,000)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(34,560,000)</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8"/>
              </w:rPr>
              <w:t>(34,560,000)</w:t>
            </w:r>
          </w:p>
        </w:tc>
        <w:tc>
          <w:tcPr>
            <w:tcW w:w="10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Company is authorized to issue 440,000,000 shares of common stock, consisting of 400,000,000 shares of Class A Common Stock, par value $0.0001 per share and 40,000,000 shares of Class F Common Stock, par value $0.0001 per share. Holders of the Company’s common stock are entitled to one vote for each share of common stock and vote together as a single class. At December 31, 2021 and December 31, 2020, there</w:t>
      </w:r>
    </w:p>
    <w:p>
      <w:pPr>
        <w:spacing w:after="0" w:line="1" w:lineRule="exact"/>
        <w:rPr>
          <w:sz w:val="20"/>
          <w:szCs w:val="20"/>
          <w:color w:val="auto"/>
        </w:rPr>
      </w:pPr>
    </w:p>
    <w:p>
      <w:pPr>
        <w:ind w:left="120" w:right="840"/>
        <w:spacing w:after="0" w:line="260" w:lineRule="auto"/>
        <w:rPr>
          <w:sz w:val="20"/>
          <w:szCs w:val="20"/>
          <w:color w:val="auto"/>
        </w:rPr>
      </w:pPr>
      <w:r>
        <w:rPr>
          <w:rFonts w:ascii="Times New Roman" w:cs="Times New Roman" w:eastAsia="Times New Roman" w:hAnsi="Times New Roman"/>
          <w:sz w:val="18"/>
          <w:szCs w:val="18"/>
          <w:color w:val="auto"/>
        </w:rPr>
        <w:t>were 80,000,000 and -0- shares of Class A Common Stock and 20,000,000 and -0- shares of Class F Common Stock issued and outstanding,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 other rights and preferences as may be determined from time to time by the Board of Directors. At December 31, 2021 and December 31, 2020, there were no shares of preferred stock issued or outstanding.</w:t>
      </w:r>
    </w:p>
    <w:p>
      <w:pPr>
        <w:spacing w:after="0" w:line="320"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and Uncertainties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60"/>
          </w:cols>
          <w:pgMar w:left="320" w:top="455" w:right="5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18, 2022, the Sponsor extended the maturity date of promissory note issued by the Company to the Sponsor. The note remains unsecured, non-interest bearing and matures on the earlier of: (i) March 11, 2023 or (ii) the date on which the Company consummates a Business Combination. There are no other items which require adjustment or disclosure other than those set forth in the preceding notes to the financial statements.</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600"/>
          </w:cols>
          <w:pgMar w:left="320" w:top="455" w:right="9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3"/>
        </w:trPr>
        <w:tc>
          <w:tcPr>
            <w:tcW w:w="7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350,209</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302,504</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1,237,592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1,477,280</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1,779,784</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800,136,676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800,056,447</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801,724,477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7,849,812</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6,729,383</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50,720,000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61,440,000</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28,530,000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34,560,000</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89,649,812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104,929,383</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28,000,000</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117,649,812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132,929,383</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shares at March 31, 2022 and December 31, 2021 (at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 of $10 per share)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800,000,000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800,000,000</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 March 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20,000,000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March 31, 2022 and December 31, 2021,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8"/>
              </w:rPr>
              <w:t>(115,927,335)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(131,095,152)</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(115,925,335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(131,093,152)</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801,724,477</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801,836,231</w:t>
            </w: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60" w:type="dxa"/>
            <w:vAlign w:val="bottom"/>
          </w:tcPr>
          <w:p>
            <w:pPr>
              <w:spacing w:after="0"/>
              <w:rPr>
                <w:sz w:val="13"/>
                <w:szCs w:val="13"/>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48"/>
        </w:trPr>
        <w:tc>
          <w:tcPr>
            <w:tcW w:w="7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14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7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4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(1,612,413)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(68,999)</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Gain/(loss) from change in fair value of warrant liability</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16,750,000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(780,685)</w:t>
            </w: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from operations</w:t>
            </w: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15,087,587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(1,369,684)</w:t>
            </w:r>
          </w:p>
        </w:tc>
        <w:tc>
          <w:tcPr>
            <w:tcW w:w="12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income—interest income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80,230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before income taxes</w:t>
            </w:r>
          </w:p>
        </w:tc>
        <w:tc>
          <w:tcPr>
            <w:tcW w:w="10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attributable to common shares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common share: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A common stock</w:t>
            </w:r>
          </w:p>
        </w:tc>
        <w:tc>
          <w:tcPr>
            <w:tcW w:w="11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F common stock</w:t>
            </w:r>
          </w:p>
        </w:tc>
        <w:tc>
          <w:tcPr>
            <w:tcW w:w="11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140" w:type="dxa"/>
            <w:vAlign w:val="bottom"/>
            <w:gridSpan w:val="6"/>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Class A Common</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7"/>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Class F Common</w:t>
            </w:r>
          </w:p>
        </w:tc>
        <w:tc>
          <w:tcPr>
            <w:tcW w:w="40" w:type="dxa"/>
            <w:vAlign w:val="bottom"/>
          </w:tcPr>
          <w:p>
            <w:pPr>
              <w:spacing w:after="0"/>
              <w:rPr>
                <w:sz w:val="10"/>
                <w:szCs w:val="10"/>
                <w:color w:val="auto"/>
              </w:rPr>
            </w:pPr>
          </w:p>
        </w:tc>
        <w:tc>
          <w:tcPr>
            <w:tcW w:w="12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20,000,000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$ 2,000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(131,095,152)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(131,093,152)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20,000,000</w:t>
            </w: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$ 2,000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(115,927,335)</w:t>
            </w: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(115,925,335)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8"/>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Class A Common</w:t>
            </w:r>
          </w:p>
        </w:tc>
        <w:tc>
          <w:tcPr>
            <w:tcW w:w="220" w:type="dxa"/>
            <w:vAlign w:val="bottom"/>
          </w:tcPr>
          <w:p>
            <w:pPr>
              <w:spacing w:after="0"/>
              <w:rPr>
                <w:sz w:val="10"/>
                <w:szCs w:val="10"/>
                <w:color w:val="auto"/>
              </w:rPr>
            </w:pPr>
          </w:p>
        </w:tc>
        <w:tc>
          <w:tcPr>
            <w:tcW w:w="1700" w:type="dxa"/>
            <w:vAlign w:val="bottom"/>
            <w:gridSpan w:val="7"/>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Class F Common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at January 1, 2021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Class F Common Stock to Sponsor 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10, 2021 at $0.0001 par value</w:t>
            </w:r>
          </w:p>
        </w:tc>
        <w:tc>
          <w:tcPr>
            <w:tcW w:w="22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21,562,500</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22,844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of fair value paid by founders for warrants</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9,095,000</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 additional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(9,117,844)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(9,117,844)</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(46,023,770)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(46,023,770)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(1,368,136)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(1,368,136)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21,562,500</w:t>
            </w:r>
          </w:p>
        </w:tc>
        <w:tc>
          <w:tcPr>
            <w:tcW w:w="2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(47,393,688)</w:t>
            </w:r>
          </w:p>
        </w:tc>
        <w:tc>
          <w:tcPr>
            <w:tcW w:w="13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(47,391,532)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48"/>
        </w:trPr>
        <w:tc>
          <w:tcPr>
            <w:tcW w:w="7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80" w:type="dxa"/>
            <w:vAlign w:val="bottom"/>
          </w:tcPr>
          <w:p>
            <w:pPr>
              <w:spacing w:after="0"/>
              <w:rPr>
                <w:sz w:val="12"/>
                <w:szCs w:val="12"/>
                <w:color w:val="auto"/>
              </w:rPr>
            </w:pPr>
          </w:p>
        </w:tc>
        <w:tc>
          <w:tcPr>
            <w:tcW w:w="118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7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15,167,817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(1,368,136)</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income/(loss) to net cash provided by/(used in) operating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warrant liability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780,685</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from change in fair value of warrant liability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(16,750,000)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state franchise tax accrual</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49,550</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accrued expenses, formation and offering costs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509,372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provided/(used) in operating activities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(372,066)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430,012</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(750,000,000)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reinvested in the Trust Account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(750,001,548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in initial public offering</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 to Sponsor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17,000,000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F Common Stock to Sponsor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and advances payable – related party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and advances payable – related party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underwriters’ discounts and commissions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offering costs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(722,299)</w:t>
            </w: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751,302,701</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1,731,165</w:t>
            </w:r>
          </w:p>
        </w:tc>
        <w:tc>
          <w:tcPr>
            <w:tcW w:w="12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1,731,165</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26,250,000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income and franchise taxes paid: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and state franchise taxes</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FINANCIAL STATEMENTS</w:t>
      </w:r>
    </w:p>
    <w:p>
      <w:pPr>
        <w:spacing w:after="0" w:line="252"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 and General</w:t>
      </w:r>
    </w:p>
    <w:p>
      <w:pPr>
        <w:spacing w:after="0" w:line="119"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not engaged in any operations, other than to identify and consummate a Business Combination, and has not generated any operating revenue to date. The Company’s management has broad discretion with respect to the Business Combination. The Company’s sponsor is Gores Guggenheim Sponsor, LLC, a Delaware limited liability company (the “Sponsor”). The Company has selected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fiscal year-end.</w:t>
      </w:r>
    </w:p>
    <w:p>
      <w:pPr>
        <w:spacing w:after="0" w:line="5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Company completed the Public Offering on March 25, 2021 (the “IPO Closing Date”). As of March 31, 2022, the Company had not commenced any operations. All activity during the three months ended March 31, 2022 relates to the Company’s search for a prospective initial Business Combination. The Company will not generate any operating revenues until after the completion of its Business Combination, at the earliest. Subsequent to the Public Offering, the Company generates non-operating income in the form of interest income from the proceeds derived from the Public Offering and the sale of the Private Placement Warrants (as defined below) held in the Trust Account (as defined below).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(as amended,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by and among the Company,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Pre-Closing Reorganization</w:t>
      </w:r>
    </w:p>
    <w:p>
      <w:pPr>
        <w:spacing w:after="0" w:line="119"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Merger, prior to the closing of the Transactions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Times New Roman" w:cs="Times New Roman" w:eastAsia="Times New Roman" w:hAnsi="Times New Roman"/>
          <w:sz w:val="17"/>
          <w:szCs w:val="17"/>
          <w:u w:val="single" w:color="auto"/>
          <w:color w:val="auto"/>
        </w:rPr>
        <w:t>Pre-Closing Reorganization</w:t>
      </w:r>
      <w:r>
        <w:rPr>
          <w:rFonts w:ascii="Times New Roman" w:cs="Times New Roman" w:eastAsia="Times New Roman" w:hAnsi="Times New Roman"/>
          <w:sz w:val="17"/>
          <w:szCs w:val="17"/>
          <w:color w:val="auto"/>
        </w:rPr>
        <w:t>”). As consideration for the Pre-Closing Reorganization, ListCo will issue to Parent a number of class A ordinary shares in the share capital</w:t>
      </w:r>
    </w:p>
    <w:p>
      <w:pPr>
        <w:spacing w:after="0" w:line="3"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of ListCo which class A ordinary shares shall entitle the holder to one vote per share (“</w:t>
      </w:r>
      <w:r>
        <w:rPr>
          <w:rFonts w:ascii="Times New Roman" w:cs="Times New Roman" w:eastAsia="Times New Roman" w:hAnsi="Times New Roman"/>
          <w:sz w:val="18"/>
          <w:szCs w:val="18"/>
          <w:u w:val="single" w:color="auto"/>
          <w:color w:val="auto"/>
        </w:rPr>
        <w:t>ListCo Class A Shares</w:t>
      </w:r>
      <w:r>
        <w:rPr>
          <w:rFonts w:ascii="Times New Roman" w:cs="Times New Roman" w:eastAsia="Times New Roman" w:hAnsi="Times New Roman"/>
          <w:sz w:val="18"/>
          <w:szCs w:val="18"/>
          <w:color w:val="auto"/>
        </w:rPr>
        <w:t>”) and class B ordinary shares in the share capital of ListCo, which</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ordinary shares shall entitle the holder to ten votes per share (“</w:t>
      </w:r>
      <w:r>
        <w:rPr>
          <w:rFonts w:ascii="Times New Roman" w:cs="Times New Roman" w:eastAsia="Times New Roman" w:hAnsi="Times New Roman"/>
          <w:sz w:val="18"/>
          <w:szCs w:val="18"/>
          <w:u w:val="single" w:color="auto"/>
          <w:color w:val="auto"/>
        </w:rPr>
        <w:t>ListCo Class B Shares</w:t>
      </w:r>
      <w:r>
        <w:rPr>
          <w:rFonts w:ascii="Times New Roman" w:cs="Times New Roman" w:eastAsia="Times New Roman" w:hAnsi="Times New Roman"/>
          <w:sz w:val="18"/>
          <w:szCs w:val="18"/>
          <w:color w:val="auto"/>
        </w:rPr>
        <w:t>,” and, together with the ListCo Class A Shares,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Shares</w:t>
      </w:r>
      <w:r>
        <w:rPr>
          <w:rFonts w:ascii="Times New Roman" w:cs="Times New Roman" w:eastAsia="Times New Roman" w:hAnsi="Times New Roman"/>
          <w:sz w:val="18"/>
          <w:szCs w:val="18"/>
          <w:color w:val="auto"/>
        </w:rPr>
        <w:t>”), such that, following the Pre-Closing Reorganization, Parent will hold an aggregate number of ListCo Shares equal to approximately</w:t>
      </w:r>
    </w:p>
    <w:p>
      <w:pPr>
        <w:spacing w:after="0" w:line="9" w:lineRule="exact"/>
        <w:rPr>
          <w:sz w:val="20"/>
          <w:szCs w:val="20"/>
          <w:color w:val="auto"/>
        </w:rPr>
      </w:pPr>
    </w:p>
    <w:p>
      <w:pPr>
        <w:ind w:left="120" w:right="60" w:hanging="4"/>
        <w:spacing w:after="0" w:line="255" w:lineRule="auto"/>
        <w:tabs>
          <w:tab w:leader="none" w:pos="3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8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the Pre-Closing Reorganization and pursuant to the Business Combination Agreement,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the separate corporate existence of Merger Sub will cease, with the Company being the surviving corporation and becoming a wholly owned subsidiary of ListCo.</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of the Company, par value $0.0001 per share (“</w:t>
      </w:r>
      <w:r>
        <w:rPr>
          <w:rFonts w:ascii="Times New Roman" w:cs="Times New Roman" w:eastAsia="Times New Roman" w:hAnsi="Times New Roman"/>
          <w:sz w:val="18"/>
          <w:szCs w:val="18"/>
          <w:u w:val="single" w:color="auto"/>
          <w:color w:val="auto"/>
        </w:rPr>
        <w:t>GG Class A Shares</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those held in treasury, will be exchanged for one newly issued American depository share of ListCo (“</w:t>
      </w:r>
      <w:r>
        <w:rPr>
          <w:rFonts w:ascii="Times New Roman" w:cs="Times New Roman" w:eastAsia="Times New Roman" w:hAnsi="Times New Roman"/>
          <w:sz w:val="18"/>
          <w:szCs w:val="18"/>
          <w:u w:val="single" w:color="auto"/>
          <w:color w:val="auto"/>
        </w:rPr>
        <w:t>ListCo Class A ADS</w:t>
      </w:r>
      <w:r>
        <w:rPr>
          <w:rFonts w:ascii="Times New Roman" w:cs="Times New Roman" w:eastAsia="Times New Roman" w:hAnsi="Times New Roman"/>
          <w:sz w:val="18"/>
          <w:szCs w:val="18"/>
          <w:color w:val="auto"/>
        </w:rPr>
        <w:t>”) duly and validly issued against the deposit of an underlying ListCo Class A Share deposited with a bank (“</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in which ListCo has established and sponsored American depository receipt facilities (each, an “</w:t>
      </w:r>
      <w:r>
        <w:rPr>
          <w:rFonts w:ascii="Times New Roman" w:cs="Times New Roman" w:eastAsia="Times New Roman" w:hAnsi="Times New Roman"/>
          <w:sz w:val="18"/>
          <w:szCs w:val="18"/>
          <w:u w:val="single" w:color="auto"/>
          <w:color w:val="auto"/>
        </w:rPr>
        <w:t>ADR Facility</w:t>
      </w:r>
      <w:r>
        <w:rPr>
          <w:rFonts w:ascii="Times New Roman" w:cs="Times New Roman" w:eastAsia="Times New Roman" w:hAnsi="Times New Roman"/>
          <w:sz w:val="18"/>
          <w:szCs w:val="18"/>
          <w:color w:val="auto"/>
        </w:rPr>
        <w:t>”). Each share of Class F Common Stock of the Company, par value $0.0001 per share (“</w:t>
      </w:r>
      <w:r>
        <w:rPr>
          <w:rFonts w:ascii="Times New Roman" w:cs="Times New Roman" w:eastAsia="Times New Roman" w:hAnsi="Times New Roman"/>
          <w:sz w:val="18"/>
          <w:szCs w:val="18"/>
          <w:u w:val="single" w:color="auto"/>
          <w:color w:val="auto"/>
        </w:rPr>
        <w:t>GG Class F Shares</w:t>
      </w:r>
      <w:r>
        <w:rPr>
          <w:rFonts w:ascii="Times New Roman" w:cs="Times New Roman" w:eastAsia="Times New Roman" w:hAnsi="Times New Roman"/>
          <w:sz w:val="18"/>
          <w:szCs w:val="18"/>
          <w:color w:val="auto"/>
        </w:rPr>
        <w:t>,” and together with the GG Class A Shares, the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8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which underlying securities will be converted as described below.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C-1 ADS</w:t>
      </w:r>
      <w:r>
        <w:rPr>
          <w:rFonts w:ascii="Times New Roman" w:cs="Times New Roman" w:eastAsia="Times New Roman" w:hAnsi="Times New Roman"/>
          <w:sz w:val="18"/>
          <w:szCs w:val="18"/>
          <w:color w:val="auto"/>
        </w:rPr>
        <w:t>”) duly and validly issued against the deposit of an underlying class C-1 preferred share in the share capital of ListCo (“</w:t>
      </w:r>
      <w:r>
        <w:rPr>
          <w:rFonts w:ascii="Times New Roman" w:cs="Times New Roman" w:eastAsia="Times New Roman" w:hAnsi="Times New Roman"/>
          <w:sz w:val="18"/>
          <w:szCs w:val="18"/>
          <w:u w:val="single" w:color="auto"/>
          <w:color w:val="auto"/>
        </w:rPr>
        <w:t>ListCo Class C-1 Share</w:t>
      </w:r>
      <w:r>
        <w:rPr>
          <w:rFonts w:ascii="Times New Roman" w:cs="Times New Roman" w:eastAsia="Times New Roman" w:hAnsi="Times New Roman"/>
          <w:sz w:val="18"/>
          <w:szCs w:val="18"/>
          <w:color w:val="auto"/>
        </w:rPr>
        <w:t>”) deposited with the Depositary Bank. Each ListCo Class C-1 Share will be exercisable to acquire a ListCo Class A Share at an exercise price of $11.50 per share. In addition, each private placement warrant of the Company (“</w:t>
      </w:r>
      <w:r>
        <w:rPr>
          <w:rFonts w:ascii="Times New Roman" w:cs="Times New Roman" w:eastAsia="Times New Roman" w:hAnsi="Times New Roman"/>
          <w:sz w:val="18"/>
          <w:szCs w:val="18"/>
          <w:u w:val="single" w:color="auto"/>
          <w:color w:val="auto"/>
        </w:rPr>
        <w:t>Private Placement Warrant</w:t>
      </w:r>
      <w:r>
        <w:rPr>
          <w:rFonts w:ascii="Times New Roman" w:cs="Times New Roman" w:eastAsia="Times New Roman" w:hAnsi="Times New Roman"/>
          <w:sz w:val="18"/>
          <w:szCs w:val="18"/>
          <w:color w:val="auto"/>
        </w:rPr>
        <w:t>”) will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C-2 ADS</w:t>
      </w:r>
      <w:r>
        <w:rPr>
          <w:rFonts w:ascii="Times New Roman" w:cs="Times New Roman" w:eastAsia="Times New Roman" w:hAnsi="Times New Roman"/>
          <w:sz w:val="18"/>
          <w:szCs w:val="18"/>
          <w:color w:val="auto"/>
        </w:rPr>
        <w:t>”) duly and validly issued against the deposit of an underlying class C-2 preferred share in the share capital of ListCo (“</w:t>
      </w:r>
      <w:r>
        <w:rPr>
          <w:rFonts w:ascii="Times New Roman" w:cs="Times New Roman" w:eastAsia="Times New Roman" w:hAnsi="Times New Roman"/>
          <w:sz w:val="18"/>
          <w:szCs w:val="18"/>
          <w:u w:val="single" w:color="auto"/>
          <w:color w:val="auto"/>
        </w:rPr>
        <w:t>ListCo Class C-2 Share</w:t>
      </w:r>
      <w:r>
        <w:rPr>
          <w:rFonts w:ascii="Times New Roman" w:cs="Times New Roman" w:eastAsia="Times New Roman" w:hAnsi="Times New Roman"/>
          <w:sz w:val="18"/>
          <w:szCs w:val="18"/>
          <w:color w:val="auto"/>
        </w:rPr>
        <w:t>”) deposited with the Depositary Bank. Each ListCo Class C-2 Share will be exercisable to acquire a ListCo Class A Share at an exercise price of $11.50 per share.</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each Public Warrant shall be automatically cancelled and extinguished and converted into the right to receive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American depository warrant of ListCo (“</w:t>
      </w:r>
      <w:r>
        <w:rPr>
          <w:rFonts w:ascii="Times New Roman" w:cs="Times New Roman" w:eastAsia="Times New Roman" w:hAnsi="Times New Roman"/>
          <w:sz w:val="18"/>
          <w:szCs w:val="18"/>
          <w:u w:val="single" w:color="auto"/>
          <w:color w:val="auto"/>
        </w:rPr>
        <w:t>ListCo AD Warrant</w:t>
      </w:r>
      <w:r>
        <w:rPr>
          <w:rFonts w:ascii="Times New Roman" w:cs="Times New Roman" w:eastAsia="Times New Roman" w:hAnsi="Times New Roman"/>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Statement/Proxy Statement; Warrantholder Solicitation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Company, ListCo, Polestar Singapore, Polestar Sweden and Parent will prepare, and ListCo will file with the SEC, a registration statement on Form F-4 (the “</w:t>
      </w:r>
      <w:r>
        <w:rPr>
          <w:rFonts w:ascii="Times New Roman" w:cs="Times New Roman" w:eastAsia="Times New Roman" w:hAnsi="Times New Roman"/>
          <w:sz w:val="18"/>
          <w:szCs w:val="18"/>
          <w:u w:val="single" w:color="auto"/>
          <w:color w:val="auto"/>
        </w:rPr>
        <w:t>Registration Statement/Proxy Statement</w:t>
      </w:r>
      <w:r>
        <w:rPr>
          <w:rFonts w:ascii="Times New Roman" w:cs="Times New Roman" w:eastAsia="Times New Roman" w:hAnsi="Times New Roman"/>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Times New Roman" w:cs="Times New Roman" w:eastAsia="Times New Roman" w:hAnsi="Times New Roman"/>
          <w:sz w:val="18"/>
          <w:szCs w:val="18"/>
          <w:u w:val="single" w:color="auto"/>
          <w:color w:val="auto"/>
        </w:rPr>
        <w:t>Requisite GG Warantholder Approval</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Times New Roman" w:cs="Times New Roman" w:eastAsia="Times New Roman" w:hAnsi="Times New Roman"/>
          <w:sz w:val="18"/>
          <w:szCs w:val="18"/>
          <w:u w:val="single" w:color="auto"/>
          <w:color w:val="auto"/>
        </w:rPr>
        <w:t>Stockholder Redemptions</w:t>
      </w:r>
      <w:r>
        <w:rPr>
          <w:rFonts w:ascii="Times New Roman" w:cs="Times New Roman" w:eastAsia="Times New Roman" w:hAnsi="Times New Roman"/>
          <w:sz w:val="18"/>
          <w:szCs w:val="18"/>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5"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April 21, 2022, the parties to the Business Combination Agreement entered into Amendment No. 3 to the Business Combination Agreement (“BCA Amendment No. 3”) to extend the Termination Date (as defined in the Business Combination Agreement) from May 27, 2022 to June 24, 2022. The Business Combination Agreement may be terminated at any time prior to the Closing by mutual written consent of the Company and Parent and in certain other circumstances, including if the Closing has not occurred on or prior to June 24, 2022 and the primary cause of the failure for the Closing to have occurred on or prior to such date is not due to a breach of the Business Combination Agreement by the party seeking to terminate.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subscription agreements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have agreed to purchase, substantially concurrently with the Closing, an aggregate of 7.43 million ListCo Class A ADSs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for a purchase price of $9.09 per share in a private placement, for an aggregate amount of $67,500,000 (the “</w:t>
      </w:r>
      <w:r>
        <w:rPr>
          <w:rFonts w:ascii="Times New Roman" w:cs="Times New Roman" w:eastAsia="Times New Roman" w:hAnsi="Times New Roman"/>
          <w:sz w:val="18"/>
          <w:szCs w:val="18"/>
          <w:u w:val="single" w:color="auto"/>
          <w:color w:val="auto"/>
        </w:rPr>
        <w:t>PIPE Investment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PIPE Subscription Agreements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PIPE Assignment, on December 17, 2021, the Company and ListCo entered into subscription agreements (the “New PIPE Subscription Agreements”) with the New PIPE Investors, which include certain affiliates and employees of Sponsor. Pursuant to the New PIPE Subscription Agreements, the New PIPE Investors have agreed to collectively subscribe for approximately 14.3 million ListCo Class A ADSs (the “New PIPE Shares”) for an average price of approximately $9.54 per ListCo Class A ADS, reflecting an aggregate investment amount of approximately $136.0 million.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March PIPE Subscription Agreements</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March PIPE Assignment (as defined below), on March 24, 2022, the Company and ListCo entered into subscription agreements (including, as applicable, amended and restated PIPE Subscription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Agreements, the “March PIPE Subscription Agreements”) with the March PIPE Investors, which include certain affiliates and employees of Sponsor. Pursuant to the March PIPE Subscription Agreements, the March PIPE Investors have agreed to subscribe for approximately 2.8 million ListCo Class A ADSs (the “March PIPE Shares”) for an average price of approximately $9.57 per ListCo Class A ADS, reflecting an aggregate investment amount of approximately $27.2 million. The March PIPE Subscription Agreements are substantially similar to the PIPE Subscription Agreements.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Sponsor Subscription Agreement</w:t>
      </w:r>
      <w:r>
        <w:rPr>
          <w:rFonts w:ascii="Times New Roman" w:cs="Times New Roman" w:eastAsia="Times New Roman" w:hAnsi="Times New Roman"/>
          <w:sz w:val="18"/>
          <w:szCs w:val="18"/>
          <w:color w:val="auto"/>
        </w:rPr>
        <w:t>”) with Gores Guggenheim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the Sponsor Subscription Agreement, the Sponsor agreed to subscribe for an additional 9.08 million ListCo Class A ADSs for a purchase price of $9.09 per share on the date of Closing, for an aggregate investment of $82,500,000 (the “</w:t>
      </w:r>
      <w:r>
        <w:rPr>
          <w:rFonts w:ascii="Times New Roman" w:cs="Times New Roman" w:eastAsia="Times New Roman" w:hAnsi="Times New Roman"/>
          <w:sz w:val="18"/>
          <w:szCs w:val="18"/>
          <w:u w:val="single" w:color="auto"/>
          <w:color w:val="auto"/>
        </w:rPr>
        <w:t>Sponsor Investment Amount</w:t>
      </w:r>
      <w:r>
        <w:rPr>
          <w:rFonts w:ascii="Times New Roman" w:cs="Times New Roman" w:eastAsia="Times New Roman" w:hAnsi="Times New Roman"/>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Sponsor Subscription Agreement</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17, 2021, (i) the Sponsor assigned a portion of its commitment to purchase ListCo Class A ADSs, in an aggregate investment amount equaling approximately $63.0 million (the “</w:t>
      </w:r>
      <w:r>
        <w:rPr>
          <w:rFonts w:ascii="Times New Roman" w:cs="Times New Roman" w:eastAsia="Times New Roman" w:hAnsi="Times New Roman"/>
          <w:sz w:val="18"/>
          <w:szCs w:val="18"/>
          <w:u w:val="single" w:color="auto"/>
          <w:color w:val="auto"/>
        </w:rPr>
        <w:t>Sponsor Assignment</w:t>
      </w:r>
      <w:r>
        <w:rPr>
          <w:rFonts w:ascii="Times New Roman" w:cs="Times New Roman" w:eastAsia="Times New Roman" w:hAnsi="Times New Roman"/>
          <w:sz w:val="18"/>
          <w:szCs w:val="18"/>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March 24, 2022, (i) Sponsor assigned a portion of its commitment to purchase ListCo Class A ADSs, in an aggregate investment amount equaling approximately $11.4 million (the “March Sponsor Assignment”), to certain investors and (ii) the Company, ListCo and Sponsor amended the Sponsor Subscription Agreement to reflect the March Sponsor Assignment. As a result, pursuant to the Sponsor Subscription Agreement, as amended, Sponsor has agreed to subscribe for approximately 891,000 ListCo Class A ADSs for a purchase price of $9.09 per ListCo Class A ADS on the date of Closing, for an aggregate investment of approximately $8.1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Subscription Agreement</w:t>
      </w:r>
    </w:p>
    <w:p>
      <w:pPr>
        <w:spacing w:after="0" w:line="119"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7"/>
          <w:szCs w:val="17"/>
          <w:u w:val="single" w:color="auto"/>
          <w:color w:val="auto"/>
        </w:rPr>
        <w:t>Volvo Cars Subscription Agreement</w:t>
      </w:r>
      <w:r>
        <w:rPr>
          <w:rFonts w:ascii="Times New Roman" w:cs="Times New Roman" w:eastAsia="Times New Roman" w:hAnsi="Times New Roman"/>
          <w:sz w:val="17"/>
          <w:szCs w:val="17"/>
          <w:color w:val="auto"/>
        </w:rPr>
        <w:t>,” and, together with the PIPE Subscription Agreements and the Sponsor Subscription Agreement, the “</w:t>
      </w:r>
      <w:r>
        <w:rPr>
          <w:rFonts w:ascii="Times New Roman" w:cs="Times New Roman" w:eastAsia="Times New Roman" w:hAnsi="Times New Roman"/>
          <w:sz w:val="17"/>
          <w:szCs w:val="17"/>
          <w:u w:val="single" w:color="auto"/>
          <w:color w:val="auto"/>
        </w:rPr>
        <w:t>Subscription Agreements</w:t>
      </w:r>
      <w:r>
        <w:rPr>
          <w:rFonts w:ascii="Times New Roman" w:cs="Times New Roman" w:eastAsia="Times New Roman" w:hAnsi="Times New Roman"/>
          <w:sz w:val="17"/>
          <w:szCs w:val="17"/>
          <w:color w:val="auto"/>
        </w:rPr>
        <w:t>”) with Snita Holding B.V., a corporation organized under the laws of Netherlands (“</w:t>
      </w:r>
      <w:r>
        <w:rPr>
          <w:rFonts w:ascii="Times New Roman" w:cs="Times New Roman" w:eastAsia="Times New Roman" w:hAnsi="Times New Roman"/>
          <w:sz w:val="17"/>
          <w:szCs w:val="17"/>
          <w:u w:val="single" w:color="auto"/>
          <w:color w:val="auto"/>
        </w:rPr>
        <w:t>Snita</w:t>
      </w:r>
      <w:r>
        <w:rPr>
          <w:rFonts w:ascii="Times New Roman" w:cs="Times New Roman" w:eastAsia="Times New Roman" w:hAnsi="Times New Roman"/>
          <w:sz w:val="17"/>
          <w:szCs w:val="17"/>
          <w:color w:val="auto"/>
        </w:rPr>
        <w:t>”) and a wholly owned indirect subsidiary of Volvo Car AB (publ) (“</w:t>
      </w:r>
      <w:r>
        <w:rPr>
          <w:rFonts w:ascii="Times New Roman" w:cs="Times New Roman" w:eastAsia="Times New Roman" w:hAnsi="Times New Roman"/>
          <w:sz w:val="17"/>
          <w:szCs w:val="17"/>
          <w:u w:val="single" w:color="auto"/>
          <w:color w:val="auto"/>
        </w:rPr>
        <w:t>Volvo Cars</w:t>
      </w:r>
      <w:r>
        <w:rPr>
          <w:rFonts w:ascii="Times New Roman" w:cs="Times New Roman" w:eastAsia="Times New Roman" w:hAnsi="Times New Roman"/>
          <w:sz w:val="17"/>
          <w:szCs w:val="17"/>
          <w:color w:val="auto"/>
        </w:rPr>
        <w:t>”). Pursuant to the Volvo Cars Subscription Agreement, Snita agreed to subscribe for an</w:t>
      </w:r>
    </w:p>
    <w:p>
      <w:pPr>
        <w:spacing w:after="0" w:line="3"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60"/>
          </w:cols>
          <w:pgMar w:left="320" w:top="455" w:right="5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Volvo Cars Subscription Agreement, syndicate its commitment to acquire the ListCo Class A ADSs to be purchased under the Volvo Cars Subscription Agreement in advance of the closing of the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Volvo Cars Subscription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agreed to subscribe for approximately 2.70 million ListCo Class A ADSs for a purchase price of $10.00 per ListCo Class A ADS on the date of Closing, for an aggregate investment of approximately $27.0 million. Pursuant to the Volvo Cars Subscription Agreement, Snita had the right to assign its commitment to purchase the ListCo Class A ADSs under the Volvo Cars Subscription Agreement in advance of the Closing.</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24, 2022 (i) Snita assigned to certain investors a portion of its commitment to purchase ListCo Class A ADSs, in an aggregate investment amount equaling approximately $15.8 million (the “March Volvo Assignment,” and together with the March Sponsor Assignment, the “March PIPE Assignment”) (the investors who collectively were assigned commitments in the March PIPE Assignment, the “March PIPE Investors”) and (ii) the Company, ListCo and Snita amended the Volvo Car Subscription Agreement to reflect the March Volvo Assignment. As a result, pursuant to the Volvo Cars Subscription Agreement, as amended, Snita has agreed to subscribe for approximately 1.1 million ListCo Class A ADSs for a purchase price of $10.00 per ListCo Class A ADS on the date of Closing for an aggregate investment of approximately $11.2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entered into a subscription agreement (the “</w:t>
      </w:r>
      <w:r>
        <w:rPr>
          <w:rFonts w:ascii="Times New Roman" w:cs="Times New Roman" w:eastAsia="Times New Roman" w:hAnsi="Times New Roman"/>
          <w:sz w:val="18"/>
          <w:szCs w:val="18"/>
          <w:u w:val="single" w:color="auto"/>
          <w:color w:val="auto"/>
        </w:rPr>
        <w:t>Volvo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Cars Preference Subscription Agreement</w:t>
      </w:r>
      <w:r>
        <w:rPr>
          <w:rFonts w:ascii="Times New Roman" w:cs="Times New Roman" w:eastAsia="Times New Roman" w:hAnsi="Times New Roman"/>
          <w:sz w:val="18"/>
          <w:szCs w:val="18"/>
          <w:color w:val="auto"/>
        </w:rPr>
        <w:t>”) with Snita (the “</w:t>
      </w:r>
      <w:r>
        <w:rPr>
          <w:rFonts w:ascii="Times New Roman" w:cs="Times New Roman" w:eastAsia="Times New Roman" w:hAnsi="Times New Roman"/>
          <w:sz w:val="18"/>
          <w:szCs w:val="18"/>
          <w:u w:val="single" w:color="auto"/>
          <w:color w:val="auto"/>
        </w:rPr>
        <w:t>Volvo Cars Preference Subscriber</w:t>
      </w:r>
      <w:r>
        <w:rPr>
          <w:rFonts w:ascii="Times New Roman" w:cs="Times New Roman" w:eastAsia="Times New Roman" w:hAnsi="Times New Roman"/>
          <w:sz w:val="18"/>
          <w:szCs w:val="18"/>
          <w:color w:val="auto"/>
        </w:rPr>
        <w:t>”). Pursuant to the Volvo Cars Preference Subscription Agreement, the Volvo Cars Preference Subscriber agreed to subscribe for mandatory convertible preference shares of ListCo (the “</w:t>
      </w:r>
      <w:r>
        <w:rPr>
          <w:rFonts w:ascii="Times New Roman" w:cs="Times New Roman" w:eastAsia="Times New Roman" w:hAnsi="Times New Roman"/>
          <w:sz w:val="18"/>
          <w:szCs w:val="18"/>
          <w:u w:val="single" w:color="auto"/>
          <w:color w:val="auto"/>
        </w:rPr>
        <w:t>ListCo Preference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an aggregate subscription price of $10.00 per share, for an aggregate investment amount equal to approximately $498,000,000 (the “</w:t>
      </w:r>
      <w:r>
        <w:rPr>
          <w:rFonts w:ascii="Times New Roman" w:cs="Times New Roman" w:eastAsia="Times New Roman" w:hAnsi="Times New Roman"/>
          <w:sz w:val="18"/>
          <w:szCs w:val="18"/>
          <w:u w:val="single" w:color="auto"/>
          <w:color w:val="auto"/>
        </w:rPr>
        <w:t>Volvo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Cars PIPE Investment Amount</w:t>
      </w:r>
      <w:r>
        <w:rPr>
          <w:rFonts w:ascii="Times New Roman" w:cs="Times New Roman" w:eastAsia="Times New Roman" w:hAnsi="Times New Roman"/>
          <w:sz w:val="18"/>
          <w:szCs w:val="18"/>
          <w:color w:val="auto"/>
        </w:rPr>
        <w:t>”). On March 24, 2022, ListCo and Snita entered into an amendment to the Volvo Cars Preference Subscription Agreement to increase the aggregate Volvo Cars Preference Investment Amount to $588,826,100.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Parent Lock-Up Agreement</w:t>
      </w:r>
    </w:p>
    <w:p>
      <w:pPr>
        <w:spacing w:after="0" w:line="117"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Parent, ListCo and the other Parent shareholders party thereto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have entered into that Parent Lock-Up Agreement (the “</w:t>
      </w:r>
      <w:r>
        <w:rPr>
          <w:rFonts w:ascii="Times New Roman" w:cs="Times New Roman" w:eastAsia="Times New Roman" w:hAnsi="Times New Roman"/>
          <w:sz w:val="18"/>
          <w:szCs w:val="18"/>
          <w:u w:val="single" w:color="auto"/>
          <w:color w:val="auto"/>
        </w:rPr>
        <w:t>Parent Lock-Up Agreement</w:t>
      </w:r>
      <w:r>
        <w:rPr>
          <w:rFonts w:ascii="Times New Roman" w:cs="Times New Roman" w:eastAsia="Times New Roman" w:hAnsi="Times New Roman"/>
          <w:sz w:val="18"/>
          <w:szCs w:val="18"/>
          <w:color w:val="auto"/>
        </w:rPr>
        <w:t>”). Pursuant to the</w:t>
      </w: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Parent Lock-Up Agreement, each Parent Shareholder has, subject to certain exceptions, among other things, agreed to not transfer any equity security of ListCo issued to them pursuant to the Business Combination Agreement or other transaction documents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contemplated by the Business Combination Agreement during the period commencing the date of Closing and ending 180 days following the date of the Closing, in each case subject to the terms and conditions set forth therein.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Sponsor and Supporting Sponsor Stockholders Lock-Up Agreement</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Sponsor, the Company, Parent, ListCo and certain of the Company’s directors, executive officers and affiliates (such individuals, the “</w:t>
      </w:r>
      <w:r>
        <w:rPr>
          <w:rFonts w:ascii="Times New Roman" w:cs="Times New Roman" w:eastAsia="Times New Roman" w:hAnsi="Times New Roman"/>
          <w:sz w:val="18"/>
          <w:szCs w:val="18"/>
          <w:u w:val="single" w:color="auto"/>
          <w:color w:val="auto"/>
        </w:rPr>
        <w:t>Supporting Sponsor Stockholders</w:t>
      </w:r>
      <w:r>
        <w:rPr>
          <w:rFonts w:ascii="Times New Roman" w:cs="Times New Roman" w:eastAsia="Times New Roman" w:hAnsi="Times New Roman"/>
          <w:sz w:val="18"/>
          <w:szCs w:val="18"/>
          <w:color w:val="auto"/>
        </w:rPr>
        <w:t>”) have entered into a Sponsor and Supporting Sponsor Stockholders Lock-Up Agreement (the “</w:t>
      </w:r>
      <w:r>
        <w:rPr>
          <w:rFonts w:ascii="Times New Roman" w:cs="Times New Roman" w:eastAsia="Times New Roman" w:hAnsi="Times New Roman"/>
          <w:sz w:val="18"/>
          <w:szCs w:val="18"/>
          <w:u w:val="single" w:color="auto"/>
          <w:color w:val="auto"/>
        </w:rPr>
        <w:t>Sponsor and Supporting Sponsor Stockholders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spacing w:after="0" w:line="3"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Sponsor and Supporting Stockholders Lock-Up Agreement</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Sponsor and Supporting Sponsor Stockholders Lock-Up Agreement entered into Amendment No. 1 to the Sponsor and Supporting Sponsor Stockholders Lock-Up Agreement (the “Lock-Up Agreement Amendment No. 1”). The Lock-Up Agreement Amendment No. 1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March 24, 2022, the parties to the Sponsor and Supporting Sponsor Stockholders Lock-Up Agreement entered into Amendment No. 2 to the Sponsor and Supporting Sponsor Stockholders Lock-Up Agreement (“Lock-Up Agreement Amendment No. 2”). Lock-Up Agreement Amendment No. 2 provides for amendments to the Sponsor and Supporting Sponsor Stockholders Lock-Up Agreement to increase the amount of Company Class F Common Stock (“Company Class F Common Stock”) that will be cancelled by the Company in connection with the Closing from 1,533,873 shares of Company Class F Common Stock to 1,540,835 shares of Company Class F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Parent, the Parent Shareholders, Sponsor and the independent directors of the Company (such persons, together with Sponsor and the Parent Holders,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have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Registration Rights Agreement</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17, 2021, the parties to the Registration Rights Agreement entered into Amendment No. 1 to the Registration Rights Agreement (the “Registration Rights Agreement Amendment No.1”), to provide for certain administrative changes to reflect the BCA Amendment and the New PIPE Subscription Agreements.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March 24, 2022, the parties to the Registration Rights Agreement entered into Amendment No. 2 to the Registration Rights Agreement (the “Registration Rights Agreement Amendment No.2”), to provide for certain administrative changes to reflect BCA Amendment No. 2 and the March PIPE Subscription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Warrant Assumption Agreement</w:t>
      </w:r>
    </w:p>
    <w:p>
      <w:pPr>
        <w:spacing w:after="0" w:line="11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the Company, ListCo and 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will enter into a Warrant Assignment, Assumption and Amendment Agreement (the “</w:t>
      </w:r>
      <w:r>
        <w:rPr>
          <w:rFonts w:ascii="Times New Roman" w:cs="Times New Roman" w:eastAsia="Times New Roman" w:hAnsi="Times New Roman"/>
          <w:sz w:val="18"/>
          <w:szCs w:val="18"/>
          <w:u w:val="single" w:color="auto"/>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prior to the Closing. The Warrant Assumption Agreement will amend the Warrant Agreement, dated March 22, 2021, by and among the Company and the Warrant Agent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Upon close of the Public Offering and the sale of the Private Placement Warrants, an aggregate of $800,000,000 was placed in a Trust Account with Computershare (the “Trust Account”) acting as Trustee.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finance a Business Combination with the net proceeds from its $800,000,000 Public Offering and its sale of $18,000,000 of Private Placement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Trust Account</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Funds held in the Trust Account can be invested only in U.S. government treasury bills with a maturity of one hundred and eighty-five (185) days or less or in money market funds meeting certain conditions under Rule 2a-7 under the Investment Company Act of 1940 (the “Investment Company Act”), as amended, that invest only in direct U.S. government obligations. As of March 31, 2022, the Trust Account consisted of money market funds.</w:t>
      </w:r>
    </w:p>
    <w:p>
      <w:pPr>
        <w:spacing w:after="0" w:line="15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other than the withdrawal of interest to fund regulatory compliance requirements and other costs related thereto, subject to an annual limit of $900,000 (a “Regulatory Withdrawal”)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 substance or timing of the Company’s obligation to redeem 100% of such public shares of common stock if the Company does not complete the Business Combination by March 25, 2023; or</w:t>
      </w:r>
    </w:p>
    <w:p>
      <w:pPr>
        <w:spacing w:after="0" w:line="5" w:lineRule="exact"/>
        <w:rPr>
          <w:sz w:val="20"/>
          <w:szCs w:val="20"/>
          <w:color w:val="auto"/>
        </w:rPr>
      </w:pPr>
    </w:p>
    <w:p>
      <w:pPr>
        <w:ind w:left="120" w:right="220" w:hanging="4"/>
        <w:spacing w:after="0" w:line="260" w:lineRule="auto"/>
        <w:tabs>
          <w:tab w:leader="none" w:pos="4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public shares of common stock if the Company is unable to complete a Business Combination by March 25, 2023, subject to the requirements of law and stock exchange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Public Offering, although substantially all of the net proceeds of the Public Offering are intended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any deferred underwriting commissions and taxes payable on interest earned) at the time of the Company signing a definitive agreement in connection with the Business Combination. Furthermore, there is no assurance that the Company will be able to successfully effect a Business Combination.</w:t>
      </w:r>
    </w:p>
    <w:p>
      <w:pPr>
        <w:spacing w:after="0" w:line="180"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but less taxes payable and any Regulatory Withdrawals, or</w:t>
      </w:r>
    </w:p>
    <w:p>
      <w:pPr>
        <w:spacing w:after="0" w:line="3" w:lineRule="exact"/>
        <w:rPr>
          <w:sz w:val="20"/>
          <w:szCs w:val="20"/>
          <w:color w:val="auto"/>
        </w:rPr>
      </w:pPr>
    </w:p>
    <w:p>
      <w:pPr>
        <w:ind w:left="120" w:hanging="4"/>
        <w:spacing w:after="0" w:line="251" w:lineRule="auto"/>
        <w:tabs>
          <w:tab w:leader="none" w:pos="3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consummation of the Business Combination, including interest but less taxes payable and any Regulatory Withdrawals.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Currently, the Company will not redeem its public shares of Class A Common Stock in an amount that would cause its net tangible assets to be less than $5,000,001. In such case, the Company would not proceed with the redemption of its public shares of Class A Common Stock and the related Business Combination, and instead may search for an alternate Business Combination. For business and other reasons, the Company has elected to provide its stockholders with the opportunity to have their public shares redeemed in connection with a stockholder vote to approve the Proposed Business Combination rather than a tender offer.</w:t>
      </w:r>
    </w:p>
    <w:p>
      <w:pPr>
        <w:spacing w:after="0" w:line="192"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redemption provisions, the public shares of common stock are recorded at redemption amount and classified as temporary equity, in accordance with Financial Accounting Standards Board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(“ASC 480”).</w:t>
      </w:r>
    </w:p>
    <w:p>
      <w:pPr>
        <w:spacing w:after="0" w:line="176"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(“U.S. GAAP”) and pursuant to the accounting and disclosure rules and regulations of the Securities and Exchange Commission (“SEC”), and reflect all adjustments, consisting only of normal recurring adjustments, which are, in the opinion of management, necessary for a fair presentation of the financial position as of March 31, 2022 and the results of operations and cash flows for the periods presented. Operating results for the three months ended March 31, 2022, are not necessarily indicative of results that may be expected for the full year or any other period. The accompanying unaudited, condensed financial statements should be read in conjunction with the Company’s audited financial statements included in the Company’s Annual Report on Form 10-K filed with the SEC on March 4, 2022.</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Income/(Loss) Per Common Share</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F Common Stock (the “Founder Shares”). Earnings and losses are shared pro rata between the two classes of shares. This presentation assumes a business combination as the most likely outcome. Private and Public warrants to purchase 25,000,000 shares of Common Stock at $11.50 per share were issued on March 25, 2021. At March 31, 2022 and December 31, 2021, no warrants have been exercised. The 25,000,000 potential common shares for outstanding warrants to purchase the Company’s stock were excluded from diluted earnings per share for the three months ended March 31, 2022 and 2021 because the warrants are contingently exercisable, and the contingencies have not yet been met. As a result, diluted net income/(loss) per common share is the same as basic net income/(loss) per common share for the period. The table below presents a reconciliation of the numerator and denominator used to compute basic and diluted net income/(loss) per share for each class of common stock:</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5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5"/>
                <w:szCs w:val="15"/>
                <w:color w:val="auto"/>
              </w:rPr>
            </w:pPr>
          </w:p>
        </w:tc>
        <w:tc>
          <w:tcPr>
            <w:tcW w:w="25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income/(loss) per share:</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Allocation of net income/(loss) including accretion of temporary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12,134,254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3,033,563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(18,506,117)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(38,003,633)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5,833,333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11,979,167</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346"/>
        </w:trPr>
        <w:tc>
          <w:tcPr>
            <w:tcW w:w="582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F-41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Topic 820, “Fair Value Measurements and Disclosures,” (“ASC 820”) approximates the carrying amounts represented in the balance sheets, except for the derivative warrant liabilities (see Note 7).</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evaluated the Warrants (as defined below in Note 3 – Public Offering) and Private Placement Warrants (as defined below in Note 4</w:t>
      </w:r>
    </w:p>
    <w:p>
      <w:pPr>
        <w:spacing w:after="0" w:line="2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 xml:space="preserve">– Related Party Transactions) (collectively, “Warrant Securities”), and any forward purchase agreements in accordance with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and concluded that the Warrant Securities and any forward purchase agreements could not be accounted for as components of equity.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 Securities and any forward purchase agreements meet the definition of a derivative in accordance with ASC 815, the Warrant Securities and any forward purchase agreements are recorded as derivative liabilities on the Balance Sheet and measured at fair value at inception (the Close Date) and remeasured at each reporting date in accordance with ASC 820, “Fair Value Measurement”, with changes in fair value recognized in the Statement of Operations in the period of 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FASB ASC Topic 340-10-S99-1, “Other Assets and Deferred Costs – SEC Materials” (“ASC 340-10-S99”) and SEC Staff Accounting Bulletin (SAB) Topic 5A – “Expenses of Offering”. Offering costs were $44,757,840 (including $44,000,000 in underwriters’ fees) consisting principally of professional and registration fees incurred through the balance sheet date that are related to the Public Offering and are charged to equity upon the completion of the Public Offering. Since the Company is required to classify the warrants as derivative liabilities, offering costs totaling $832,496 are reflected as an expense in the statements of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discussed in Note 3, all of the 80,000,000 shares of Class A Common Stock sold as part of the Units in the Public Offering contain a redemption feature which allows for the redemption of common stock under the redemption and repurchase provisions of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 As of March 31, 2022 and December 31, 2021, all deferred tax assets were offset by a full valuation allowance.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5"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March 31, 2022 and December 31, 2021.</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required to pay franchise taxes to the State of Delaware on an annual basis.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had no cash equivalents as of March 31, 2022 and December 31, 2021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and Cash Held in Trust Account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held in the Trust Account is comprised of U.S. treasury securities, within the meaning set forth in Section 2(a)(16) of the Investment Company Act, with a maturity of 185 days or less, or investments in money market funds that invest in U.S. treasury securities, or a combination thereof. The Company’s investments held in the Trust Account are presented on the Balance Sheet at fair value at the end of each reporting period.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March 31, 2022 and December 31, 2021, the Company had $800,136,676 and $800,056,447, respectively, in the Trust Account which may be utilized for Business Combinations. At March 31, 2022 and December 31, 2021, the Trust Account consisted of money market funds, which are presented at fair value.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 Consideration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does not complete its Business Combination by March 25, 2023, the Company will (i) cease all operations except for the purpose of winding up, (ii) as promptly as reasonably possible but not more than ten 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at March 31, 2022 and December 31, 2021, the Company had current liabilities of $89,649,812 and $104,929,383, respectively, and a working capital deficit of ($88,062,011) and ($103,149,599),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March 31, 2022 and amounts are continuing to accrue. In order to finance ongoing costs, the Sponsor or an affiliate of the Sponsor may, but are not obligated to, provide the Company with additional working capital via a Sponsor Loan (see Note 4). Additionally, the warrant liability will not impact the Company’s liquidity until a Business Combination has been consummated, as they do not require cash settlement until such event has occurred.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borrowing capacity from the Sponsor or an affiliate of the Sponsor, or certain of the Company’s officers and directors to meet its working capital needs through the earlier of the consummation of a Business Combination or one year from this filing. However, in connection with the company’s assessment of going concern considerations in accordance with FASB Accounting Standards Update (“ASU”) 2014-15, “Disclosures of Uncertainties about an Entity’s Ability to Continue as a Going Concern,” management has determined that the liquidity condition and mandatory liquidation and subsequent dissolution raises substantial doubt about the company’s ability to continue as a going concern. No adjustments have been made to the carrying amounts of assets or liabilities should the Company be required to liquidate after March 25, 2023. The financial statements do not include any adjustment that might be necessary if the company is unable to continue as a going concern. Management intends to complete the Business Combination prior to the liquidation date.</w:t>
      </w:r>
    </w:p>
    <w:p>
      <w:pPr>
        <w:spacing w:after="0" w:line="336"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25, 2021, the Company sold 75,000,000 units at a price of $10.00 per unit (the “Units), generating gross proceeds of $750,000,000. Subsequently, the underwriters partially exercised their over-allotment option to purchase 5,000,000 newly issued units, and the closing of the sale of the additional Units pursuant to such exercise occurred on April 22, 2021. The issuance by the Company of 5,000,000 Over-Allotment Option Units at a price of $10.00 per unit resulted in gross proceeds of $50,000,000. The remainder of the over-allotment option expired on May 9, 2021. Each Unit consists of one share of the Company’s Class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Common Stock (the “public shares”), and one-fifth of one redeemable common stock purchase warrant (the “Warrants”).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24-month period allotted to complete the Business Combination, the Warrants will expire at the end of such period.</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 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 April 22, 2021. The issuance by the Company of 5,000,000 Over-Allotment Option Units at a price of $10.00 per unit resulted in gross proceeds of $50,000,000. The remainder of the over-allotment option expired on May 9, 2021.</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paid an upfront underwriting discount of 2.00% ($15,000,000) of the per Unit offering price to the underwriters at the closing of the Public Offering, with an additional fee (the “Deferred Discount”)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 The public warrants issued as part of the Units are accounted for as liabilities as there are terms and features do not qualify for equity classification in FASB ASC Topic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The fair value of the public warrants at December 31, 2021 was a liability of $61,440,000. At March 31, 2022, the fair value has decreased to $50,720,000. The change in fair value of $10,720,000 is reflected as a gain in the statements of operations.</w:t>
      </w:r>
    </w:p>
    <w:p>
      <w:pPr>
        <w:spacing w:after="0" w:line="18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and December 31, 2021, the Class A Common Stock reflected on the balance sheet are reconciled in the following table.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accretion of carrying value to redemption value was fully recognized by June 30, 2021. There has been no additional accretion since: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(14,880,000)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Class A shares issuance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(43,925,343)</w:t>
            </w: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carrying value to redemption</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58,805,343</w:t>
            </w:r>
          </w:p>
        </w:tc>
        <w:tc>
          <w:tcPr>
            <w:tcW w:w="3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58,805,343</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Contingently redeemable Class A Common</w:t>
            </w:r>
          </w:p>
        </w:tc>
        <w:tc>
          <w:tcPr>
            <w:tcW w:w="5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800,000,000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4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48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sale of the Founders Shares is in the scope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March 31, 2022,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“Private Placement Warrants”). On April 22, 2021, substantially concurrently with the sale of the Over-allotment Option Units, the Company completed a private placement with the Sponsor for an additional 500,000 warrants at a price of $2.00 per warrant (the “Additional Private Placement Warrants”), generating gross proceeds of $1,000,000. Each Private Placement Warrant entitles the holder to purchase one share of Class A Common Stock at $11.50 per share. A portion of the purchase price of the Private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Placement Warrants was added to the proceeds from the Public Offering to be held in the Trust Account pending completion of the Business Combination.</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76"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holders of Founder Shares, Private Placement Warrants and Warrants issued upon the conversion of working capital loans, if any, hold registration rights (in the case of the Founder Shares, only after conversion of such shares to shares of Class A Common Stock) pursuant to a registration rights agreement entered into by the Company, the Sponsor and the other security holders named therein on March 25, 2021. These holders will be entitled to certain demand and “piggyback” registration rights. The Company will bear the expenses incurred in connection with the filing of any such registration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Loan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Public Offering, the Sponsor loaned the Company an aggregate of $300,000 by the issuance of an unsecured promissory note (the “Note”)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 This facility is no longer available.</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March 31, 2022, the net amount advanced by Sponsor to the Company was $2,500,000.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Company entered into an administrative services agreement pursuant to which it agreed to pay to an affiliate of the Sponsor $20,000 per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2022 and March 31, 2021, the Company incurred and paid the affiliate $60,000 and $5,486, respectively.</w:t>
      </w:r>
    </w:p>
    <w:p>
      <w:pPr>
        <w:spacing w:after="0" w:line="370"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Underwriting Compensation</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during interim periods is based on applying an estimated annual effective income tax rate to year-to-date income, plus any significant unusual or infrequently occurring items which are recorded in the interim period. The Company’s effective tax rates differ from the federal statutory rate primarily due to the fair value on instruments treated as debt for U.S. GAAP and equity for tax purposes, which is not deductible for income tax purposes, for 2022.</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computation of the annual estimated effective tax rate at each interim period requires certain estimates and significant judgment including, but not limited to, the expected operating income for the year, projections of the proportion of income earned and taxed in various jurisdictions, permanent and temporary differences, and the likelihood of recovering deferred tax assets generated in the current year. The accounting estimates used to compute the provision for income taxes may change as new events occur, more experience is obtained, additional information becomes known or as the tax environment changes.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 has evaluated tax positions taken or expected to be taken in the course of preparing the financial statements to determine if the tax positions are “more likely than not” of being sustained by the applicable tax authority. Tax positions not deemed to meet the “more likely than not” threshold would be recorded as a tax benefit or expense in the current year. The Company has concluded that there was no impact related to uncertain tax positions on the results of its operations for the period ended March 31, 2022. As of March 31, 2022, the Company has no accrued interest or penalties related to uncertain tax positions. The Company is currently not aware of any issues under review that could result in significant payments, accruals or material deviation from its position. The Company’s conclusions regarding tax positions will be subject to review and may be adjusted at a later date based on factors including, but not limited to, ongoing analyses of tax laws, regulations, and interpretations thereof.</w:t>
      </w:r>
    </w:p>
    <w:p>
      <w:pPr>
        <w:spacing w:after="0" w:line="333"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complies with ASC 820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and March 31, 2021 was derived from observable public warrant pricing on comparable ‘blank-check’ companies that recently went public. At March 31, 2022, there were observable transactions in the Company’s public warrants. The risk-free interest rate is based on the interpolated U.S. Constant Maturity Treasury yield. The expected term of the warrants is assumed to be six months until the close of a Business Combination, and the contractual five year term subsequently. The dividend rate is based on the historical rate, which the Company anticipates to remain at zero. At March 31, 2022, the Public Warrants had adequate trading volume to provide a reliable indication of value. The Public Warrants were valued at $3.17 at March 31, 2022.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Warrants are measured at fair value on a recurring basis. The subsequent measurement of the Public and Private Warrants as of March 31, 2022, is classified as Level 1 and Level 2, respectively, due to the use of both observable inputs in an active market as well as quoted prices in active markets for similar assets and liabilities.</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aggregate values of the Private Placement Warrants and Public Warrants were approximately $28.5 million and approximately $50.7 million, respectively, based on the closing price of GGPIW on that date of $3.17.</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aggregate values of the Private Placement Warrants and Public Warrants were approximately $34.6 million and approximately $61.4 million, respectively, based on the closing price of GGPIW on that date of $3.84.</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March 31, 2022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660" w:type="dxa"/>
            <w:vAlign w:val="bottom"/>
            <w:gridSpan w:val="2"/>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$800,136,676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$ 800,136,676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2900" w:type="dxa"/>
            <w:vAlign w:val="bottom"/>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(50,720,000)</w:t>
            </w:r>
          </w:p>
        </w:tc>
        <w:tc>
          <w:tcPr>
            <w:tcW w:w="1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(50,720,000)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 (28,530,000)</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(28,530,000)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1"/>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660" w:type="dxa"/>
            <w:vAlign w:val="bottom"/>
            <w:gridSpan w:val="2"/>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$800,056,447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$ 800,056,447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2900" w:type="dxa"/>
            <w:vAlign w:val="bottom"/>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(61,440,000)</w:t>
            </w:r>
          </w:p>
        </w:tc>
        <w:tc>
          <w:tcPr>
            <w:tcW w:w="1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(61,440,000)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 (34,560,000)</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(34,560,000)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There were no transfers to/from Level 1, 2, and 3 in the periods ended March 31, 2022 and 2021.</w:t>
      </w:r>
    </w:p>
    <w:p>
      <w:pPr>
        <w:spacing w:after="0" w:line="306"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400,000,000 shares of Class A Common Stock, par value $0.0001 per share, and 40,000,000 shares of Class F Common Stock, par value $0.0001 per share. Holders of the Company’s common stock are entitled to one vote for each share of common stock. At March 31, 2022, and December 31, 2021 there were 80,000,000 shares of Class A Common Stock (all classified as temporary equity) and 20,000,000 shares of Class F Common Stock issued and outstanding.</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 other rights and preferences as may be determined from time to time by the Board of Directors. At March 31, 2022 and December 31, 2021, there were no shares of preferred stock issued or outstanding.</w:t>
      </w:r>
    </w:p>
    <w:p>
      <w:pPr>
        <w:spacing w:after="0" w:line="320"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and Uncertainties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Additionally, 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the Company’s ability to complete a business combination.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the Company’s ability to complete a business combination and the value of the Company’s securities. The financial statements do not include any adjustments that might result from the outcome of this uncertainty.</w:t>
      </w:r>
    </w:p>
    <w:p>
      <w:pPr>
        <w:spacing w:after="0" w:line="334"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interim, condensed financial statements were issued. Based upon this review, the Company did not identify any subsequent events that would have required adjustment or disclosure in the unaudited, interim, condensed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5" w:right="5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Consolidated Financial Statements for the Years Ended December 31, 2021, 2020 and 2019</w:t>
      </w:r>
    </w:p>
    <w:p>
      <w:pPr>
        <w:spacing w:after="0" w:line="1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0139"/>
          </w:cols>
          <w:pgMar w:left="320" w:top="455"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Polestar Automotive Holding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financial position of Polestar Automotive Holding Limited (the “Company”) as of December 31, 2021 and 2020, the related consolidated statements of loss and comprehensive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(IFRS) as issued by the International Accounting Standards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for the years ended December 31, 2021, 2020 and 2019, have been prepared assuming that the Company will continue as a going concern. As discussed in Note 1 to the financial statements, the Company’s recurring losses from operations raise substantial doubt about its ability to continue as a going concern. Management’s plans concerning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Notes 1 and 4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revenue primarily consists of revenue from the sales of vehicles, which are sold to individuals (end customers), fleet customers, financial service providers, and dealers based on contractual agreements. The Company recognizes revenue at the point in time when the customer obtains control of the vehicle, and thus has the ability to direct the use of, and obtain the benefits from, the vehicle. During the year ended December 31, 2021, the Company recognized approximately $1,290 million of revenue related to sales of vehicles.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related to the sales of vehicles as a critical audit matter because of the nature of the various agreements and the complexity of certain terms in these contracts, such as the existence of repurchase commitments. This required both extensive audit effort due to the variation in terms between, and complexity of some of the contracts, as well as a high degree of auditor judgment in determining the audit procedures as well as the nature and extent of audit evidence required to determine that revenue recognition was appropriate.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disclosed by management, the Company identified a material weakness in its internal controls over revenue recognition, which impacted this matter.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also included evaluating the nature and extent of audit procedures performed. Our audit procedures related to revenue recognized for the sale of vehicles included, but were not limited to:</w:t>
      </w:r>
    </w:p>
    <w:p>
      <w:pPr>
        <w:spacing w:after="0" w:line="203" w:lineRule="exact"/>
        <w:rPr>
          <w:sz w:val="20"/>
          <w:szCs w:val="20"/>
          <w:color w:val="auto"/>
        </w:rPr>
      </w:pPr>
    </w:p>
    <w:p>
      <w:pPr>
        <w:ind w:left="540" w:right="400" w:hanging="316"/>
        <w:spacing w:after="0" w:line="282" w:lineRule="auto"/>
        <w:tabs>
          <w:tab w:leader="none" w:pos="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obtained an understanding of management’s process for identifying and reviewing contracts with customers and determining the revenue recognition treatment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right="380" w:hanging="316"/>
        <w:spacing w:after="0" w:line="266" w:lineRule="auto"/>
        <w:tabs>
          <w:tab w:leader="none" w:pos="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with customers, we obtained the contract and reviewed the contract for those terms that could impact the appropriateness of revenue recognition. For those contracts identified with complex terms, we evaluated whether the Company appropriately accounted for those contracts in accordance with IFRS 15.</w:t>
      </w:r>
    </w:p>
    <w:p>
      <w:pPr>
        <w:spacing w:after="0" w:line="202"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detail transaction testing for a sample of revenue, by obtaining and inspecting sales orders or contracts with the customer and other related source documents, including delivery documents, invoices and cash receipts, as applicable, to determine that control has transferred to the customer</w:t>
      </w:r>
    </w:p>
    <w:p>
      <w:pPr>
        <w:spacing w:after="0" w:line="81"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audit evidence obtained throughout our audit as to whether there is any wider information relevant to the point in time at which the Company recognizes revenue</w:t>
      </w:r>
      <w:r>
        <w:rPr>
          <w:rFonts w:ascii="Times New Roman" w:cs="Times New Roman" w:eastAsia="Times New Roman" w:hAnsi="Times New Roman"/>
          <w:sz w:val="18"/>
          <w:szCs w:val="18"/>
          <w:i w:val="1"/>
          <w:iCs w:val="1"/>
          <w:color w:val="auto"/>
        </w:rPr>
        <w: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5" w:right="4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except per share data and unless otherwise stated)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92,415</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(1,336,321)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(553,724)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(39,790)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56,521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52,625</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(232,922)</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(183,849)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(48,053)</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(190,994)</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(21,192)</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(471,323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(1,007,454)</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(484,858)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(197,975)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(33,149)</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30,266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30,266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the year ended December 31,</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83"/>
        </w:trPr>
        <w:tc>
          <w:tcPr>
            <w:tcW w:w="8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and goodwill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1,368,356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1,171,337</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9, 13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208,193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Vehicles under 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1,702,707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1,376,607</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756,677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316,424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Marketable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receivables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99,250</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receivables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208,444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income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tax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1,606,986</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1,171,957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2,548,564</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(1,865,909)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(1,318,752)</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contributed capital</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(35,231)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reserve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16,784</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(16,365)</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1,761,860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754,406</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(122,496)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(580,711)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(28,922)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(12,424)</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(6,548)</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provisions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(38,711)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(18,537)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interest-bearing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(66,575)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(61,840)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(146,481)</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(99,661)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(114,296)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(67,985)</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payables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(1,427,678)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(1,077,423)</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 related parties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(315,756)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(104,997)</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 payments from customers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(36,415)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(25,586)</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(44,042)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(35,579)</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to credit institutions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(642,338)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(363,490)</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tax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(13,089)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(9,671)</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(10,283)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(11,187)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21, 23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(13,789)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(58,368)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(4,648)</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(364,662)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(167,626)</w:t>
            </w:r>
          </w:p>
        </w:tc>
      </w:tr>
      <w:tr>
        <w:trPr>
          <w:trHeight w:val="27"/>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(3,040,716)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(1,868,192)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(3,187,197)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(1,967,853)</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(2,548,564)</w:t>
            </w:r>
          </w:p>
        </w:tc>
      </w:tr>
      <w:tr>
        <w:trPr>
          <w:trHeight w:val="20"/>
        </w:trPr>
        <w:tc>
          <w:tcPr>
            <w:tcW w:w="8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(1,007,454)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(484,858)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239,164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216,077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32,552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(reversals) for warranties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63,114</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35,984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(32,969)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(16,226)</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21,192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disposals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(169,816)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(428,067)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(20,801)</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(120,626)</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(268,004)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519,676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764,661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46,471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(12,564)</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(312,156)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(190,059)</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(71,784)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(104,971)</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(194,108)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(213,664)</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(285,448)</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48,830</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134,681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205,681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698,882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569,087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388,625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(411,950)</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(780,167)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(365,840)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582,388</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438,340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247,880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909,572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359,643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475,407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440,253</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80,226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(18,860)</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236,198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236,198</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5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left w:val="single" w:sz="8" w:color="auto"/>
            </w:tcBorders>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(197,975)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247,880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247,880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879,232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(13,901)</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(274,169)</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591,162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(484,858)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(879,232)</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438,340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438,340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1,318,752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16,365</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(754,406)</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(1,007,454)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547,157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1,865,909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(1,761,860)</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Automotive Holding Limited (the “Parent”), together with its subsidiaries, hereafter referred to as “Polestar,” “Polestar Group” or the “Group,” is a limited company incorporated in Hong Kong. Polestar Group operates principally in the automotive industry, engaging in research and development, manufacturing, branding and marketing, and the commercialisation and selling of vehicles, technology solutions and services related to battery electric vehicles. Polestar Group has a presence in nineteen markets across Europe, North America, and Asia. Polestar Group has its management headquarters located at Assar Gabrielssons väg 9, 41878 Göteborg, Sweden.</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September 2020, a common control transaction restructured Polestar Group such that the parent company changed from Polestar Automotive (Shanghai) Co., Ltd (incorporated in the People’s Republic of China) to Polestar Automotive Holding Limited (incorporated in Hong Kong). Refer to Note 3 – Common control transaction for more details.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operations remained unchanged through this transaction. However, the jurisdiction changed from China to Hong Kong and the reporting currency changed from the Renminbi (“CNY”), the official currency of the People’s Republic of China, to the United States dollar (“USD”). The reporting currency of Polestar Group is the same as the currency of the registered share capital of the parent company.</w:t>
      </w:r>
    </w:p>
    <w:p>
      <w:pPr>
        <w:spacing w:after="0" w:line="17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September 27, 2021, Polestar Group entered into a business combination agreement with Gores Guggenheim Inc., a Special Purpose Acquisition Company (“SPAC”). Immediately following the closing of the proposed transaction, the post-combination company intends to change its name to Polestar Automotive Holding UK Limited and expects to begin trading on the National Association of Securities Dealers Automated Quotations (“NASDAQ”) under the ticker symbol “PSNY.”</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2021, PSD Investment Limited, a company controlled by Mr. Li Shufu, a private person, owns 42.7% of the Group. An additional 49.5% is owned by Volvo Cars via its subsidiaries Snita Holding B.V. and PS Investment AB, both limited companies. Other related parties and management own 1.8%, and the remaining 6.0% ownership is held by external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annual report of Polestar Group are prepared in accordance with the International Financial Reporting Standards (“IFRS”) issued by the International Accounting Standards Board (“IASB”). The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annual report is prepared in the presentation currency USD.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Polestar Group’s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2021, 2020 and 2019, amounted to $1,007,454, $484,858 and $197,975, respectively. Negative operating and investing cash flows for the years ended December 31, 2021, 2020 and 2019, amounted to $441,828, $300,757 and $475,507.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private equity contributions from existing shareholders, and the successful public listing in the United States from a merger with a SPAC that is expected to be completed in the first half of 2022. The timely realisation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8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new and amended IFRS</w:t>
      </w:r>
    </w:p>
    <w:p>
      <w:pPr>
        <w:spacing w:after="0" w:line="1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has not or will not have a material impact on the Group’s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IASB published an amendment to IFRS 16 – Leases (“IFRS 16”) – COVID-19-Related Rent Concessions in which they provide an accounting policy choice to lessees to apply practical relief for rent concessions arising due to the COVID-19 pandemic. The practical expedient permits a lessee to elect not to assess whether a COVID-19-related rent concession is a lease modification and instead account for any change in lease payments resulting from the COVID-19-related rent concessions as it would under IFRS 16 – Leases, if the change were not a lease modification. In March 2021, the IASB published an amendment to IFRS 16 for Covid-19-related rent concessions beyond June 30, 2021 that extends the applicability of the 2020 amendment to IFRS 16.</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August 2020, the IASB published Interest Rate Benchmark Reform Phase 2 (Amendments to IFRS 9 – Financial Instruments (“IFRS 9”), IAS 39, IFRS 7, IFRS 4 – Insurance Contracts (“IFRS 4”) and IFRS 16), finalising its response to the ongoing reform of interest rate benchmarks around the world. The amendments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relate to changes to contractual cash flows, hedge accounting, and disclosures. For changes to contractual cash flows, a company is not required to derecognise or adjust the carrying amount of a financial instrument for changes required by the interest rate benchmark reform but will instead update the effective interest rate to reflect the change to the alternative benchmark rate. Related to hedge accounting, a company does not have to discontinue its hedge accounting solely because it makes changes required by the interest rate benchmark reform if the hedge meets other hedge accounting criteria. Amendments to disclosure requirements aim to assist reporting entities to provide investors with useful information about the effects of the reform on their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and amended IFRS issued but not yet effective</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that were issued but not effective for the period ended December 31, 2021, will not have a material impact on the Group’s financial statements.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amendment to IFRS 3 updates reference to the Conceptual Framework for Financial Reporting and adds an exception for the recognition of liabilities and contingent liabilities within the scope of IAS 37 – Provisions, Contingent Liabilities and Contingent Assets (“IAS 37”) and IFRIC Interpretation 21 – Liens (“IFRIC 21”). The amendment also clarifies that contingent assets acquired in a business combination should not be recognised by the acquirer at the acquisition date. This amendment will be effective for annual reporting periods beginning on or after January 1, 2022.</w:t>
      </w:r>
    </w:p>
    <w:p>
      <w:pPr>
        <w:spacing w:after="0" w:line="180"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amendment to IAS 37 clarifies that both incremental and other contract performance costs directly related to the performance of the contracts are classified as direct contract performance costs. This amendment will be effective for annual reporting periods beginning on or after January 1, 2022.</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Amendments to IAS 16 – Property, Plant and Equipment (“IAS 16”) clarify the accounting for costs related to the sale of property, plant and equipment (“PPE”). The amendment prohibits deducting proceeds produced before an asset is available for use from its cost. Accordingly, an entity will recognise such sales proceeds and related costs in profit or loss. The amendment also clarifies the meaning of “testing whether an asset is functioning properly” as assessing if the technical and physical performance of the asset matches the capabilities needed to be used in the production or supply of goods or services, for rental to others, or for administrative purposes. The amendments are effective for annual periods beginning on or after January 1, 2022.</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amendments to IAS 1 clarify that the presentation of liabilities as current or non-current is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2023.</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amendment to IFRS 10 – Consolidated Financial Statement (“IFRS 10”) and IAS 28 – Investments in Associates and Joint Ventures (“IAS 28”) clarifies the accounting treatment of sales or contributions of assets between an investor and its associates or joint ventures. If the non-cash asset sold or contributed constitutes a business under IFRS 3, the full gain or loss will be recognised by the investor. If the assets do not meet the definition of a business, the investor will recognise a gain or loss only to the extent of the investment of the other investors in the joint venture. An effective date has yet to be set for this amendment.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June 2020, the IASB published amendments to IFRS 4 which deferred the expiry date of the temporary exemption from applying IFRS 9 to annual periods beginning on or after January 1, 2023.</w:t>
      </w:r>
    </w:p>
    <w:p>
      <w:pPr>
        <w:spacing w:after="0" w:line="162"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2023.</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8: Definition of Accounting Estimates which clarify how companies should distinguish changes in accounting policies from changes in accounting estimates. These amendments are effective on or after January 1, 2023. The Group does not expect any material impact from the adoption of these amendments.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The Group does not expect any material impact from the adoption of these amendments.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The Group does not expect any impact from the adoption of this amendment.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an asset is classified as a current asset when it is held primarily for the purpose of trading, is expected to be realised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consolidated accounts include the Parent company and all subsidiaries over which the Parent, either directly or indirectly, exercises control. The Parent controls an entity when the Parent is exposed to, or has rights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2021, 2020 and 2019, the Parent had thirty-three, eighteen, and twelve fully consolidated subsidiaries,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Polestar Group uses the “management approach” in determining reportable operating segments. The management approach considers the internal organisation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Polestar Group’s revenue from external customers and non-current assets (PPE and intangibles and goodwill) by geographical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150,133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1,591,767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1,373,009</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1,016,340</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2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F-64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340" w:hanging="224"/>
        <w:spacing w:after="0"/>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 Other regions primarily consist of Belgium, Switzerland, and Denmark in 2021. Other regions primarily consist of Belgium in 2020.</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Non-current assets: Other regions primarily consist of Canada in 2021. Other regions primarily consist of Belgium in 2020.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of the Group, transactions in currencies other than the entity’s functional currency (i.e., foreign currencies) are recognised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recognised in the Consolidated Statement of Loss.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currency risk, see Note 2 – Financial risk management</w:t>
      </w:r>
      <w:r>
        <w:rPr>
          <w:rFonts w:ascii="Times New Roman" w:cs="Times New Roman" w:eastAsia="Times New Roman" w:hAnsi="Times New Roman"/>
          <w:sz w:val="18"/>
          <w:szCs w:val="18"/>
          <w:i w:val="1"/>
          <w:iCs w:val="1"/>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183" w:lineRule="exact"/>
        <w:rPr>
          <w:sz w:val="20"/>
          <w:szCs w:val="20"/>
          <w:color w:val="auto"/>
        </w:rPr>
      </w:pPr>
    </w:p>
    <w:p>
      <w:pPr>
        <w:ind w:left="120" w:right="20" w:hanging="4"/>
        <w:spacing w:after="0" w:line="282" w:lineRule="auto"/>
        <w:tabs>
          <w:tab w:leader="none" w:pos="30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 determining the transaction price of performance obligations included with sales of vehicles, variable consideration for volume related discounts to fleet customers, and revenue from sales of vehicles with repurchase obligations – Note 4 – Revenue.</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 capitalizing intellectual property and determining the useful lives – Note 12 – Intangible assets and goodwill.</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testing – Note 12 – Intangible assets and goodwill.</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loss carry-forwards – Note 10 – Income tax expense.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Consolidated Statement of Cash Flows, cash and cash equivalents consists of cash and cash equivalents as defined above.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Marketable securities are financial instruments with maturities less than one year that can quickly be converted into cash. Polestar’s marketable securities consist of short-term money market funds (i.e., time deposits in banks). The balance in marketable securities as of December 31, 2021 and 2020 amounted to $1,258 and nil, respectively</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Restricted cash mainly consists of deposits that have been pledged to secure short-term bank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balance in restricted cash as of December 31, 2021 and 2020 amounted to nil and $50,206,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Group did not have any other cash and cash equivalents balances held by entities that are not available for use by the Group. Cash and cash equivalents held in Chinese entities are available for use by the Group via an intercompany short-term revolving credit facility.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280"/>
        <w:spacing w:after="0" w:line="258" w:lineRule="auto"/>
        <w:rPr>
          <w:sz w:val="20"/>
          <w:szCs w:val="20"/>
          <w:color w:val="auto"/>
        </w:rPr>
      </w:pPr>
      <w:r>
        <w:rPr>
          <w:rFonts w:ascii="Times New Roman" w:cs="Times New Roman" w:eastAsia="Times New Roman" w:hAnsi="Times New Roman"/>
          <w:sz w:val="18"/>
          <w:szCs w:val="18"/>
          <w:color w:val="auto"/>
        </w:rPr>
        <w:t>The Group’s subsidiaries based in the People’s Republic of China received government grants which were conditioned to be used for production and production related costs and grants for non-specified purposes. These grants are not tied to the future trends or performance of the Group and are not required to be refunded under any circumstance. Receipt of such grants are either reported as a deduction to the related expense or as other operating income, depending on the nature of the grant received. For the years ended December 31, 2021 and 2020, government grants amounted to $309 and $1,284,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vehicles</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Revenue from the sales of vehicles includes sales of the Group’s vehicles as well as related accessories and services. Revenue is recognised when the customer obtains control of delivered goods or services, and thus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55" w:right="4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ability to direct the use of, and obtain the benefits from, the goods or services. Polestar Group includes various services and maintenance (i.e., extended service) offers with the sale of each vehicle for a period of time specified in the contract.</w:t>
      </w:r>
    </w:p>
    <w:p>
      <w:pPr>
        <w:spacing w:after="0" w:line="16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recognised on a straight-line basis over the contract period as a stand-ready obligation. The deferred revenue is presented as contract liabilities, since the customers’ payments are made before the services are transferred.</w:t>
      </w:r>
    </w:p>
    <w:p>
      <w:pPr>
        <w:spacing w:after="0" w:line="19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recognised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7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Vehicles are sold to individuals (end customers), fleet customers, financial service providers, and dealers. Since commercialisation of Polestar vehicles commenced in the third quarter of 2020, the Group had not recognised a significant number of customer returns, and therefore has not accrued any obligations for returns, refunds, or other similar obligations for the years ended December 31, 2021 and 2020.</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recognising RVGs and amend how it accounts for them, if necessary.</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There are no significant payment terms for end customers, fleet customers, financial service providers, or dealers as payment is due on or near the date of invoice.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Consideration received by fleet customers is variable in nature as the customer can receive volume related discounts, which are annual rebates based on the number of vehicles ordered throughout the year. There is no significant variability in consideration received from other customers.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software and performance engineered kits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software occur.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Revenue from the sales of performance engineered kits is related to intellectual property licensed to Volvo Cars under which Volvo Cars obtained rights to provide optimisations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vehicles with the performance engineered kits occur. During the year ended December 31, 2019, revenue from the sale of performance engineered kits was inclusive of a one-time contract termination fee paid by Volvo Cars that was accounted for as a contract modification. Polestar Group and Volvo Cars entered into a new license agreement in December 2020.</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carbon credits</w:t>
      </w:r>
    </w:p>
    <w:p>
      <w:pPr>
        <w:spacing w:after="0" w:line="11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Revenue from the sale of carbon credits is recognised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Vehicle leasing revenue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Operating leases are initially measured at cost and depreciated on a straight-line basis over the lease term to the estimated residual value. Incremental direct costs incurred in connection with the acquisition of operating lease contracts are capitalised and also amortised on a straight-line basis over the lease term. In the Consolidated Statement of Financial Position, such operating leases are presented as vehicles under operating leases and recognised as PPE. Vehicle leasing revenue is recognised on a straight-line basis over the lease term. For sales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vehicles with repurchase obligations that are accounted for as operating leases, the entire amount due to Polestar is paid up-front at contract inception.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is recorded for the difference between the cash received from the sale of the vehicle and the vehicle’s repurchase value.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recognised over time.</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parts and accessories occur.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Contract liabilities to customers are obligations related to contracts with customers and are recognised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the Group satisfies its performance obligations, revenue is recognised, and the contract liability is reduced. As stated above, delivery of services and maintenance is within the customer’s control. Accordingly, the Group expects to recognise revenue related to such service contract liabilities over the 3-year period following initial recognition, consistent with the terms of the contractually offered services. Related to connected services, the Group expects to recognise revenue over the 8-year period following initial recognition, consistent with the expected utilisation of the services. In the case of volume related discounts that are triggered over time, a short-term contract liability will also be recognised as payment is due within a twelve-month period, in line with contractual payment terms. For deferred revenue generated through operating leases, the Group expects to recognise revenue on a straight-line basis, consistent with the terms of the contract. During the third quarter of 2020, the Group entered the commercial space and started selling vehicles, generating contract liabilities in 2020 that did not previously exist in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For the years ended December 31, 2021, 2020 and 2019, cost of sales amounted to $1,336,321, $553,724 and $39,790, respectively. Costs of sales are related to the sales of vehicles and related accessories and services, which includes depreciation related to PPE and right-of-use (“ROU”) assets and amortisation of manufacturing engineering. Sales of software and performance engineered kits and other revenue are related to items which were originally developed with the intent of internal use, not with the intent to sell. As such, all costs were appropriately capitalised or expensed as described in </w:t>
      </w:r>
      <w:r>
        <w:rPr>
          <w:rFonts w:ascii="Times New Roman" w:cs="Times New Roman" w:eastAsia="Times New Roman" w:hAnsi="Times New Roman"/>
          <w:sz w:val="18"/>
          <w:szCs w:val="18"/>
          <w:i w:val="1"/>
          <w:iCs w:val="1"/>
          <w:color w:val="auto"/>
        </w:rPr>
        <w:t>Accounting policies – Intangible assets and goodwill – Internally developed IP</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55" w:right="47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Polestar Group compensates its employees through short-term employee benefits, other long-term benefits, and post-employment benefits. Generally, an employee benefit is recognised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For the years ended December 31, 2021, 2020 and 2019, Polestar Group did not extend termination benefits or share-based payments to employees.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Short-term employee benefits consist of wages, salaries, social benefit costs, paid annual leave and paid sick leave, and bonuses that are expected to be settled within twelve months of the reporting period in which services are rendered. Short-term employee benefits are recognised at the undiscounted amounts expected to be paid when the liabilities are settled and presented within current provisions and other current liabilities in the Consolidated Statement of Financial Position.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organisation as of December 1st of the year in order to be eligible for the program. An estimate of the expected costs of the program are calculated and recognised at the end of each reporting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long-term benefits</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Polestar Group’s only other long-term benefit is the annual Long Term Variable Pay Program (“LTVP”), which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incentivise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recognised on the annual grant date, subsequently remeasured at the end of reach reporting date, and presented within current and non-current provisions in the Consolidated Statement of Financial Position.</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Post-employment benefits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Polestar Group’s post-employment benefits are comprised of defined contribution pension plans and the Swedish defined benefit pension (“ITP 2”) that is managed by the mutual insurance company Alecta.</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recognised in the reporting period in which services are rendered and presented within current and non-current provisions in the Consolidated Statement of Financial Position. Contribution rates are unique to each employee.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Group’s share of the total savings premiums for ITP 2 in Alecta for the years ended December 31, 2021, 2020 and 2019, amounted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0.13056%, 0.05375% and 0.06478%, respectively. Further, Polestar Group’s share of the total number of active policy holders as of December 31, 2021, 2020 and 2019, amounted to 0.04485%, 0.02605% and 0.02069%,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2021 and 2020, Alecta’s surplus of consolidation level amounted to 172% and 148%,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lessee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2021 and 2020, no material lease extension options existed.</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At the lease commencement date, an ROU asset and a lease liability are recognised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amortisation of the ROU asset, refer to Note 9 – Leases. The ROU asset is reduced by impairment losses, if any, and adjusted for certain remeasurements of the lease liability.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00"/>
          </w:cols>
          <w:pgMar w:left="320" w:top="455" w:right="4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elected the practical expedient to account for leases with lease terms which end within twelve months of the initial date of application as a short-term lease. The Group also elected the practical expedient to not recognise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recognised on a straight-line basis as an expense over the lease term in the Consolidated Statement of Loss.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the Consolidated Statement of Financial Position, the lease liabilities are presented within current interest-bearing liabilities and other non-current interest-bearing liabilities in the Consolidated Statement of Financial Position. In the Consolidated Statement of Loss, depreciation expense of the ROU assets is presented on the same line item(s) as similar items of PPE. The interest expense on the lease liability is presented as part of finance expenses. In the Consolidated Statement of Cash Flows, amortisation of the lease liability is presented as a cash flow from operating activities. Lease related interest expense is presented within cash flows from operating activities.</w:t>
      </w:r>
    </w:p>
    <w:p>
      <w:pPr>
        <w:spacing w:after="0" w:line="183"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recognised as ROU assets by the Group.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119"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lessor</w:t>
      </w:r>
    </w:p>
    <w:p>
      <w:pPr>
        <w:spacing w:after="0" w:line="119"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vehicles associated with the Group’s operating leases are recognised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capitalised and amortised on a straight-line method over the lease term. Liabilities related to repurchase obligations are recognised as other non-current and current liabilities. Following repurchase by Polestar, the vehicles are reclassified to inventory.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 and expense</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Polestar Group’s Income tax expense consists of current tax and deferred tax. Taxes are recognised in the Consolidated Statement of Loss, except when the underlying transaction is recognised directly in equity or the Consolidated Statement of Comprehensive Loss, whereupon related taxation is also recognised in equity or the Consolidated Statement of Comprehensive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20"/>
          </w:cols>
          <w:pgMar w:left="320" w:top="455"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nominal amount and at the tax rates that are expected to be applied when the asset is realised or the liability is settled, using the tax rates and tax rules that have been enacted or substantively enacted at the date of the Consolidated Statement of Financial Position.</w:t>
      </w:r>
    </w:p>
    <w:p>
      <w:pPr>
        <w:spacing w:after="0" w:line="176"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Deferred tax assets relating to deductible temporary differences and loss carry forwards are recognised to the extent it is probable that they will be utilised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w:t>
      </w:r>
    </w:p>
    <w:p>
      <w:pPr>
        <w:spacing w:after="0" w:line="180"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Unrecognised deferred tax assets are reassessed at each reporting date and recognised to the extent that it has become probable that future taxable profits will be available against which they can be used. If needed, the carrying amount of the deferred tax asset will be altered. The judgements that have been made affect Net loss both positively and negatively.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121"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An intangible asset is recognised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Intangible assets are measured at acquisition or internal development cost, less accumulated amortisation and, as applicable, impairment loss. Intangible assets with finite lives are amortised on a straight-line basis. The Group makes estimates and judgements related to expected usage of intangible assets in accordance with Management’s 2022-2025 business plan, product life cycles, technological obsolescence, developments, and advancements specific to the battery electric vehicle industry. Management estimates the useful life of intangible assets by taking into account judgements on how the Group plans to utilise such intangibles in accordance with the business plan and any related rights and obligations under its contractual agreements. The estimated useful life and amortisation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 w:cs="Times New Roman" w:eastAsia="Times New Roman" w:hAnsi="Times New Roman"/>
          <w:sz w:val="18"/>
          <w:szCs w:val="18"/>
          <w:i w:val="1"/>
          <w:iCs w:val="1"/>
          <w:color w:val="auto"/>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engineering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for manufacturing engineering, reflecting engineering performed in terms of production facility layout, is included in Cost of sales.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Acquired IP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Acquired IP are finite-lived intangible assets which are amortised once the acquired IP is ready for its intended use, over their estimated useful lives for 3-7 years. The remaining useful life of acquired IP is between 1-6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Amortisation of acquired IP related to the PS1 and PS2 is included in research and development expenses as it represents foundational IP that is leveraged across multiple functions of the Group.</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Internally developed IP</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Internally developed IP are finite-lived intangible assets which are amortised over their estimated useful lives for 3-7 years. Amortisation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capitalised upon the commencement of product development. Each phase is identified by work plans, budgeted, and tracked internally by research and development personnel.</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Costs incurred in the product development phase are capitalised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recognised for the years ended December 31, 2021, 2020 and 2019, amounted to $232,922, $183,849 and $34,386, respectively and were substantially related to the amortisation of PS1 and PS2 technology.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Software is a finite-lived intangible asset which is amortised over its estimated useful life of 3-8 years. Amortisation of software is included in research and development expenses, selling expenses, or administrative expenses depending on the way in which the assets have been used.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recognised at fair value at the date of the acquisition less any accumulated impairment losses.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12 – Intangible assets and goodwill.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Items of PPE are recognised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capitalised over the useful life of the asset.</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Buildings under development are measured at actual costs. The actual costs include various construction expenditures during the construction period, borrowing costs capitalised before the building is ready for intended use, and other relevant costs. Buildings under development are not depreciated and are transferred to fixed assets when ready for the intended use.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useful lives are applied in Polestar Group:</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PPE is included in costs of sales as well as selling or administrative expenses, depending on the nature of the item being depreciated.</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Tangible assets are derecognised upon disposal or when no future economic benefits are expected to arise from the continued use of the asset. Any gain or loss arising on the disposal or retirement is determined as the difference between the sales proceeds and the carrying amount of the asset and is recognised in the Consolidated Statement of Loss as other operating income and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w:t>
      </w:r>
    </w:p>
    <w:p>
      <w:pPr>
        <w:spacing w:after="0" w:line="15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For the impairment assessment, assets are grouped together into the smallest group of assets that generate cash inflows from continuing use that are largely independent of the cash inflows of other assets (i.e., a cash-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60"/>
          </w:cols>
          <w:pgMar w:left="320" w:top="455" w:right="5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utilised in Polestar Group’s operations.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years ended December 31, 2021 and 2020, this discounted cash flow was calculated based on estimations regarding future cash flows as seen in the 2021-2025 business plan, a terminal growth rate of 2.0% for cash flows through the next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the carrying amount of the CGU is determined to be greater than the recoverable amount, an impairment loss is recognised by first reducing the CGU’s goodwill and then reducing other assets in the CGU on a pro rata basis. For the years ended December 31, 2021 and 2020, no impairment losses were recognised. No impairment loss would have been recognised in the years ended December 31, 2021 and 2020 under a stress case scenario utilising an after-tax discount rate of 15.1% to calculate the recoverable amount of the CGU.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Classification of financial assets and liabilities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amortised cost.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recognition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recognised on the Consolidated Statement of Financial Position on the date when Polestar Group becomes party to the contractual terms and conditions (i.e., the transaction date). Financial assets are initially recognised at the price that would be received when selling an asset or being paid to transfer a liability in an orderly transaction between market participants at the measurement date (“Fair Value”), plus transaction costs directly attributable to the acquisition of the financial asset, except for those financial assets carried at fair value through the Consolidated Statement of Loss.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11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For the purpose of subsequent measurement, financial instruments are measured at amortised cost or financial fair value through profit or loss (“FVTPL”).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80"/>
          </w:cols>
          <w:pgMar w:left="320" w:top="455" w:right="49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FVTPL consist of financial assets with cash flows other than those of principal and interest on the nominal amount outstanding. Changes in fair value of these instruments are recognised in profit and loss as finance income (expense).</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Financial instruments carried at amortised cost are non-derivative financial instruments with contractual cash flows that consist solely of payments of principal and interest on the nominal amount outstanding. These financial instruments are subsequently carried at amortised cost using the effective interest method. Gains and losses are recognised in the Consolidated Statement of Loss when the financial assets carried at amortised cost are impaired or derecognised. Interest effects on the application of the effective interest method are also recognised in the Consolidated Statement of Loss as well as effects from foreign currency translation.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11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Financial assets on the Consolidated Statement of Financial Position consist of trade receivables, other current and non-current financial assets, derivative assets, marketable securities and cash and cash equivalents.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financial asset or a portion of a financial asset is derecognised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liabilities in the Consolidated Statement of Financial Position encompass liabilities to credit institutions, trade payables, other current and non-current financial liabilities and derivative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financial liability or a portion of a financial liability is derecognised when the obligation in the contract has been fulfilled, cancelled or has expired.</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classifies its derivative financial instruments and marketable securities as carried at FVTPL, while all other financial assets and liabilities are carried at amortised cost.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 associated with financial assets measured at amortised cost. For the initial recognition of financial assets carried at amortised cost, primarily trade receivables with similar risk characteristics, an analysis is made to identify the need for a provision for expected credit losses (“ECL”). The Group uses the simplified approach for estimating ECLs, which requires expected lifetime losses to be recognised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revaluated on an ongoing basis after initial recognition.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an ECL is calculated, and if it is material, it is recognised in an allowance account which decreases the amount of gross trade receivables. The amount of the expected credit loss will be recognised as an expense in the Consolidated Statement of Loss. As of December 31, 2021 and 2020 no ECLs have been recognised for the Group’s financial assets, as historically credit losses have been nil, and no expected credit losses are in view.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00"/>
          </w:cols>
          <w:pgMar w:left="320" w:top="455"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Group periodically holds derivative financial instruments in the form of currency swaps to hedge its foreign currency risk exposure. Polestar Group does not apply cash-flow hedge accounting. The Group accounts for its foreign currency swaps in accordance with IFRS 9; the carrying value of the hedged item is adjusted for fair value changes attributable to the risk being hedged, and those fair value changes are recognised in the Consolidated Statement of Loss. As of December 31, 2021 and 2020, the Group did not have any foreign currency swaps outstanding. As of December 31, 2019, Polestar Group had two foreign currency swap contracts outstanding which were entered into at the end of December 2019. These contracts expired in September and December 2020,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three-tiered hierarchy is established as a basis for considering such assumptions and for inputs used in the valuation methodologies in measuring fair value. This hierarchy requires that the Group use observable market data, when available, and minimise the use of unobservable inputs when determining fair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marketable securities, restricted cash, trade receivables, trade payables, and short-term and long-term borrowings.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acquisition or manufacturing cost and net realisable value and consist primarily of finished goods as of December 31, 2021 and 2020. Net realisable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80"/>
          </w:cols>
          <w:pgMar w:left="320" w:top="455" w:right="4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recognised in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contingent liabilities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Provisions are recognised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recognised at present value by discounting the expected future cash flows at a pre-tax rate reflecting current market assessments of the time value of money.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recognised as a financial cost.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All warranty provisions are recognised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quarterly basis, the provisions are adjusted to reflect the latest available data such as actual spend and exchange rates. The provisions are reduced by warranty reimbursements from suppliers. Such refunds from suppliers decrease Polestar Group’s warranty costs and are recognised to the extent these are considered to be virtually certain, based on historical experience or agreements entered into with suppliers.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provisions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provisions primarily comprise expected costs for provisions for the Group’s long-term incentive plan, short-term incentive plan, and other taxes and related charges. Other provisions can also include provisions for anticipated losses, giving consideration to historical trends, various other risks, and specific agreements related to recoveries provided by suppliers which cannot be allocated to any other class of provision.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11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When a possible obligation does not meet the criteria for recognition as a liability, it may be disclosed as a contingent liability. These possible obligations derived from past events and their existence will be confirmed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Borrowing costs are expensed as incurred unless they are directly attributable to the acquisition, construction or production of a qualifying asset and are therefore part of the cost of that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Financial risk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financial risks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a result of its business and the global nature of its operations, Polestar Group is exposed to market risks from changes in foreign currency exchange rates, interest rate risk, credit risk and liquidity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global nature of Polestar Group’s business exposes cash flows to risks arising from fluctuations in currency exchange rates. Relative changes in currency exchange rates have a direct impact on Polestar Group’s operating income, finance income, finance expense, Consolidated Statement of Financial Position and Consolidated Statement of Cash Flows. To mitigate the impact of currency exchange rate fluctuations for the business operations, the Group continually assesses its exposure to exchange rate risks.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Comprehensive Loss. The Group is primarily exposed to currency translation risk from subsidiaries with functional currencies in the Swedish krona (“SEK”), the Euro (“EUR”) and the Chinese yuan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settlement of recognised assets and liabilities denominated in a currency that is not the functional currency of the relevant Group entity. Primarily, the Group is exposed to currency transaction risk in Group companies with SEK and CNY as the functional currency. The primary risks in these companies are CNY/SEK, USD/SEK, EUR/SEK and EUR/CNY due to trade receivables, trade payables, and short-term credit facilities.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00"/>
          </w:cols>
          <w:pgMar w:left="320" w:top="455" w:right="4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Group was primarily exposed to changes in CNY/SEK, USD/SEK and EUR/SEK foreign exchange rates. The following table illustrates the impact of a 10% change in the Group’s foreign exchange rates: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Impact on loss</w:t>
            </w:r>
          </w:p>
        </w:tc>
      </w:tr>
      <w:tr>
        <w:trPr>
          <w:trHeight w:val="173"/>
        </w:trPr>
        <w:tc>
          <w:tcPr>
            <w:tcW w:w="588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 income taxes</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USD/SEK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56,052</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GBP/SEK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41,688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NOK/SEK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36,493</w:t>
            </w: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Group was primarily exposed to changes in CNY/SEK and EUR/SEK foreign exchange rates. The following table illustrates the impact of a 10% change in these foreign exchange rates: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86,794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34,732</w:t>
            </w:r>
          </w:p>
        </w:tc>
      </w:tr>
    </w:tbl>
    <w:p>
      <w:pPr>
        <w:spacing w:after="0" w:line="1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Group was primarily exposed to changes in the EUR/CNY and EUR/SEK foreign exchange rate. The following table illustrates the impact of a 10% change in this foreign exchange rate:</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EUR/CNY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13,465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11,220</w:t>
            </w:r>
          </w:p>
        </w:tc>
      </w:tr>
    </w:tbl>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Group had transaction exposure to the Parent’s functional currency related to USD/SEK foreign exchange rates in the amount of $56,052. During the years ended December 31, 2020 and 2019, the Group had no significant transaction exposure to the USD and the USD currency effect was entirely related to translation exposure reflected in the Consolidated Statement of Comprehensive Loss.</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Polestar Group’s main interest rate risk arises from short-term liabilities to credit institutions with variable rates, which exposes the Group to cash flow interest rate risk. As of December 31, 2021 and 2020, the nominal amount of liabilities to credit institutions with floating interest rates was $642,338 and $363,490,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table below shows the estimated effect on profit or loss and equity of a parallel shift of the interest rate curves up or down by one percent on all loans. This analysis assumes that all other variables, in particular foreign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00"/>
          </w:cols>
          <w:pgMar w:left="320" w:top="455" w:right="47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2021 and 2020.</w:t>
      </w:r>
    </w:p>
    <w:p>
      <w:pPr>
        <w:spacing w:after="0" w:line="19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Impact on loss before income</w:t>
      </w:r>
    </w:p>
    <w:p>
      <w:pPr>
        <w:spacing w:after="0" w:line="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6459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7580"/>
        <w:spacing w:after="0" w:line="235" w:lineRule="auto"/>
        <w:tabs>
          <w:tab w:leader="none" w:pos="90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tabs>
          <w:tab w:leader="none" w:pos="7200" w:val="left"/>
          <w:tab w:leader="none" w:pos="7840" w:val="left"/>
          <w:tab w:leader="none" w:pos="8680" w:val="left"/>
          <w:tab w:leader="none" w:pos="9340" w:val="left"/>
        </w:tabs>
        <w:rPr>
          <w:sz w:val="20"/>
          <w:szCs w:val="20"/>
          <w:color w:val="auto"/>
        </w:rPr>
      </w:pPr>
      <w:r>
        <w:rPr>
          <w:rFonts w:ascii="Times New Roman" w:cs="Times New Roman" w:eastAsia="Times New Roman" w:hAnsi="Times New Roman"/>
          <w:sz w:val="18"/>
          <w:szCs w:val="18"/>
          <w:color w:val="auto"/>
        </w:rPr>
        <w:t>Interest rates - increase/decrease by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1,791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3,518</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Group will incur losses as a result of non-payment by counterparties related to the Group’s bank accounts, bank deposits, derivative transactions, and other liquid assets. In order to minimise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2021 and 2020 were in the range of BBB to A+.</w:t>
      </w:r>
    </w:p>
    <w:p>
      <w:pPr>
        <w:spacing w:after="0" w:line="18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2021, an unrelated party accounted for $23,031 (12.54%) of the Group’s total trade receivables (i.e., trade receivables plus trade receivables - related parties). As of December 31, 2020, Volvo Cars accounted for $194,503 (63.21%) of the Group’s total trade receivables, and an unrelated customer accounted for $32,392 (10.53%). Refer to Note 23 - Related party transactions for more details on related parties. Historically, the Group has not incurred any losses from these customers and does not have any contractual right to off-set its payables and receivables.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(1) end customers who pay up-front for vehicles, (2) fleet customers,</w:t>
      </w:r>
    </w:p>
    <w:p>
      <w:pPr>
        <w:spacing w:after="0" w:line="27" w:lineRule="exact"/>
        <w:rPr>
          <w:sz w:val="20"/>
          <w:szCs w:val="20"/>
          <w:color w:val="auto"/>
        </w:rPr>
      </w:pPr>
    </w:p>
    <w:p>
      <w:pPr>
        <w:ind w:left="120" w:right="20" w:hanging="4"/>
        <w:spacing w:after="0" w:line="251" w:lineRule="auto"/>
        <w:tabs>
          <w:tab w:leader="none" w:pos="3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(4)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title to Polestar vehicles remains with Polestar until the dealer pays the invoice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14 - Financial instruments for further details.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23 -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Group held cash and cash equivalents of $756,677 and $316,424, respectively, that were available for managing liquidity risk. The Group entered into short-term financing arrangements with credit institutions and other financial service providers to enhance short term liquidity and financing needs. Refer to Note 21 - Liabilities to credit institutions for further details on short-term borrowings. The Group’s short-term and mid-term liquidity management takes into account the maturities of financial assets and financial liabilities and estimates of cash flows from business operations.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equity attributable to owners of the Parent as shown on the Consolidated Statement of Financial Position plus total borrowings and lease liabilities, less cash and cash equivalents.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55" w:right="4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Common control transaction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September 14, 2020, Polestar was restructured so that 100% of ownership interests in the Polestar Group were transitioned from Polestar Automotive (Shanghai) Co., Ltd (incorporated in the People’s Republic of China)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because (1) the New Parent was a shell company that did not meet the definition of a business at the time of the transaction, (2) ultimate control of the Polestar Group was the same before and after the transaction, and (3) control of the Polestar Group was not transitory (i.e., organised to effect a ‘grooming’ transaction).</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Accordingly, the restructuring was recognised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Polestar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Consideration transferred for the Polestar Group from the New Parent to the Old Parent under the restructuring was equal to the initial investment of the controlling owners in the Polestar Group. However, when the Polestar Group was separated from the Old Parent, the intercompany relationship between the Old Parent and the Polestar Group was severed which resulted in the realisation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1,290,031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6"/>
              </w:rPr>
              <w:t>73,107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19,308</w:t>
            </w:r>
          </w:p>
        </w:tc>
        <w:tc>
          <w:tcPr>
            <w:tcW w:w="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92,415</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right="460" w:hanging="224"/>
        <w:spacing w:after="0" w:line="282"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Revenues related to sales of vehicles are inclusive of insignificant extended and connected services included in the sale of vehicles and sales-generated obligations such as discounts and rebates offered to fleet customers.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00"/>
          </w:cols>
          <w:pgMar w:left="320" w:top="455" w:right="47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For the year ended December 31, 2019, other revenue primarily consisted of revenue generated through the sale of research and development (“R&amp;D”) services to a related party.</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Group’s two largest customers that are not related parties accounted for $135,544 (10.14%) and $129,873 (9.71%) of revenue, respectively, for the year ended December 31, 2021. For the year ended December 31, 2020, Volvo Cars accounted for $107,948 (17.7%) of the Group’s revenue and an unrelated customer accounted for $71,361 (11.69%) of the Group’s revenue. For the year ended December 31, 2019, Volvo Cars accounted for $91,092 (98.6%) of the Group’s revenue. Prior to 2020, the Group’s principal operations related to the sale of R&amp;D services and software and performance engineered kits within its related party network. Refer to Note 23 - Related party transactions for further details.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leases &amp; other</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5,799</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8,967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5,669</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17,072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4,944</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(43,469)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24,702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23,680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18,593</w:t>
            </w: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87,290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16,072</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2021, the aggregate amount of the transaction price related to sales of vehicles allocated to the remaining performance obligations was $87,290. Polestar will recognise revenue related to the extended service on a straight-line basis over the 3-year period following initial recognition, consistent with the terms of the contractually offered services. Polestar will recognise revenue related to connected services on a straight-line basis over the 8-year period following initial recognition, consistent with the expected utilisation of the services.</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Revenue recognised during the year ended December 31, 2021 related to contract liabilities outstanding as of January 1, 2021 was $4,648, and no revenue was recognised during the period related to performance obligations fully (or partially) satisfied in prior periods. Since Polestar Group did not enter the commercial space until the third quarter of 2020, there were no contract liabilities provided for, or utilised, during 2019. Accordingly, no revenue was recognised during the year ended December 31, 2020 related to contract liabilities outstanding as of December 31, 2019 or performance obligations fully (or partially) satisfied.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40"/>
          </w:cols>
          <w:pgMar w:left="320" w:top="455" w:right="4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Depreciation and amortisation by function</w:t>
      </w:r>
    </w:p>
    <w:p>
      <w:pPr>
        <w:spacing w:after="0" w:line="121"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Polestar will use acquired research and development related to PS1 and PS2 to serve as the basis for the development of future car models and technology. As such, amortisation of these intangible assets is included in research and development expenses. The following table illustrates depreciation and amortisation by function:</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60" w:type="dxa"/>
            <w:vAlign w:val="bottom"/>
            <w:gridSpan w:val="2"/>
            <w:vMerge w:val="continue"/>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174,639</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4,404</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188,376</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38,671</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6,947</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14,447</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152,395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2,170</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9,117</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166,886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216,076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23,883</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Employee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81,145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49,329</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Post-employment benefits expense reflects expenses related to defined contribution plans and defined benefit plans, inclusive of expenses related to the ITP 2. Expenses related to defined contribution plans amounted to $13,916, $7,975 and $4,616 for the years ended December 31, 2021, 2020 and 2019, respectively.</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 for the Group’s Executive Management Team (“EMT”) and managing directors at the Group’s sales units: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benefits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benefits to key management personnel only</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6,739</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5,407</w:t>
            </w:r>
          </w:p>
        </w:tc>
        <w:tc>
          <w:tcPr>
            <w:tcW w:w="80" w:type="dxa"/>
            <w:vAlign w:val="bottom"/>
          </w:tcPr>
          <w:p>
            <w:pPr>
              <w:spacing w:after="0"/>
              <w:rPr>
                <w:sz w:val="19"/>
                <w:szCs w:val="19"/>
                <w:color w:val="auto"/>
              </w:rPr>
            </w:pPr>
          </w:p>
        </w:tc>
      </w:tr>
      <w:tr>
        <w:trPr>
          <w:trHeight w:val="372"/>
        </w:trPr>
        <w:tc>
          <w:tcPr>
            <w:tcW w:w="4100" w:type="dxa"/>
            <w:vAlign w:val="bottom"/>
          </w:tcPr>
          <w:p>
            <w:pPr>
              <w:spacing w:after="0"/>
              <w:rPr>
                <w:sz w:val="24"/>
                <w:szCs w:val="24"/>
                <w:color w:val="auto"/>
              </w:rPr>
            </w:pPr>
          </w:p>
        </w:tc>
        <w:tc>
          <w:tcPr>
            <w:tcW w:w="342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F-86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Group’s EMT has the authority and responsibility for planning, directing, and controlling the Polestar Group’s activities. In September 2021, Johan Malmqvist succeeded Ian Zhang as Chief Financial Officer of Polestar. As of December 31, 2021 the EMT consists of the following individuals:</w:t>
      </w:r>
    </w:p>
    <w:p>
      <w:pPr>
        <w:spacing w:after="0" w:line="162" w:lineRule="exact"/>
        <w:rPr>
          <w:sz w:val="20"/>
          <w:szCs w:val="20"/>
          <w:color w:val="auto"/>
        </w:rPr>
      </w:pPr>
    </w:p>
    <w:p>
      <w:pPr>
        <w:ind w:left="300" w:hanging="184"/>
        <w:spacing w:after="0"/>
        <w:tabs>
          <w:tab w:leader="none" w:pos="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Malmqvist (Chief Financial Officer, “CFO”); and</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Nobelius (Chief Operating Officer, “COO”).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EMT (“Prior EMT”) consisted of:</w:t>
      </w:r>
    </w:p>
    <w:p>
      <w:pPr>
        <w:spacing w:after="0" w:line="225" w:lineRule="exact"/>
        <w:rPr>
          <w:sz w:val="20"/>
          <w:szCs w:val="20"/>
          <w:color w:val="auto"/>
        </w:rPr>
      </w:pPr>
    </w:p>
    <w:p>
      <w:pPr>
        <w:ind w:left="300" w:hanging="184"/>
        <w:spacing w:after="0"/>
        <w:tabs>
          <w:tab w:leader="none" w:pos="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 and</w:t>
      </w:r>
    </w:p>
    <w:p>
      <w:pPr>
        <w:spacing w:after="0" w:line="225" w:lineRule="exact"/>
        <w:rPr>
          <w:rFonts w:ascii="Times New Roman" w:cs="Times New Roman" w:eastAsia="Times New Roman" w:hAnsi="Times New Roman"/>
          <w:sz w:val="18"/>
          <w:szCs w:val="18"/>
          <w:color w:val="auto"/>
        </w:rPr>
      </w:pPr>
    </w:p>
    <w:p>
      <w:pPr>
        <w:jc w:val="both"/>
        <w:ind w:left="120" w:right="6980" w:hanging="4"/>
        <w:spacing w:after="0" w:line="530" w:lineRule="auto"/>
        <w:tabs>
          <w:tab w:leader="none" w:pos="30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Dennis Nobelius (Chief Operating Officer, “COO”). As of December 31, 2019. the 2019 EMT consisted of:</w:t>
      </w:r>
    </w:p>
    <w:p>
      <w:pPr>
        <w:ind w:left="300" w:hanging="184"/>
        <w:spacing w:after="0"/>
        <w:tabs>
          <w:tab w:leader="none" w:pos="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 and</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has the ultimate authority for approval of actions proposed by each member of the EMT.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Other operating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operating income and expenses consisted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operating income</w:t>
            </w:r>
          </w:p>
        </w:tc>
        <w:tc>
          <w:tcPr>
            <w:tcW w:w="3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 services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80" w:type="dxa"/>
            <w:vAlign w:val="bottom"/>
            <w:shd w:val="clear" w:color="auto" w:fill="CCEEFF"/>
          </w:tcPr>
          <w:p>
            <w:pPr>
              <w:spacing w:after="0"/>
              <w:rPr>
                <w:sz w:val="18"/>
                <w:szCs w:val="18"/>
                <w:color w:val="auto"/>
              </w:rPr>
            </w:pPr>
          </w:p>
        </w:tc>
      </w:tr>
      <w:tr>
        <w:trPr>
          <w:trHeight w:val="37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expenses</w:t>
            </w: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49,298</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50,676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F-87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Finance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table details the Group’s finance income and expenses: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gains on financial activities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bank deposits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16,226</w:t>
            </w:r>
          </w:p>
        </w:tc>
        <w:tc>
          <w:tcPr>
            <w:tcW w:w="80" w:type="dxa"/>
            <w:vAlign w:val="bottom"/>
            <w:shd w:val="clear" w:color="auto" w:fill="CCEEFF"/>
          </w:tcPr>
          <w:p>
            <w:pPr>
              <w:spacing w:after="0"/>
              <w:rPr>
                <w:sz w:val="18"/>
                <w:szCs w:val="18"/>
                <w:color w:val="auto"/>
              </w:rPr>
            </w:pPr>
          </w:p>
        </w:tc>
      </w:tr>
      <w:tr>
        <w:trPr>
          <w:trHeight w:val="3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 and financing obligations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related companies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losses on financial activities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21,192</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interest expense to related parties was comprised of interest on overdue trade payables balances and interest on related party borrowings. Refer to Note 23 - Related party transactions for further discussion.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2 - 15 years with the exception of one long term land lease with a term of 50 years. The lease term for machinery and equipment is generally 2-6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ROU assets, which are included within PPE: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10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48,946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45,113</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50,099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(1,464)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(2,376)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(6,741)</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34,954</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34,652</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Consolidated Statement of Loss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10,250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66,575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61,840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82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F-89</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55" w:right="131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42,032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44,638</w:t>
            </w:r>
          </w:p>
        </w:tc>
      </w:tr>
      <w:tr>
        <w:trPr>
          <w:trHeight w:val="27"/>
        </w:trPr>
        <w:tc>
          <w:tcPr>
            <w:tcW w:w="6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91,189</w:t>
            </w:r>
          </w:p>
        </w:tc>
      </w:tr>
      <w:tr>
        <w:trPr>
          <w:trHeight w:val="20"/>
        </w:trPr>
        <w:tc>
          <w:tcPr>
            <w:tcW w:w="6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24 - Commitments and contingencies for details on commitments related to the Group’s leases and ROU assets as of December 31,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2021, 2020 and 2019, total cash outflows (inflows) for leases amounted to $8,578, $2,298 and $939, respectively.</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$6,217 for the year ended December 31, 2021. For the majority of the Group’s lease contracts, vehicles are paid for upfront at contract inception and repurchased by Polestar at the end of the lease term. Expected future, undiscounted lease payments to be received from the Group’s operating leases outstanding as of December 31, 2021 is $711, all of which will be earned in 2022. The following table depicts the changes in the Group’s vehicles under operating leases: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Additions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Income tax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expense recognised in the Consolidated Statement of Loss is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Vehicles under</w:t>
      </w:r>
    </w:p>
    <w:p>
      <w:pPr>
        <w:jc w:val="center"/>
        <w:ind w:right="1800"/>
        <w:spacing w:after="0" w:line="229" w:lineRule="auto"/>
        <w:rPr>
          <w:sz w:val="20"/>
          <w:szCs w:val="20"/>
          <w:color w:val="auto"/>
        </w:rPr>
      </w:pPr>
      <w:r>
        <w:rPr>
          <w:rFonts w:ascii="Times New Roman" w:cs="Times New Roman" w:eastAsia="Times New Roman" w:hAnsi="Times New Roman"/>
          <w:sz w:val="14"/>
          <w:szCs w:val="14"/>
          <w:b w:val="1"/>
          <w:bCs w:val="1"/>
          <w:color w:val="auto"/>
        </w:rPr>
        <w:t>operating</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b w:val="1"/>
          <w:bCs w:val="1"/>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7640" w:space="720"/>
            <w:col w:w="2700"/>
          </w:cols>
          <w:pgMar w:left="320" w:top="455" w:right="519" w:bottom="1440" w:gutter="0" w:footer="0" w:header="0"/>
          <w:type w:val="continuous"/>
        </w:sectPr>
      </w:pP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for the year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3"/>
              </w:rPr>
              <w:t>(1,966)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(4,422)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withholding taxes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(2,517)</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(7,147)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(13,535</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taxes have been calculated applying tax rate per jurisdiction, and for group accounting entries a Hong Kong corporate income tax rate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16.5% in 2021 and 15.8 % in 2020 has been applied. For 2019, a Chinese tax rate of 25 % has been applied, see Note 3 - Common control transaction.</w:t>
      </w:r>
    </w:p>
    <w:p>
      <w:pPr>
        <w:spacing w:after="0" w:line="1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60"/>
          </w:cols>
          <w:pgMar w:left="320" w:top="455" w:right="519" w:bottom="1440" w:gutter="0" w:footer="0" w:header="0"/>
          <w:type w:val="continuous"/>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current year income tax expense based on the applicable Hong Kong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 for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according to the applicable Hong Kong tax rate</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income/costs, non-taxable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tax due to change of tax rate</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deferred tax assets on other temporary differences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(32,223)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(14,869)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Not recognised tax loss carry-forward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(213,928)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(80,434)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2021: 16.5%, 2020: 15.8%, 2019: 25% (Chinese tax rate, see Note 3 – Common control transaction).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Information regarding the income tax expense for 2019 is based on the applicable Chinese tax rate (25%). The shift from the applicable Chinese tax rate in 2019 to the applicable Hong Kong tax rate in 2020 is due to the change in group composition that occurred in September 2020. The restructuring represented a common control transaction and resulted in certain tax losses in Sweden of $30,418 to be forfeited. Refer to Note 3—Common control transaction for further discussion. The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the composition of recognised deferred tax assets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Specification of deferred tax assets</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Unutilised tax loss carry-forward</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1,031</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Recognised value of deferred tax assets as of December 31</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3,850</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2,157</w:t>
            </w:r>
          </w:p>
        </w:tc>
      </w:tr>
      <w:tr>
        <w:trPr>
          <w:trHeight w:val="20"/>
        </w:trPr>
        <w:tc>
          <w:tcPr>
            <w:tcW w:w="6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deferred tax liabilities related to intangible assets amounted to $509 and $6,548, respectively.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changes in deferred tax assets and liabilities have been reported in the Consolidated Statement of Loss for the years ended December 31, 2021, 2020 and 2019,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unrecognised deferred tax assets: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recognises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As of December 31, 2021 and 2020, the Group made the judgement that there is not sufficient, objectively verifiable evidence available which would demonstrate that it is more likely than not that the Group would be able 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080"/>
          </w:cols>
          <w:pgMar w:left="320" w:top="455" w:right="49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realise all deferred tax assets in the future. This resulted in deferred tax assets not being recognised for a tax effected amount of $339,389 and $125,464 as of December 31, 2021 and 2020, respectively. Unrecognised deferred tax assets are reassessed at each reporting date and recognised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loss carryforwards through the year of expiration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193,596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158,427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291,494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 onwards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1,126,554</w:t>
            </w:r>
          </w:p>
        </w:tc>
        <w:tc>
          <w:tcPr>
            <w:tcW w:w="3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loss carryforwards as of December 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1,553,313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553,160</w:t>
            </w:r>
          </w:p>
        </w:tc>
      </w:tr>
      <w:tr>
        <w:trPr>
          <w:trHeight w:val="20"/>
        </w:trPr>
        <w:tc>
          <w:tcPr>
            <w:tcW w:w="6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increase in tax losses available for carryforward are mainly attributable to the decline in earnings as a consequence of the Group scaling headcount and research and development expenses to meet the demands of the growing business. Tax losses in Sweden of $1,113,842 have an indefinite carryforward period. Tax losses in China of $430,035 have a five-year carryforward period. Other deductible temporary differences with a tax value of $40,544 and $32,265 have not been recognized as of December 31, 2021 and 2020,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Net loss per share</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 average number of shares outstanding during the year. Diluted Net loss per share takes into account the impact of events which increase the number of issued shares. For the year ended December 31, 2021, 4,306,466 shares issuable upon conversion of the convertible notes were excluded from the diluted weighted average number of ordinary shares calculation as their effect would have been anti-dilutive. Refer to Note 18 - Equity for further details related to the convertible notes. No dilutive event occurred for the years ended December 31, 2020 or 2019. Dilutive Net loss per share was the same as basic Net loss per share for all periods presented. The following table presents the computation of basic and diluted Net loss per share for the years ended December 31, 2021, 2020 and 2019:</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3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(197,975)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Weighted-average number of common shares outstanding</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229,341,491</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201,727,758</w:t>
            </w:r>
          </w:p>
        </w:tc>
        <w:tc>
          <w:tcPr>
            <w:tcW w:w="1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U.S. dollars):</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5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(2.40)</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(0.99)</w:t>
            </w:r>
          </w:p>
        </w:tc>
      </w:tr>
      <w:tr>
        <w:trPr>
          <w:trHeight w:val="35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F-92</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September 14, 2020 as part of the common control transaction described in Note 3 - Common control transaction, 200,000,000 shares were issued to existing owners. For the purposes of calculating basic and diluted net loss per share, these shares are treated as issued and outstanding from January 1, 2019 through December 31,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more details on the rights of Class A and B common shareholders.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Acquired IP</w:t>
            </w:r>
          </w:p>
        </w:tc>
        <w:tc>
          <w:tcPr>
            <w:tcW w:w="400" w:type="dxa"/>
            <w:vAlign w:val="bottom"/>
          </w:tcPr>
          <w:p>
            <w:pPr>
              <w:spacing w:after="0"/>
              <w:rPr>
                <w:sz w:val="3"/>
                <w:szCs w:val="3"/>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left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15,314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859,345</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25,557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311,546</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102,423</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1,273,314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1,318,659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349,876</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(81,335)</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(86,384)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151,884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1,541,855</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(19,984)</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(7,410)</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(16,246)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(193,004)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(209,388)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(187,194)</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(366,637)</w:t>
            </w:r>
          </w:p>
        </w:tc>
        <w:tc>
          <w:tcPr>
            <w:tcW w:w="1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27,756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1,080,310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136,225</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1,175,218</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were primarily related to the Polestar Precept and various other internal programs for the years ended December 31, 2021, 2020 and 2019. Additions of acquired IP during the years ended December 31, 2021, 2020 and 2019 were related to acquisitions of PS2 and Polestar 3 (“PS3”) IP from Volvo Cars. During the year ended December 31, 2021, Polestar also acquired IP related to the Polestar 4 (“PS4”) from Geely.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July 2015 acquisition of Polestar Performance AB by Volvo Cars and subsequent acquisition of Polestar Performance AB and Polestar Holding AB by Polestar Automotive (Shanghai) Co. Ltd. generated goodwill of $55,991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balance of goodwill amounted to $53,282 and $59,129, respectively. The balance of trademarks as of December 31, 2021 and 2020 amounted to $2,647 and $2,937, respectively. The changes to the carrying amount of goodwill and trademarks were as follows: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2,937</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2,647</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Property, plant and equipment</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PPE are recognised in the Consolidated Statement of Financial Position with carrying amounts of $208,193 and $201,671, respectively. Of these amounts, $34,954 and $29,769 is related to ROU assets for leased buildings and land, and $34,652 and $42,108 is related to ROU assets for leased machinery and equipment, respectively. Refer to Note 9 – Leases for more details on the Groups ROU assets and operating leases.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6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1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45,138</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65,384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61,000</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Divestments and disposals</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2,864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48,820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131,479</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33,622</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(7,977)</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147,977</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(1,744)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(38,329)</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(40,073)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Divestments and disposal</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(3,411)</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(2,376)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(52,383)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(84,574)</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46,444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81,472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129,794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1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47,518</w:t>
            </w:r>
          </w:p>
        </w:tc>
        <w:tc>
          <w:tcPr>
            <w:tcW w:w="40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63,403</w:t>
            </w:r>
          </w:p>
        </w:tc>
        <w:tc>
          <w:tcPr>
            <w:tcW w:w="2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23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F-94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both financial instruments carried at fair value and financial instruments measured at amortised cost, there was no difference between fair value and carrying amount. The following table shows the carrying amounts of financial assets measured at fair value on a recurring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FVTPL</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1,258</w:t>
            </w:r>
          </w:p>
        </w:tc>
        <w:tc>
          <w:tcPr>
            <w:tcW w:w="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December 31, 2019, the Group carried a derivative asset and liability at fair value on a recurring basis, in the amounts of $101 and $352, respectively. These derivatives were financial instruments carried at FVTPL.</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realised loss on derivatives was nil and $554, respectively. For the year ended December 31, 2019, the realised gain on derivatives was $16,615.</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amortised cost: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amortised cost</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gridSpan w:val="4"/>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172,441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969,541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1,541,974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642,338</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502,809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Total interest income arising on financial assets measured at amortised cost related mainly to cash and cash equivalents as of December 31, 2021, 2020 and 2019, and amounted to $1,396, $3,199 and $13,286, respectively. Total interest expense arising on financial liabilities measured at amortised cost related mainly to liabilities to credit institutions and other financing obligations as of December 31, 2021, 2020 and 2019, and amounted to $42,482, $24,379 and $17,850, respectively.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040"/>
          </w:cols>
          <w:pgMar w:left="320" w:top="455" w:right="5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172,441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756,677</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1,258</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969,117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1,541,974</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642,338</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502,809</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 liabilities -</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parties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24,072</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2,711,193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2020:</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9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9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307,694</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316,424</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50,206</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2,676</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1,145,408</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363,490</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203,107</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312</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1,712,005</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312</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financial instruments were offset by the Group.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0680"/>
          </w:cols>
          <w:pgMar w:left="320" w:top="455" w:right="89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Trade receivables</w:t>
      </w:r>
    </w:p>
    <w:p>
      <w:pPr>
        <w:spacing w:after="0" w:line="3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the aging analysis of the trade receivables: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712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1-30 days</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&gt;90 days</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7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overdue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89,348</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53,289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7,310</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60,599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54,354</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99,250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194,891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208,444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45,127</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Management determines that a receivable is written off once reasonable means of collection have been unsuccessful and the Group has no reasonable expectations of recovering the entire contractual cash flows, or a portion thereof. Historically, the Group has had no credit losses. As of December 31, 2021 and 2020, Polestar Group has performed an ECL assessment and found no significant effects resulting from the analysis; no write-offs were made for trade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information on credit risks for trade receivables is included in Note 2 – Financial risk management.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inventory primarily consisted of vehicles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good for resale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610,124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460,792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(67,967)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(35,984)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432,531</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Inventories recognised as an expense during the years ended December 31, 2021, 2020 and 2019 amounted to $1,234,062, $551,508 and $33,771, respectively and were included in Cost of sales.</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write-downs of inventories to net realisable value amounted to $67,967 and $35,984, respectively. The write down was recognised as an expense during the years ended December 31, 2021 and 2020 and was included in Cost of sales in the Consolidated Statement of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40"/>
          </w:cols>
          <w:pgMar w:left="320" w:top="455"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assets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accrued income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40,077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120,202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60,331</w:t>
            </w:r>
          </w:p>
        </w:tc>
      </w:tr>
      <w:tr>
        <w:trPr>
          <w:trHeight w:val="20"/>
        </w:trPr>
        <w:tc>
          <w:tcPr>
            <w:tcW w:w="6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As of December 31, 2021, prepaid expenses and accrued interest income consisted primarily of accrued transaction costs related to the proposed business transaction with Gores Guggenheim Inc. As of December 31, 2020, prepaid expenses and accrued interest income consisted primarily of prepaid expenses related to marketing and accrued interest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presented in Note 3 – Common control transaction, the concept of share capital did not exist under the Old Parent’s limited company structure and was introduced under the New Parent’s private company limited structure. As of December 31, 2020, share capital consisted of Class A common shares which were fully paid, authorised, issued and outstanding.</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After the issuance of 14,371,808 Class A common shares in December 2020, total common shares issued and outstanding were 214,371,808 as of December 31, 2020, with each common share valued at $6.15 (in ones). Class A common shares were issued at no par value.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March 2021, the Group’s Board of Directors distributed 18,032,787 shares of newly authorised Class B common shares at $30.50 (in ones) a share for proceeds of $550,000; related issuance costs amounted to $2,843. Of the 18,032,787 shares issued, 4,262,295 were issued to Geely. In July 2021, 17,345,079 Class A common shares were converted to Class B common shares. Following these events, total Class A and Class B common shares issued and outstanding were 232,404,595, with each share valued at $8.04 (in ones). Class A and B common shares were both issued with no par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share capital consists of Class A and Class B common shares which were fully paid, authorised, issued and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number of common shares issued and outstanding were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09"/>
        </w:trPr>
        <w:tc>
          <w:tcPr>
            <w:tcW w:w="33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Balance as of September 14, 2020</w:t>
            </w:r>
            <w:r>
              <w:rPr>
                <w:rFonts w:ascii="Times New Roman" w:cs="Times New Roman" w:eastAsia="Times New Roman" w:hAnsi="Times New Roman"/>
                <w:sz w:val="24"/>
                <w:szCs w:val="24"/>
                <w:b w:val="1"/>
                <w:bCs w:val="1"/>
                <w:color w:val="auto"/>
                <w:vertAlign w:val="superscript"/>
              </w:rPr>
              <w:t>1</w:t>
            </w:r>
          </w:p>
        </w:tc>
        <w:tc>
          <w:tcPr>
            <w:tcW w:w="2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21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14,371,808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214,371,808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2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18,032,787</w:t>
            </w:r>
          </w:p>
        </w:tc>
        <w:tc>
          <w:tcPr>
            <w:tcW w:w="6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3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(17,345,079)</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17,345,079</w:t>
            </w: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35,377,866.00</w:t>
            </w:r>
          </w:p>
        </w:tc>
        <w:tc>
          <w:tcPr>
            <w:tcW w:w="60" w:type="dxa"/>
            <w:vAlign w:val="bottom"/>
          </w:tcPr>
          <w:p>
            <w:pPr>
              <w:spacing w:after="0"/>
              <w:rPr>
                <w:sz w:val="19"/>
                <w:szCs w:val="19"/>
                <w:color w:val="auto"/>
              </w:rPr>
            </w:pPr>
          </w:p>
        </w:tc>
      </w:tr>
      <w:tr>
        <w:trPr>
          <w:trHeight w:val="372"/>
        </w:trPr>
        <w:tc>
          <w:tcPr>
            <w:tcW w:w="3320" w:type="dxa"/>
            <w:vAlign w:val="bottom"/>
          </w:tcPr>
          <w:p>
            <w:pPr>
              <w:spacing w:after="0"/>
              <w:rPr>
                <w:sz w:val="24"/>
                <w:szCs w:val="24"/>
                <w:color w:val="auto"/>
              </w:rPr>
            </w:pPr>
          </w:p>
        </w:tc>
        <w:tc>
          <w:tcPr>
            <w:tcW w:w="3640" w:type="dxa"/>
            <w:vAlign w:val="bottom"/>
            <w:gridSpan w:val="3"/>
          </w:tcPr>
          <w:p>
            <w:pPr>
              <w:jc w:val="right"/>
              <w:ind w:right="2600"/>
              <w:spacing w:after="0"/>
              <w:rPr>
                <w:sz w:val="20"/>
                <w:szCs w:val="20"/>
                <w:color w:val="auto"/>
              </w:rPr>
            </w:pPr>
            <w:r>
              <w:rPr>
                <w:rFonts w:ascii="Times New Roman" w:cs="Times New Roman" w:eastAsia="Times New Roman" w:hAnsi="Times New Roman"/>
                <w:sz w:val="18"/>
                <w:szCs w:val="18"/>
                <w:color w:val="auto"/>
              </w:rPr>
              <w:t>F-98</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100" w:hanging="4"/>
        <w:spacing w:after="0" w:line="532" w:lineRule="auto"/>
        <w:tabs>
          <w:tab w:leader="none" w:pos="3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September 14, 2020 is the date of the common control transaction. Refer to Note 3 – Common control transaction for further details. The rights of Class A and Class B common shareholders are identical, except with respect to voting rights as specified below.</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Polestar Group has two classes of common shares which carry no right to fixed income. On any matter presented to the shareholders of the Group at any meeting of the shareholders, the holders of Class A common shares are entitled to ten votes per share; holders of Class B common shares are entitled to one vote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Of the $35,231,</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$9,531 is held by Geely. The convertible notes (“Notes”) are non-interest bearing and not eligible to receive a coupon or dividend for the first 24 months after issuance, at which point in time the convertible notes will be eligible to receive dividends equivalent to Class B common shares, pending approval from the Board of Directors.</w:t>
      </w:r>
    </w:p>
    <w:p>
      <w:pPr>
        <w:spacing w:after="0" w:line="186"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convertible notes will be automatically converted into Class B common shares upon (1) an issuance of equity securities in an amount greater than $50,000 to any entity that owns more than 35% voting power in the Polestar Group, (2) the occurrence of an initial public offering, combination with a special purpose acquisition company, or direct listing of the Polestar Group, (3) a liquidation of the Polestar Group, or (4) the non-occurrence of any of the preceding events by the 24-month anniversary of the issuance of the convertible note (i.e., each a qualifying conversion event).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in liquidation, the conversion price of a qualifying conversion event is dependent upon the per share price of the corresponding equity securities offered and may be subject to a discount, depending on the time elapsed since the issuance of the convertible note. In liquidation, the convertible notes are converted to Class B common shares at a fixed conversion price. Additionally, the Polestar Group has the ability to convert the convertible note to Class B common shares for a fixed conversion price at will prior to the occurrence of a qualifying conversion event. The convertible notes may only be settled via the issuance of equity, regardless of whether or not a qualifying conversion event occurs.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Accordingly, the Group accounted for the convertible notes as equity upon issuance and classified them within other contributed capital. As of December 31, 2021 all $35,231 of the convertible notes remained outstanding as none of the convertible notes had been converted to Class B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translation reserve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Accumulated deficit</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Accumulated deficit comprises Net loss for the year and preceding years less any profits distributed. Accumulated deficit also includes the effects of business combinations under common control within Polestar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00"/>
          </w:cols>
          <w:pgMar w:left="320" w:top="455" w:right="47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Current and non-current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Group’s current and non-current provisions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Warranties</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74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provisions</w:t>
            </w:r>
          </w:p>
        </w:tc>
        <w:tc>
          <w:tcPr>
            <w:tcW w:w="200" w:type="dxa"/>
            <w:vAlign w:val="bottom"/>
            <w:tcBorders>
              <w:left w:val="single" w:sz="8" w:color="auto"/>
            </w:tcBorders>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3,533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(24,348)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3"/>
              </w:rPr>
              <w:t>5,128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14,683</w:t>
            </w:r>
          </w:p>
        </w:tc>
        <w:tc>
          <w:tcPr>
            <w:tcW w:w="120" w:type="dxa"/>
            <w:vAlign w:val="bottom"/>
          </w:tcPr>
          <w:p>
            <w:pPr>
              <w:spacing w:after="0"/>
              <w:rPr>
                <w:sz w:val="20"/>
                <w:szCs w:val="20"/>
                <w:color w:val="auto"/>
              </w:rPr>
            </w:pPr>
          </w:p>
        </w:tc>
        <w:tc>
          <w:tcPr>
            <w:tcW w:w="200" w:type="dxa"/>
            <w:vAlign w:val="bottom"/>
            <w:tcBorders>
              <w:lef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18,759</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15,546</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34,305</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14,683</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68,081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6,867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64,087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7,628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11,038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82,753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320" w:type="dxa"/>
            <w:vAlign w:val="bottom"/>
          </w:tcPr>
          <w:p>
            <w:pPr>
              <w:spacing w:after="0"/>
              <w:rPr>
                <w:sz w:val="19"/>
                <w:szCs w:val="19"/>
                <w:color w:val="auto"/>
              </w:rPr>
            </w:pPr>
          </w:p>
        </w:tc>
        <w:tc>
          <w:tcPr>
            <w:tcW w:w="8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3"/>
              </w:rPr>
              <w:t>6,325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Pr>
          <w:p>
            <w:pPr>
              <w:spacing w:after="0"/>
              <w:rPr>
                <w:sz w:val="19"/>
                <w:szCs w:val="19"/>
                <w:color w:val="auto"/>
              </w:rPr>
            </w:pPr>
          </w:p>
        </w:tc>
        <w:tc>
          <w:tcPr>
            <w:tcW w:w="200" w:type="dxa"/>
            <w:vAlign w:val="bottom"/>
            <w:tcBorders>
              <w:left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35,427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employee benefits relates to the Group’s short-term incentive plan and LTVP. Refer to Note 6 – Employee benefits for more details.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 campaign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2021, the Group did not initiate any safety recalls or service campaigns.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fourth quarter of 2020, Polestar performed a safety recall and service campaign related to the PS2 to replace defective power inverters and high voltage coolant heaters (“HVCH”). Polestar is engaged in a sourcing level agreement with Volvo Cars related to the PS2 where Volvo Cars is the party having a relationship with the ultimate supplier. Volvo Cars subsequently compensated Polestar for the recalls, in full, in the amount of $78,978 for the faulty inverters and HVCH. Vehicles affected by the recall included those that had been sold to end customers as well as those still in inventory as of year-end, which were subsequently repaired before being sold to end customers. As of December 31, 2020, the Group has recovered all costs associated with the recall and service campaign.</w:t>
      </w:r>
    </w:p>
    <w:p>
      <w:pPr>
        <w:spacing w:after="0" w:line="187"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To the extent vehicles had not been sold to end customers as of year-end, no warranty provision has been recognised for those vehicles. Costs for these vehicles are initially recognised in inventory as vehicles are repaired and subsequently reported as cost of goods sold upon sale to end customers.</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060"/>
          </w:cols>
          <w:pgMar w:left="320" w:top="455" w:right="51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liabilities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19,642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payable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46,464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55,965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repurchase obligations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167,626</w:t>
            </w:r>
          </w:p>
        </w:tc>
      </w:tr>
      <w:tr>
        <w:trPr>
          <w:trHeight w:val="20"/>
        </w:trPr>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Accrued expenses and prepaid income consisted of primarily accrued expenses related to marketing and product development; personnel related liabilities consisted of wages, salaries, and other benefits payable.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December 31, 2021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USD</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830,000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500,000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unsecured borrowings as of December 31, 2020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984,551</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150,735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45,930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120,700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had the following outstanding bank loans:</w:t>
      </w:r>
    </w:p>
    <w:p>
      <w:pPr>
        <w:spacing w:after="0" w:line="225" w:lineRule="exact"/>
        <w:rPr>
          <w:sz w:val="20"/>
          <w:szCs w:val="20"/>
          <w:color w:val="auto"/>
        </w:rPr>
      </w:pPr>
    </w:p>
    <w:p>
      <w:pPr>
        <w:ind w:left="120" w:right="60" w:hanging="4"/>
        <w:spacing w:after="0" w:line="289" w:lineRule="auto"/>
        <w:tabs>
          <w:tab w:leader="none" w:pos="30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57" w:lineRule="exact"/>
        <w:rPr>
          <w:rFonts w:ascii="Times New Roman" w:cs="Times New Roman" w:eastAsia="Times New Roman" w:hAnsi="Times New Roman"/>
          <w:sz w:val="17"/>
          <w:szCs w:val="17"/>
          <w:color w:val="auto"/>
        </w:rPr>
      </w:pPr>
    </w:p>
    <w:p>
      <w:pPr>
        <w:ind w:left="120" w:hanging="4"/>
        <w:spacing w:after="0" w:line="266" w:lineRule="auto"/>
        <w:tabs>
          <w:tab w:leader="none" w:pos="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$130,559.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hanging="4"/>
        <w:spacing w:after="0" w:line="282" w:lineRule="auto"/>
        <w:tabs>
          <w:tab w:leader="none" w:pos="30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$78,650. This loan was agreed to in June 2021 with an expiry of June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carries interest at the latest 12-month national interbank offered rate plus 1.1%.</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ensure the Group can meet vehicle demand and fund operations related to vehicle sales. These facilities provide access to credit for 1-4 years, with the option to renew as mutually determined by Polestar Group and the financial service provider. As of December 31, 2021 and 2020, the aggregate amount outstanding under these arrangements was $32,453 and $1,345, respectively. Of the $32,453 outstanding as of December 31, 2021, $13,789 was related to the working capital loan with Volvo Cars, further detailed in Note 23 – Related party transactions.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Group had the following outstanding bank loans:</w:t>
      </w:r>
    </w:p>
    <w:p>
      <w:pPr>
        <w:spacing w:after="0" w:line="225" w:lineRule="exact"/>
        <w:rPr>
          <w:sz w:val="20"/>
          <w:szCs w:val="20"/>
          <w:color w:val="auto"/>
        </w:rPr>
      </w:pPr>
    </w:p>
    <w:p>
      <w:pPr>
        <w:ind w:left="120" w:right="20" w:hanging="4"/>
        <w:spacing w:after="0" w:line="282" w:lineRule="auto"/>
        <w:tabs>
          <w:tab w:leader="none" w:pos="30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$150,735. This loan was agreed to in June 2020 with an expiry of June 2021. The loan carries interest at the interbank loan prime rate plus 0.065%, settled either monthly or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82" w:lineRule="auto"/>
        <w:tabs>
          <w:tab w:leader="none" w:pos="3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$45,930. This loan was agreed to in December 2020 with an expiry of May 2021. The loan carries interest at the latest 12-month national interbank rate minus 0.37%, settled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66" w:lineRule="auto"/>
        <w:tabs>
          <w:tab w:leader="none" w:pos="30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uncommitted facility from a bank in the United Kingdom. The outstanding balance as of December 31, 2020 was $148,082. This loan was agreed to in December 2020 with an expiry of June 2021. The loan carries interest at 2.1% per annum over the relevant interbank offered rate, plus a flat arrangement fee of 0.25% to be paid on the value of the facility payable. Interest is to be paid at the end of the agreed upon financing term.</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Since all of the above identified contracts are short-term with terms of twelve months or less, the carrying amount of each contract is deemed to be a reasonable approximation of fair value. The Group’s risk management policies related to its debt instruments are further detailed in Note 2 – Financial risk management.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Group’s creditors do not require Polestar to maintain any material debt covenants. Unless the Group is unable to make its debt payments, there are no events, financial or otherwise, which trigger default under the debt contracts.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2021 and 2020, $14,465 and $17,398 of this financing obligation was outstanding, respectively, and had accrued interest of $1,679 and $301, respectively. As the financing obligation is short-term in nature, the total outstanding amount is reflected in liabilities to credit institutions in the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40"/>
          </w:cols>
          <w:pgMar w:left="320" w:top="455" w:right="4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 Supplemental cash flow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6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Purchases of intangible assets in trade payables – related parties and accrued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 – related parties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357,760</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143,986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135,989</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recognition of ROU assets and liabilities</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12,376</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61,529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3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 in trade payables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17,341</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23 – Related party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parties are as follows:</w:t>
      </w:r>
    </w:p>
    <w:p>
      <w:pPr>
        <w:spacing w:after="0" w:line="225" w:lineRule="exact"/>
        <w:rPr>
          <w:sz w:val="20"/>
          <w:szCs w:val="20"/>
          <w:color w:val="auto"/>
        </w:rPr>
      </w:pPr>
    </w:p>
    <w:p>
      <w:pPr>
        <w:ind w:left="300" w:hanging="184"/>
        <w:spacing w:after="0"/>
        <w:tabs>
          <w:tab w:leader="none" w:pos="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of directors, CEO and other key management employees in any Polestar entity;</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spouse or co-habitee of, or a person under the custody of, any person referred to in “a)” above;</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entities controlled by any person, alone or jointly, referred to under “a)” and “b)” above;</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that is a parent company, subsidiary, joint venture, or associate within Geely and Volvo Cars;</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in which a company within the Polestar Group holds, or otherwise controls, between 20-50 % (i.e., an associate or joint venture of any company within the Polestar Group); or</w:t>
      </w:r>
    </w:p>
    <w:p>
      <w:pPr>
        <w:spacing w:after="0" w:line="161" w:lineRule="exact"/>
        <w:rPr>
          <w:rFonts w:ascii="Times New Roman" w:cs="Times New Roman" w:eastAsia="Times New Roman" w:hAnsi="Times New Roman"/>
          <w:sz w:val="18"/>
          <w:szCs w:val="18"/>
          <w:color w:val="auto"/>
        </w:rPr>
      </w:pPr>
    </w:p>
    <w:p>
      <w:pPr>
        <w:ind w:left="120" w:hanging="4"/>
        <w:spacing w:after="0" w:line="282" w:lineRule="auto"/>
        <w:tabs>
          <w:tab w:leader="none" w:pos="2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family member of such person, that has direct or indirect control or joint control of a Polestar entity, has significant influence over a Polestar entity or is a member of the key management of Polestar Group.</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Historically,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relationship with Geely and Volvo Cars assisted in the development of favorable agreements with both parties at arm’s length reach. 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Such agreements provided advantages for the Group, including cost management and go-to-market efficiency.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agreements with related parties are on an arm’s length basis.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080"/>
          </w:cols>
          <w:pgMar w:left="320" w:top="455" w:right="49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entered into Service Agreements with Volvo Cars regarding the procurement of direct (production related) materials.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2021, Polestar entered into a unique vendor tooling agreement with Geely whereby Geely agrees to provide manufacturing OEM services for the Polestar model 4 vehicle (“PS4”). Refer to Note 24 – Commitments and contingencies for further details regarding this unique vendor tooling agreement.</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purchased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Until November 2021, production of the PS2 was executed at the Geely owned Luqiao plant through contract manufacturing agreements. In November 2021, ownership transferred to Volvo Cars and the plant was renamed to Taizhou.</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 The Group outsourced the manufacturing engineering for the production process of the PS1, PS2, and PS3 to Volvo Cars.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9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software, and performance engineered kits to Volvo Cars. Additionally, in 2020, the Group sold and delivered prototype engines to Geely and commercial vehicles and carbon credits to Volvo Cars. Refer to Note 4 – Revenue for further discussion on revenue recognised in accordance with IFRS 15.</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Polestar Group sells vehicles to related parties, Volvo Cars and Volvofinans Bank AB (“Volvofinans Bank”). Volvofinans Bank sells these vehicles to end customers when the end customers choose to finance the vehicles via Volvofinans Bank.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and Volvo Car Financial Services, doing business as Polestar Financial Services (“PFS”), entered into residual value guarantee agreements with Bank of America, National Association (“BANA”) in the US. BANA sought to obtain economic protection against degradations in the residual value of leased vehicles it funds, and Polestar USA agreed to provide such protection as a service for a fee.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 purchases sales and distribution services from Volvo Cars related to distribution and outbound logistics, market research, delivery of vehicles and other products and global customer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While the Group has its own information technology (“IT”) department, to a certain extent it operates in a shared IT environment with Volvo Cars and purchases service and software license agreements related to resource planning systems, operations, infrastructure, networking, communications, collaboration, integration and application hosting.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Other related party agreements in place with Volvo Cars primarily relate to service agreements to support corporate and/or back-office functions, including human resources (“HR”), legal, accounting, and other functions.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HR support services relate to activities associated with payroll administration, training and workforce administration.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support services include routine work associated with patent and brand registrations and competition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and finance support services include finance administration, local legal entity accounting and financial reporting.</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December 31, 2021, the entire amount of this financing arrangement remained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Working capital loans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00"/>
          </w:cols>
          <w:pgMar w:left="320" w:top="455" w:right="47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2021, December 31, 2020 and 2019, interest expense for these loans was nil, $8,684 and $5,037,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is related to Geely. As of December 31, 2021, all $9,531 of the Notes related to Geely are outstanding as none of the Notes had been converted to shares of Class B common shares. Refer to Note 18 – Equity for further details on the Notes.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Of the 18,032,787 Class B common shares issued in March 2021 to raise $550,000 in capital, 4,262,295 Class B common shares were issued to Geely, representing $130,000 of the total capital raised. Refer to Note 18 - Equity for further details on these share issuances.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agreements discussed above impact the Group’s financial statements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Related party revenue transactions relate to product development and sales and distribution agreements discussed above. Total revenue recognised for each related party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3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128,980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147,455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92,387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revenue from related parties amounted to $128,980 or 9.65% of total revenue. For the year ended December 31, 2020, revenue from related parties amounted to $147,455 or 24.16% of total revenue. For the year ended December 31, 2019, related party revenue was $92,387 or 99.97% of total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licenses to intellectual property, and other agreements as discussed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080"/>
          </w:cols>
          <w:pgMar w:left="320" w:top="455" w:right="4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PS2 vehicles were from Geely until the change in plant ownership in November 2021; purchases and their related payables were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Volvo Cars subsequent to this event. The total purchases of goods, services and other for each related party was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782,864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1,776,472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1,059,713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387,181</w:t>
            </w:r>
          </w:p>
        </w:tc>
        <w:tc>
          <w:tcPr>
            <w:tcW w:w="8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2021, Polestar Group entered into agreements with Volvo Cars and Geely to acquire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recognised asset reflects the relevant proportion of Polestar Group’s interest. The recognised asset associated with these agreements as of December 31, 2021 was $1,175,218, of which acquisitions attributable to 2021 were $349,876. The recognised asset associated with these agreements as of December 31, 2020 was $1,080,308, of which acquisitions attributable to 2020 were $311,546.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 related</w:t>
            </w: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235,622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627,729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Group’s interest expense on current liabilities due to Volvo Cars for the years ended December 31, 2021 and 2020 was $11,521 and $11,210, respectively. The Group’s interest expense on current liabilities due to Geely for the years ended December 31, 2021 and 2020 was $19,280 and nil,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208,444</w:t>
            </w:r>
          </w:p>
        </w:tc>
        <w:tc>
          <w:tcPr>
            <w:tcW w:w="60" w:type="dxa"/>
            <w:vAlign w:val="bottom"/>
          </w:tcPr>
          <w:p>
            <w:pPr>
              <w:spacing w:after="0"/>
              <w:rPr>
                <w:sz w:val="19"/>
                <w:szCs w:val="19"/>
                <w:color w:val="auto"/>
              </w:rPr>
            </w:pPr>
          </w:p>
        </w:tc>
      </w:tr>
      <w:tr>
        <w:trPr>
          <w:trHeight w:val="372"/>
        </w:trPr>
        <w:tc>
          <w:tcPr>
            <w:tcW w:w="66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F-107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Incentives to key management personnel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year-ended December 31, 2019, Volvo Cars provided an equity-based investment opportunity for certain members of the Group’s management team. The Polestar Investment Plan was launched to incentivise the retention of key personnel with pivotal roles in the development of the Group into a successful standalone company. Each participant was offered the opportunity to purchase shares in Polestar Investment AB (“PSINV AB”), a subsidiary of Volvo Cars. Accordingly, participants of the Polestar Investment Plan are indirectly minority owners of the Group. In accordance with external valuation, the investment in PSINV AB was made at fair market value.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total ownership interest of the Group’s members of management who hold shares in PSINV AB is 45.25% of total shares issued under Volvo Car’s Polestar Investment Plan. Management evaluated the Polestar Investment Plan to determine whether it qualified as an equity-settled share-based payment transaction within the scope of IFRS 2, as the participants receive shares of equity in exchange for their investment and more than one entity is involved in delivering the benefit to the participants. Given Polestar Group does not receive identifiable or unidentifiable goods or services in exchange for the equity purchase of PSINV AB, the transaction is not within the scope of IFRS 2. Furthermore, the Polestar Investment Plan is an agreement with Volvo Cars and individual members of Polestar Group’s prior EMT, as participants were given the option to purchase equity shares in PSINV AB, an entity outside of the legal entity structure of Polestar Group. Therefore, the Polestar Investment Plan is not a share-based payment transaction in the scope of IFRS 2 and there is no financial statement impact on the Group.</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Employee benefits for details on compensation to the EMT and managing directors at the Group’s sales units.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party share ownership as of December 31, 2021 and 2020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95,961,904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105,461,904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99,340,825</w:t>
            </w:r>
          </w:p>
        </w:tc>
        <w:tc>
          <w:tcPr>
            <w:tcW w:w="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107,185,904</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 Investment AB</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1,724,000</w:t>
            </w: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1,724,000</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214,371,808</w:t>
            </w:r>
          </w:p>
        </w:tc>
        <w:tc>
          <w:tcPr>
            <w:tcW w:w="60" w:type="dxa"/>
            <w:vAlign w:val="bottom"/>
          </w:tcPr>
          <w:p>
            <w:pPr>
              <w:spacing w:after="0"/>
              <w:rPr>
                <w:sz w:val="19"/>
                <w:szCs w:val="19"/>
                <w:color w:val="auto"/>
              </w:rPr>
            </w:pP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4"/>
                <w:szCs w:val="2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17,345,079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5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4,262,295</w:t>
            </w:r>
          </w:p>
        </w:tc>
        <w:tc>
          <w:tcPr>
            <w:tcW w:w="8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21,607,374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2019, related parties collectively owned 200,000,000 Class A common shares, of which Volvo Cars (China) Investment Co., Ltd held 100,000,000 shares and Zhejiang Geely Holding Group Co., Ltd held 100,000,000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further details.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Aggregate payments Polestar will make to Geely under this agreement and the amounts of future commitments are $137,382 as of December 31, 2021.</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Around the same time, 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totaling an aggregate amount of $414,055. Future commitments related to these agreements as of December 31, 2021 were $329,216. The agreements also obligate Polestar to make certain royalty payments per vehicle sold once the PS4 reaches commercialisation.</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2019, Polestar Group entered into a type bound and unique equipment agreement for the PS3. In addition, Polestar Group entered into volume commitments related to common technology shared with Volvo Cars. If Polestar’s share of Volvo Cars investment in common tooling is not recovered by Volvo Cars, Polestar will reimburse Volvo Cars such costs.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As of December 31, 2021, commitments to acquire PPE and intangible assets were $235,573 and $501,207, respectively. As of December 31, 2020, commitments to acquire PPE and intangible assets were $79,365 and $313,675,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did not have any liabilities related to such contingencies as of December 31,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25 – Subsequent events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following events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080"/>
          </w:cols>
          <w:pgMar w:left="320" w:top="455" w:right="49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which occurred subsequent to December 31, 2021 merited disclosure in these Consolidated Financial Statements. Management determined that no adjustments were required to the figures presented as a result of these events.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On March 24, 2022, Polestar made a drawdown of EUR 86,634,703, or approximately $94,500. This loan carries interest at the relevant interbank offered rate plus 2.1% per annum and has a repayment period of 90 days.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March 3, 2022, Snita B.V. and PSD Investment Ltd. each issued official declarations of intent that set forth their intention to fund Polestar’s continued growth under the Group’s current business plan. Both parties intend to subscribe to their pro rata share of any future equity or equity-linked securities issued by Polestar.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The Hertz Corporation (“Hertz”) pursuant to which Hertz intends to commit to purchase 65,000 or more Polestar vehicles during a 5-year period beginning in 2022. Polestar and Hertz intend to sign four regional purchase agreements covering the United States, Canada, Europe, and Australia. The new global strategic partnership was announced by Polestar and Hertz Global Holdings, Inc. on April 4, 2022. Availability of vehicles is expected to begin in Spring 2022 in Europe and late 2022 in North America and Australia. Under the partnership, Hertz is expected to initially order PS2s.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March 2022, Polestar signed two agreements with Geely for Polestar to license technology from Geely related to the development and manufacturing of the PS4. The duration of these agreements is through 2024.</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April 14, 2022, Volvo Cars and Polestar entered into a letter of agreement to extend the terms of SEK 5,046,000,000, or the equivalent of $528,064, in related party trade payables due from Polestar as part of Volvo Cars’ ongoing support of Polestar and its growth strategy. These related party trade payables are now due to Volvo Cars on June 30, 2023.</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June 2021, four new employee incentive plans were approved by the Board of Directors. All four of the programs are expected to go into effect in 2022 upon the completion of the business combination with Gores Guggenheim Inc. The new incentive plans awarded to the EMT and select management team members include (1) a one-time issuance of restricted shares of Class A common shares in a value equal to a certain percentage of the awardee’s base salary. Upon issuance, one third of these shares vest immediately, while the remaining shares vest in equal installments on the 12-month and 24-month anniversary of the original issuance and (2) a replacement of the current LTVP in the form of an annual issuance of restricted shares and performance shares of Class A common shares equal to a certain percentage of the awardee’s base salary, depending on awardee’s position at the Polestar Group, with a 3-year vesting period. The new incentive plans awarded to all employees include (3) a one-time issuance of Class A common shares in a value equal to 4% of the awardee’s base salary and (4) an annual share matching program whereby the awardee is offered the opportunity to invest up to 2% of their base salary of the Polestar Group and receive the issuance of Class A common shares in equal value for free.</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Gores Guggenheim Inc. as described in Note 1 – Significant accounting policies and judgements, Volvo Cars entered into an agreement with Polestar Group, which was subsequently amended in March 2022, to subscribe for mandatory convertible preference shares in Polestar Automotive Holding UK Limited. Concurrently with the closing of the business combination agreement with Gores Guggenheim Inc., the preference shares will be issued in consideration of the payment by Volvo Cars of a cash amount totaling $588,826, which will be used to repay outstanding payables owed to Volvo Cars. Each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120"/>
          </w:cols>
          <w:pgMar w:left="320" w:top="455"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preference share will be convertible into Class A common shares at a conversion price of $10.00 per Polestar Automotive Holding UK Limited Ordinary Share. The execution of this agreement is contingent on the closing of the business combination with Gores Guggenheim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240"/>
        <w:spacing w:after="0" w:line="286" w:lineRule="auto"/>
        <w:rPr>
          <w:sz w:val="20"/>
          <w:szCs w:val="20"/>
          <w:color w:val="auto"/>
        </w:rPr>
      </w:pPr>
      <w:r>
        <w:rPr>
          <w:rFonts w:ascii="Times New Roman" w:cs="Times New Roman" w:eastAsia="Times New Roman" w:hAnsi="Times New Roman"/>
          <w:sz w:val="21"/>
          <w:szCs w:val="21"/>
          <w:b w:val="1"/>
          <w:bCs w:val="1"/>
          <w:color w:val="auto"/>
        </w:rPr>
        <w:t>Polestar Automotive Holding UK PLC (formerly known as Polestar Automotive Holding UK Limited) Consolidated Financial Statements for the period September 15, 2021 to December 31, 2021</w:t>
      </w:r>
    </w:p>
    <w:p>
      <w:pPr>
        <w:spacing w:after="0" w:line="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0320"/>
          </w:cols>
          <w:pgMar w:left="320" w:top="455" w:right="12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 of Polestar Automotive Holding UK PLC (formerly known as Polestar Automotive Holding UK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Polestar Automotive Holding UK PLC (formerly known as Polestar Automotive Holding UK Limited) (the “Company”) as of September 15, 2021 and December 31, 2021, the related statement of changes in equity for the period September 15, 2021 to December 31, 2021, and the related notes (collectively referred to as the “financial statements”). In our opinion, the financial statements present fairly, in all material respects, the financial position of the Company as of September 15, 2021 and December 31, 2021, in conformity with International Financial Reporting Standards as issued by the International Accounting Standards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4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15,</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 related parties</w:t>
            </w:r>
          </w:p>
        </w:tc>
        <w:tc>
          <w:tcPr>
            <w:tcW w:w="4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28,846,674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4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 related parties</w:t>
            </w:r>
          </w:p>
        </w:tc>
        <w:tc>
          <w:tcPr>
            <w:tcW w:w="4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(28,846,674)</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(28,846,674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40" w:type="dxa"/>
            <w:vAlign w:val="bottom"/>
            <w:gridSpan w:val="3"/>
            <w:vMerge w:val="restart"/>
          </w:tcPr>
          <w:p>
            <w:pPr>
              <w:jc w:val="right"/>
              <w:ind w:right="2860"/>
              <w:spacing w:after="0"/>
              <w:rPr>
                <w:sz w:val="20"/>
                <w:szCs w:val="20"/>
                <w:color w:val="auto"/>
              </w:rPr>
            </w:pPr>
            <w:r>
              <w:rPr>
                <w:rFonts w:ascii="Times New Roman" w:cs="Times New Roman" w:eastAsia="Times New Roman" w:hAnsi="Times New Roman"/>
                <w:sz w:val="18"/>
                <w:szCs w:val="18"/>
                <w:color w:val="auto"/>
              </w:rPr>
              <w:t>F-114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3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5"/>
        </w:trPr>
        <w:tc>
          <w:tcPr>
            <w:tcW w:w="3900" w:type="dxa"/>
            <w:vAlign w:val="bottom"/>
          </w:tcPr>
          <w:p>
            <w:pPr>
              <w:spacing w:after="0"/>
              <w:rPr>
                <w:sz w:val="2"/>
                <w:szCs w:val="2"/>
                <w:color w:val="auto"/>
              </w:rPr>
            </w:pPr>
          </w:p>
        </w:tc>
        <w:tc>
          <w:tcPr>
            <w:tcW w:w="4360" w:type="dxa"/>
            <w:vAlign w:val="bottom"/>
            <w:vMerge w:val="restart"/>
          </w:tcPr>
          <w:p>
            <w:pPr>
              <w:spacing w:after="0"/>
              <w:rPr>
                <w:sz w:val="2"/>
                <w:szCs w:val="2"/>
                <w:color w:val="auto"/>
              </w:rPr>
            </w:pP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900" w:type="dxa"/>
            <w:vAlign w:val="bottom"/>
          </w:tcPr>
          <w:p>
            <w:pPr>
              <w:spacing w:after="0"/>
              <w:rPr>
                <w:sz w:val="12"/>
                <w:szCs w:val="12"/>
                <w:color w:val="auto"/>
              </w:rPr>
            </w:pPr>
          </w:p>
        </w:tc>
        <w:tc>
          <w:tcPr>
            <w:tcW w:w="43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15, 2021</w:t>
            </w:r>
          </w:p>
        </w:tc>
        <w:tc>
          <w:tcPr>
            <w:tcW w:w="4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5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52"/>
        </w:trPr>
        <w:tc>
          <w:tcPr>
            <w:tcW w:w="3900" w:type="dxa"/>
            <w:vAlign w:val="bottom"/>
          </w:tcPr>
          <w:p>
            <w:pPr>
              <w:spacing w:after="0"/>
              <w:rPr>
                <w:sz w:val="24"/>
                <w:szCs w:val="24"/>
                <w:color w:val="auto"/>
              </w:rPr>
            </w:pPr>
          </w:p>
        </w:tc>
        <w:tc>
          <w:tcPr>
            <w:tcW w:w="50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F-115</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Company”), company number 13624182, was incorporated as a private company under the laws of England and Wales on September 15, 2021 as a direct wholly owned subsidiary of Polestar Automotive Holding Limited, a limited company incorporated in Hong Kong. Effective May 5, 2022, the Company re-registered as a public limited company. Together with its subsidiaries, Polestar Automotive Holding Limited is referred to as “Polestar”, “Polestar Group” or the “Group”. The Company is registered as a USD company.</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becoming the ultimate parent company in the Polestar Group following the transactions contemplated in the business combination agreement, dated September 27, 2021 (the “Business Combination Agreement”) by and among the Company, Polestar Group, and Gores Guggenheim Inc. (“GGI”), a special purpose acquisition company. The Company maintains one direct wholly owned subsidiary, PAH UK Merger Sub Inc. (“Merger Sub”), a Delaware corporation. Merger Sub was incorporated on September 15, 2021 to facilitate the consummation of the Business Combination Agreement. As of December 31, 2021, Merger Sub had no assets, liabilities, or operations.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Merger Sub will merge with and into GGI, pursuant to which the separate corporate existence of Merger Sub will cease, with GGI being the surviving corporation and becoming a wholly owned subsidiary of the Company. Following the consummation of the transactions contemplated by the Business Combination Agreement, the Company will be the surviving publicly-traded corporation. However, the consummation of the transactions contemplated by the Business Combination Agreement is subject to numerous conditions, and there can be no assurances that such conditions will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Statements of Financial Position and Consolidated Statements of Changes in Equity have been prepared in accordance with the International Financial Reporting Standards (“IFRS”) issued by the International Accounting Standards Board (“IASB”), on the historical cost basis, and in the presentation currency USD. All amounts are in actual USD unless otherwise stated. Separate statements of operations, comprehensive income, and cash flows have not been presented in the Consolidated Financial Statements because there have been no operating activities in the Company during the period September 15, 2021 to December 31,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financial assets and other financial liabilities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 A financial asset or financial liability is included in the balance sheet when the entity becomes a party to the contractual terms of the instrument. Other financial liabilities and other financial assets, including liabilities to and receivables from related parties, are valued at amortized cost. A financial asset is removed from the balance sheet when the contractual right to cash flow from the asset has ceased or been settled. The same applies where the risks and benefits associated with the holding are essentially transferred to another party and the entity no longer has control over the financial asset. A financial liability is derecognised when the agreed obligation has been fulfilled or ceased.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costs in an offering of equity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offering of equity securities, incremental costs that otherwise would not have been incurred are deferred and capitalized in the balance sheet as an financial asset at amortized cost instead of expensed as incurred. When cash is received from investors as part of the offering, such deferred incremental costs are derecognised and deducted from additional paid-in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Related party transaction with Polestar Group</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During the period September 15, 2021 to December 31, 2021, Polestar Group incurred $28,846,674 in transaction costs related to the transactions contemplated in the Business Combination Agreement. These costs consist of professional service fees for lawyers, accountants, bankers, and other advisors. The Company will become the ultimate parent company following the consummation of the transactions contemplated in the Business Combination Agreement and will reimburse the related Polestar Group entity for these costs. As such, the Polestar Group entity is a related party to the Company. Upon the consummation of the transactions contemplated in the Business Combination Agreement, these costs will offset proceeds from the transactions in equity. Accordingly, the Company recorded these costs in the Company’s Consolidated Statements of Financial Position under the captions Other current assets and Other current liabilities - related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Share capital</w:t>
      </w:r>
    </w:p>
    <w:p>
      <w:pPr>
        <w:spacing w:after="0" w:line="121"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Company was incorporated on September 15, 2021 and issued 1 Class A ordinary share at $1 to an entity in the Polestar Group. On October 15, 2021, the Company had the following changes in equity:</w:t>
      </w:r>
    </w:p>
    <w:p>
      <w:pPr>
        <w:spacing w:after="0" w:line="67" w:lineRule="exact"/>
        <w:rPr>
          <w:sz w:val="20"/>
          <w:szCs w:val="20"/>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of initial equity from 1 Class A ordinary share at $1 per share to 100 Class A ordinary shares at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issuance of 900 Class A ordinary shares at $0.01 per share to the related Polestar Group entity.</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Company’s authorized share capital consists of 1,000 Class A ordinary shares at $0.01 per share, for a total of $10. Each Class A ordinary share maintains one voting right. The entire amount of this equity is held by an entity in the Polestar Group and recorded as a receivable under the caption Other receivables - related parties in the Company’s Consolidated Statements of Financial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were no events which occurred subsequent to December 31, 2021 that merited disclosure in these Consolidated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080"/>
          </w:cols>
          <w:pgMar w:left="320" w:top="455" w:right="4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w:t>
      </w:r>
    </w:p>
    <w:p>
      <w:pPr>
        <w:spacing w:after="0" w:line="192"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w:t>
      </w:r>
    </w:p>
    <w:p>
      <w:pPr>
        <w:spacing w:after="0" w:line="2" w:lineRule="exact"/>
        <w:rPr>
          <w:sz w:val="20"/>
          <w:szCs w:val="20"/>
          <w:color w:val="auto"/>
        </w:rPr>
      </w:pPr>
    </w:p>
    <w:p>
      <w:pPr>
        <w:ind w:left="120" w:right="300" w:hanging="4"/>
        <w:spacing w:after="0" w:line="255" w:lineRule="auto"/>
        <w:tabs>
          <w:tab w:leader="none" w:pos="43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defence of any criminal proceeding if the member of the registrant’s board of directors is convicted, (iv) the defence of any civil proceeding brought by the registrant or an associated company in which judgement is given against the director and (v) any application for relief under the Companies Act in which the court refuses to grant relief to the director.</w:t>
      </w:r>
    </w:p>
    <w:p>
      <w:pPr>
        <w:spacing w:after="0" w:line="18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the registrant entered into deeds of indemnity with its directors, officers and certain members of Polestar Group’s senior management in connection with the Business Combination pursuant to which the registrant agrees to indemnify each such person in connection with threatened, pending or completed actions, suits or proceedings to which such person has been made a party or in which such person becomes involved.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the past three years, we have issued the following securities that were not registered under the Securities Act. Each of these securities were issued in reliance upon the exemptions provided by Section 4(a)(2) and/or Regulation S under the Securities Act. No underwriters were involved in these issuances of securities.</w:t>
      </w:r>
    </w:p>
    <w:p>
      <w:pPr>
        <w:spacing w:after="0" w:line="81"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Business Combination, we issued 294,877,349 Class A ADSs to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Business Combination, we issued an aggregate of 9,000,000 Class C-2 ADSs to the GGI Sponsor.</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Sponsor Subscription Agreement, the PIPE Subscription Agreements and the Volvo Cars PIPE Subscription Agreement, we issued to the GGI Sponsor, the PIPE Investors and Snita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5" w:right="51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Class A ADSs for an average cash price of $9.42 per Class A ADS, representing an aggregate purchase price of approximately</w:t>
      </w:r>
    </w:p>
    <w:p>
      <w:pPr>
        <w:spacing w:after="0" w:line="27" w:lineRule="exact"/>
        <w:rPr>
          <w:sz w:val="20"/>
          <w:szCs w:val="20"/>
          <w:color w:val="auto"/>
        </w:rPr>
      </w:pPr>
    </w:p>
    <w:p>
      <w:pPr>
        <w:ind w:left="1100" w:right="180"/>
        <w:spacing w:after="0" w:line="260" w:lineRule="auto"/>
        <w:rPr>
          <w:sz w:val="20"/>
          <w:szCs w:val="20"/>
          <w:color w:val="auto"/>
        </w:rPr>
      </w:pPr>
      <w:r>
        <w:rPr>
          <w:rFonts w:ascii="Times New Roman" w:cs="Times New Roman" w:eastAsia="Times New Roman" w:hAnsi="Times New Roman"/>
          <w:sz w:val="18"/>
          <w:szCs w:val="18"/>
          <w:color w:val="auto"/>
        </w:rPr>
        <w:t>$250.0 million. The aggregate number of Class A ADSs issued as of the date of this prospectus in connection with the PIPE Subscription Agreements was 26,540,835.</w:t>
      </w:r>
    </w:p>
    <w:p>
      <w:pPr>
        <w:spacing w:after="0" w:line="87" w:lineRule="exact"/>
        <w:rPr>
          <w:sz w:val="20"/>
          <w:szCs w:val="20"/>
          <w:color w:val="auto"/>
        </w:rPr>
      </w:pPr>
    </w:p>
    <w:p>
      <w:pPr>
        <w:ind w:left="1080" w:right="18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Volvo Cars Preference Subscription Agreement, we issued 58,882,610 mandatory convertible preference shares to Snita for $588,826,100, or a subscription price of $10.00 per share. At closing of the Business Combination, the 58,882,610 Preference Shares converted into 58,882,610 Class A ADSs at a $10.00 conversion price.</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convertible notes issued by Parent to certain Parent Convertible Note Holders, 4,306,466 Class A ADSs were issued to the Parent Convertible Note Holders upon conversion of the Parent Convertible Notes at the time of the Business Combination at a conversion price of $8.18.</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performance of marketing consulting services valued at up to $5,000,000, up to 500,000 Class A ADSs will be issued to a service provider. 250,000 shares will vest and be issued on the date this registration statement becomes effective. 250,000 shares will vest over a 24-month period with one eighth of these shares vesting each quarter. None of these vested shares will be issued prior to the effectiveness of this registration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40" w:type="dxa"/>
            <w:vAlign w:val="bottom"/>
            <w:gridSpan w:val="13"/>
          </w:tcPr>
          <w:p>
            <w:pPr>
              <w:ind w:left="3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4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5"/>
              </w:rPr>
              <w:t>2.1**##</w:t>
            </w:r>
          </w:p>
        </w:tc>
        <w:tc>
          <w:tcPr>
            <w:tcW w:w="920" w:type="dxa"/>
            <w:vAlign w:val="bottom"/>
          </w:tcPr>
          <w:p>
            <w:pPr>
              <w:spacing w:after="0"/>
              <w:rPr>
                <w:sz w:val="22"/>
                <w:szCs w:val="22"/>
                <w:color w:val="auto"/>
              </w:rPr>
            </w:pPr>
          </w:p>
        </w:tc>
        <w:tc>
          <w:tcPr>
            <w:tcW w:w="93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Business Combination Agreement, dated as of September 27, 2021, by and among Gores Guggenheim Inc., Polestar Automotive</w:t>
              </w:r>
            </w:hyperlink>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2">
              <w:r>
                <w:rPr>
                  <w:rFonts w:ascii="Times New Roman" w:cs="Times New Roman" w:eastAsia="Times New Roman" w:hAnsi="Times New Roman"/>
                  <w:sz w:val="18"/>
                  <w:szCs w:val="18"/>
                  <w:color w:val="0000EE"/>
                  <w:w w:val="99"/>
                </w:rPr>
                <w:t>Holding Limited, Polestar Automotive (Singapore) Pte. Ltd., Polestar Holding AB, Inc., Polestar Automotive Holding UK</w:t>
              </w:r>
            </w:hyperlink>
          </w:p>
        </w:tc>
        <w:tc>
          <w:tcPr>
            <w:tcW w:w="52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Limited and PAH UK Merger Sub Inc. (incorporated by reference to Annex A-1 to the proxy statement/prospectus).</w:t>
              </w:r>
            </w:hyperlink>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2.2**##</w:t>
            </w:r>
          </w:p>
        </w:tc>
        <w:tc>
          <w:tcPr>
            <w:tcW w:w="9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Amendment No. 1 to the Business Combination Agreement, dated as of December 17, 2021, by and among Gores Guggenheim</w:t>
              </w:r>
            </w:hyperlink>
          </w:p>
        </w:tc>
        <w:tc>
          <w:tcPr>
            <w:tcW w:w="10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Inc., Polestar Automotive Holding Limited, Polestar Automotive (Singapore) Pte. Ltd., Polestar Holding AB, Inc., Polestar</w:t>
              </w:r>
            </w:hyperlink>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Automotive Holding UK Limited and PAH UK Merger Sub Inc. (incorporated by reference to Annex A-2 to the proxy</w:t>
              </w:r>
            </w:hyperlink>
          </w:p>
        </w:tc>
        <w:tc>
          <w:tcPr>
            <w:tcW w:w="320" w:type="dxa"/>
            <w:vAlign w:val="bottom"/>
            <w:tcBorders>
              <w:top w:val="single" w:sz="8" w:color="0000EE"/>
            </w:tcBorders>
            <w:gridSpan w:val="2"/>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statement/prospectus and was previously included as Exhibit 2.1 to GGI’s current report on Form 8-K, filed December 17, 2021).</w:t>
              </w:r>
            </w:hyperlink>
          </w:p>
        </w:tc>
        <w:tc>
          <w:tcPr>
            <w:tcW w:w="20" w:type="dxa"/>
            <w:vAlign w:val="bottom"/>
          </w:tcPr>
          <w:p>
            <w:pPr>
              <w:spacing w:after="0"/>
              <w:rPr>
                <w:sz w:val="17"/>
                <w:szCs w:val="17"/>
                <w:color w:val="auto"/>
              </w:rPr>
            </w:pPr>
          </w:p>
        </w:tc>
      </w:tr>
      <w:tr>
        <w:trPr>
          <w:trHeight w:val="304"/>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2.3**##</w:t>
            </w:r>
          </w:p>
        </w:tc>
        <w:tc>
          <w:tcPr>
            <w:tcW w:w="920" w:type="dxa"/>
            <w:vAlign w:val="bottom"/>
          </w:tcPr>
          <w:p>
            <w:pPr>
              <w:spacing w:after="0"/>
              <w:rPr>
                <w:sz w:val="24"/>
                <w:szCs w:val="24"/>
                <w:color w:val="auto"/>
              </w:rPr>
            </w:pPr>
          </w:p>
        </w:tc>
        <w:tc>
          <w:tcPr>
            <w:tcW w:w="9340" w:type="dxa"/>
            <w:vAlign w:val="bottom"/>
            <w:gridSpan w:val="13"/>
          </w:tcPr>
          <w:p>
            <w:pPr>
              <w:spacing w:after="0"/>
              <w:rPr>
                <w:rFonts w:ascii="Times New Roman" w:cs="Times New Roman" w:eastAsia="Times New Roman" w:hAnsi="Times New Roman"/>
                <w:sz w:val="18"/>
                <w:szCs w:val="18"/>
                <w:color w:val="0000EE"/>
              </w:rPr>
            </w:pPr>
            <w:hyperlink r:id="rId434">
              <w:r>
                <w:rPr>
                  <w:rFonts w:ascii="Times New Roman" w:cs="Times New Roman" w:eastAsia="Times New Roman" w:hAnsi="Times New Roman"/>
                  <w:sz w:val="18"/>
                  <w:szCs w:val="18"/>
                  <w:color w:val="0000EE"/>
                </w:rPr>
                <w:t>Amendment No. 2 to the Business Combination Agreement, dated as of March 24, 2022, by and among Gores Guggenheim Inc.,</w:t>
              </w:r>
            </w:hyperlink>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34">
              <w:r>
                <w:rPr>
                  <w:rFonts w:ascii="Times New Roman" w:cs="Times New Roman" w:eastAsia="Times New Roman" w:hAnsi="Times New Roman"/>
                  <w:sz w:val="18"/>
                  <w:szCs w:val="18"/>
                  <w:color w:val="0000EE"/>
                  <w:w w:val="99"/>
                </w:rPr>
                <w:t>Polestar Automotive Holding Limited, Polestar Automotive (Singapore) Pte. Ltd., Polestar Holding AB, Inc., Polestar</w:t>
              </w:r>
            </w:hyperlink>
          </w:p>
        </w:tc>
        <w:tc>
          <w:tcPr>
            <w:tcW w:w="8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4">
              <w:r>
                <w:rPr>
                  <w:rFonts w:ascii="Times New Roman" w:cs="Times New Roman" w:eastAsia="Times New Roman" w:hAnsi="Times New Roman"/>
                  <w:sz w:val="18"/>
                  <w:szCs w:val="18"/>
                  <w:color w:val="0000EE"/>
                  <w:w w:val="99"/>
                </w:rPr>
                <w:t>Automotive Holding UK Limited and PAH UK Merger Sub Inc. (incorporated by reference to Annex A-3 to the proxy</w:t>
              </w:r>
            </w:hyperlink>
          </w:p>
        </w:tc>
        <w:tc>
          <w:tcPr>
            <w:tcW w:w="8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Times New Roman" w:cs="Times New Roman" w:eastAsia="Times New Roman" w:hAnsi="Times New Roman"/>
                <w:sz w:val="18"/>
                <w:szCs w:val="18"/>
                <w:color w:val="0000EE"/>
              </w:rPr>
            </w:pPr>
            <w:hyperlink r:id="rId434">
              <w:r>
                <w:rPr>
                  <w:rFonts w:ascii="Times New Roman" w:cs="Times New Roman" w:eastAsia="Times New Roman" w:hAnsi="Times New Roman"/>
                  <w:sz w:val="18"/>
                  <w:szCs w:val="18"/>
                  <w:color w:val="0000EE"/>
                </w:rPr>
                <w:t>statement/prospectus and was previously included as Exhibit 2.1 to GGI’s current report on Form 8-K, filed March 25, 2022).</w:t>
              </w:r>
            </w:hyperlink>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35">
              <w:r>
                <w:rPr>
                  <w:rFonts w:ascii="Times New Roman" w:cs="Times New Roman" w:eastAsia="Times New Roman" w:hAnsi="Times New Roman"/>
                  <w:sz w:val="18"/>
                  <w:szCs w:val="18"/>
                  <w:color w:val="0000EE"/>
                </w:rPr>
                <w:t>Amendment No. 3 to the Business Combination Agreement, dated as of April 21, 2022, by and among Gores Guggenheim Inc.,</w:t>
              </w:r>
            </w:hyperlink>
          </w:p>
        </w:tc>
        <w:tc>
          <w:tcPr>
            <w:tcW w:w="10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35">
              <w:r>
                <w:rPr>
                  <w:rFonts w:ascii="Times New Roman" w:cs="Times New Roman" w:eastAsia="Times New Roman" w:hAnsi="Times New Roman"/>
                  <w:sz w:val="18"/>
                  <w:szCs w:val="18"/>
                  <w:color w:val="0000EE"/>
                  <w:w w:val="99"/>
                </w:rPr>
                <w:t>Polestar Automotive Holding Limited, Polestar Automotive (Singapore) Pte. Ltd., Polestar Holding AB, Inc., Polestar</w:t>
              </w:r>
            </w:hyperlink>
          </w:p>
        </w:tc>
        <w:tc>
          <w:tcPr>
            <w:tcW w:w="84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5">
              <w:r>
                <w:rPr>
                  <w:rFonts w:ascii="Times New Roman" w:cs="Times New Roman" w:eastAsia="Times New Roman" w:hAnsi="Times New Roman"/>
                  <w:sz w:val="18"/>
                  <w:szCs w:val="18"/>
                  <w:color w:val="0000EE"/>
                  <w:w w:val="99"/>
                </w:rPr>
                <w:t>Automotive Holding UK Limited and PAH UK Merger Sub Inc. (incorporated by reference to Annex A-4 to the proxy</w:t>
              </w:r>
            </w:hyperlink>
          </w:p>
        </w:tc>
        <w:tc>
          <w:tcPr>
            <w:tcW w:w="8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35">
              <w:r>
                <w:rPr>
                  <w:rFonts w:ascii="Times New Roman" w:cs="Times New Roman" w:eastAsia="Times New Roman" w:hAnsi="Times New Roman"/>
                  <w:sz w:val="18"/>
                  <w:szCs w:val="18"/>
                  <w:color w:val="0000EE"/>
                  <w:w w:val="99"/>
                </w:rPr>
                <w:t>statement/prospectus and was previously included as Exhibit 2.1 to GGI’s current report on Form 8-K, filed April 21, 2022).</w:t>
              </w:r>
            </w:hyperlink>
          </w:p>
        </w:tc>
        <w:tc>
          <w:tcPr>
            <w:tcW w:w="380" w:type="dxa"/>
            <w:vAlign w:val="bottom"/>
            <w:gridSpan w:val="5"/>
          </w:tcPr>
          <w:p>
            <w:pPr>
              <w:spacing w:after="0"/>
              <w:rPr>
                <w:sz w:val="17"/>
                <w:szCs w:val="17"/>
                <w:color w:val="auto"/>
              </w:rPr>
            </w:pPr>
          </w:p>
        </w:tc>
      </w:tr>
      <w:tr>
        <w:trPr>
          <w:trHeight w:val="304"/>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spacing w:after="0"/>
              <w:rPr>
                <w:sz w:val="24"/>
                <w:szCs w:val="24"/>
                <w:color w:val="auto"/>
              </w:rPr>
            </w:pPr>
          </w:p>
        </w:tc>
        <w:tc>
          <w:tcPr>
            <w:tcW w:w="9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36">
              <w:r>
                <w:rPr>
                  <w:rFonts w:ascii="Times New Roman" w:cs="Times New Roman" w:eastAsia="Times New Roman" w:hAnsi="Times New Roman"/>
                  <w:sz w:val="18"/>
                  <w:szCs w:val="18"/>
                  <w:color w:val="0000EE"/>
                  <w:w w:val="99"/>
                </w:rPr>
                <w:t>Articles of Association of Polestar Automotive Holding UK PLC, as currently in effect (incorporated by reference to Exhibit A</w:t>
              </w:r>
            </w:hyperlink>
          </w:p>
        </w:tc>
        <w:tc>
          <w:tcPr>
            <w:tcW w:w="180" w:type="dxa"/>
            <w:vAlign w:val="bottom"/>
            <w:gridSpan w:val="3"/>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to Exhibit 4.1 to GGI’s current report on Form 8-K filed with the SEC on June 27, 2022).</w:t>
              </w:r>
            </w:hyperlink>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Pr>
          <w:p>
            <w:pPr>
              <w:spacing w:after="0"/>
              <w:rPr>
                <w:sz w:val="24"/>
                <w:szCs w:val="24"/>
                <w:color w:val="auto"/>
              </w:rPr>
            </w:pPr>
          </w:p>
        </w:tc>
        <w:tc>
          <w:tcPr>
            <w:tcW w:w="9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37">
              <w:r>
                <w:rPr>
                  <w:rFonts w:ascii="Times New Roman" w:cs="Times New Roman" w:eastAsia="Times New Roman" w:hAnsi="Times New Roman"/>
                  <w:sz w:val="18"/>
                  <w:szCs w:val="18"/>
                  <w:color w:val="0000EE"/>
                </w:rPr>
                <w:t>Form of ADS Deposit Agreement – Class A ADSs (incorporated by reference to Exhibit (a) to the Registration Statement on</w:t>
              </w:r>
            </w:hyperlink>
          </w:p>
        </w:tc>
        <w:tc>
          <w:tcPr>
            <w:tcW w:w="300" w:type="dxa"/>
            <w:vAlign w:val="bottom"/>
            <w:gridSpan w:val="4"/>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37">
              <w:r>
                <w:rPr>
                  <w:rFonts w:ascii="Times New Roman" w:cs="Times New Roman" w:eastAsia="Times New Roman" w:hAnsi="Times New Roman"/>
                  <w:sz w:val="18"/>
                  <w:szCs w:val="18"/>
                  <w:color w:val="0000EE"/>
                  <w:w w:val="99"/>
                </w:rPr>
                <w:t>Form F-6 (File No.: 333-263479) filed with the SEC on June 2, 2022).</w:t>
              </w:r>
            </w:hyperlink>
          </w:p>
        </w:tc>
        <w:tc>
          <w:tcPr>
            <w:tcW w:w="4260" w:type="dxa"/>
            <w:vAlign w:val="bottom"/>
            <w:gridSpan w:val="12"/>
          </w:tcPr>
          <w:p>
            <w:pPr>
              <w:spacing w:after="0"/>
              <w:rPr>
                <w:sz w:val="17"/>
                <w:szCs w:val="17"/>
                <w:color w:val="auto"/>
              </w:rPr>
            </w:pPr>
          </w:p>
        </w:tc>
      </w:tr>
      <w:tr>
        <w:trPr>
          <w:trHeight w:val="385"/>
        </w:trPr>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340" w:type="dxa"/>
            <w:vAlign w:val="bottom"/>
            <w:gridSpan w:val="13"/>
          </w:tcPr>
          <w:p>
            <w:pPr>
              <w:ind w:left="368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5"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2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22"/>
                <w:szCs w:val="22"/>
                <w:color w:val="auto"/>
              </w:rPr>
            </w:pPr>
          </w:p>
        </w:tc>
        <w:tc>
          <w:tcPr>
            <w:tcW w:w="9520" w:type="dxa"/>
            <w:vAlign w:val="bottom"/>
            <w:tcBorders>
              <w:top w:val="single" w:sz="8" w:color="auto"/>
            </w:tcBorders>
            <w:gridSpan w:val="28"/>
          </w:tcPr>
          <w:p>
            <w:pPr>
              <w:spacing w:after="0"/>
              <w:rPr>
                <w:rFonts w:ascii="Times New Roman" w:cs="Times New Roman" w:eastAsia="Times New Roman" w:hAnsi="Times New Roman"/>
                <w:sz w:val="18"/>
                <w:szCs w:val="18"/>
                <w:color w:val="0000EE"/>
              </w:rPr>
            </w:pPr>
            <w:hyperlink r:id="rId439">
              <w:r>
                <w:rPr>
                  <w:rFonts w:ascii="Times New Roman" w:cs="Times New Roman" w:eastAsia="Times New Roman" w:hAnsi="Times New Roman"/>
                  <w:sz w:val="18"/>
                  <w:szCs w:val="18"/>
                  <w:color w:val="0000EE"/>
                </w:rPr>
                <w:t>Form of Class A American Depositary Receipt.</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ADS Deposit Agreement—Class C-1 ADSs (incorporated by reference to Exhibit B to Exhibit 4.1 to GGI’s current report on Form</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8-K filed with the SEC on June 27, 2022).</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40">
              <w:r>
                <w:rPr>
                  <w:rFonts w:ascii="Times New Roman" w:cs="Times New Roman" w:eastAsia="Times New Roman" w:hAnsi="Times New Roman"/>
                  <w:sz w:val="18"/>
                  <w:szCs w:val="18"/>
                  <w:color w:val="0000EE"/>
                  <w:w w:val="99"/>
                </w:rPr>
                <w:t>Form of Class C-1 American Depositary Receipt.</w:t>
              </w:r>
            </w:hyperlink>
          </w:p>
        </w:tc>
        <w:tc>
          <w:tcPr>
            <w:tcW w:w="5940" w:type="dxa"/>
            <w:vAlign w:val="bottom"/>
            <w:gridSpan w:val="21"/>
          </w:tcPr>
          <w:p>
            <w:pPr>
              <w:spacing w:after="0"/>
              <w:rPr>
                <w:sz w:val="24"/>
                <w:szCs w:val="24"/>
                <w:color w:val="auto"/>
              </w:rPr>
            </w:pPr>
          </w:p>
        </w:tc>
      </w:tr>
      <w:tr>
        <w:trPr>
          <w:trHeight w:val="304"/>
        </w:trPr>
        <w:tc>
          <w:tcPr>
            <w:tcW w:w="7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ADS Deposit Agreement—Class C-2 ADSs (incorporated by reference to Exhibit B to Exhibit 4.1 to GGI’s current report on Form</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8-K filed with the SEC on June 27, 2022).</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41">
              <w:r>
                <w:rPr>
                  <w:rFonts w:ascii="Times New Roman" w:cs="Times New Roman" w:eastAsia="Times New Roman" w:hAnsi="Times New Roman"/>
                  <w:sz w:val="18"/>
                  <w:szCs w:val="18"/>
                  <w:color w:val="0000EE"/>
                  <w:w w:val="99"/>
                </w:rPr>
                <w:t>Form of Class C-2 American Depositary Receipt.</w:t>
              </w:r>
            </w:hyperlink>
          </w:p>
        </w:tc>
        <w:tc>
          <w:tcPr>
            <w:tcW w:w="5940" w:type="dxa"/>
            <w:vAlign w:val="bottom"/>
            <w:gridSpan w:val="21"/>
          </w:tcPr>
          <w:p>
            <w:pPr>
              <w:spacing w:after="0"/>
              <w:rPr>
                <w:sz w:val="24"/>
                <w:szCs w:val="24"/>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tcPr>
          <w:p>
            <w:pPr>
              <w:spacing w:after="0"/>
              <w:rPr>
                <w:sz w:val="24"/>
                <w:szCs w:val="24"/>
                <w:color w:val="auto"/>
              </w:rPr>
            </w:pPr>
          </w:p>
        </w:tc>
        <w:tc>
          <w:tcPr>
            <w:tcW w:w="91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442">
              <w:r>
                <w:rPr>
                  <w:rFonts w:ascii="Times New Roman" w:cs="Times New Roman" w:eastAsia="Times New Roman" w:hAnsi="Times New Roman"/>
                  <w:sz w:val="18"/>
                  <w:szCs w:val="18"/>
                  <w:color w:val="0000EE"/>
                </w:rPr>
                <w:t>Warrant Agreement, dated March 22, 2021, by and between Gores Guggenheim, Inc., Computershare Inc. and Computershare</w:t>
              </w:r>
            </w:hyperlink>
          </w:p>
        </w:tc>
        <w:tc>
          <w:tcPr>
            <w:tcW w:w="38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42">
              <w:r>
                <w:rPr>
                  <w:rFonts w:ascii="Times New Roman" w:cs="Times New Roman" w:eastAsia="Times New Roman" w:hAnsi="Times New Roman"/>
                  <w:sz w:val="18"/>
                  <w:szCs w:val="18"/>
                  <w:color w:val="0000EE"/>
                </w:rPr>
                <w:t>Trust Company, N.A. (incorporated by reference to Annex C-1 to the proxy statement/prospectus).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443">
              <w:r>
                <w:rPr>
                  <w:rFonts w:ascii="Times New Roman" w:cs="Times New Roman" w:eastAsia="Times New Roman" w:hAnsi="Times New Roman"/>
                  <w:sz w:val="18"/>
                  <w:szCs w:val="18"/>
                  <w:color w:val="0000EE"/>
                </w:rPr>
                <w:t>Amendment to Warrant Agreement, dated April 7, 2022, by and between Gores Guggenheim, Inc., Computershare Inc. and</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43">
              <w:r>
                <w:rPr>
                  <w:rFonts w:ascii="Times New Roman" w:cs="Times New Roman" w:eastAsia="Times New Roman" w:hAnsi="Times New Roman"/>
                  <w:sz w:val="18"/>
                  <w:szCs w:val="18"/>
                  <w:color w:val="0000EE"/>
                </w:rPr>
                <w:t>Computershare Trust Company, N.A. (incorporated by reference to Annex C-2 to the proxy statement/prospectus).</w:t>
              </w:r>
            </w:hyperlink>
          </w:p>
        </w:tc>
        <w:tc>
          <w:tcPr>
            <w:tcW w:w="600" w:type="dxa"/>
            <w:vAlign w:val="bottom"/>
            <w:gridSpan w:val="10"/>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tcPr>
          <w:p>
            <w:pPr>
              <w:spacing w:after="0"/>
              <w:rPr>
                <w:sz w:val="24"/>
                <w:szCs w:val="24"/>
                <w:color w:val="auto"/>
              </w:rPr>
            </w:pPr>
          </w:p>
        </w:tc>
        <w:tc>
          <w:tcPr>
            <w:tcW w:w="93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44">
              <w:r>
                <w:rPr>
                  <w:rFonts w:ascii="Times New Roman" w:cs="Times New Roman" w:eastAsia="Times New Roman" w:hAnsi="Times New Roman"/>
                  <w:sz w:val="18"/>
                  <w:szCs w:val="18"/>
                  <w:color w:val="0000EE"/>
                  <w:w w:val="99"/>
                </w:rPr>
                <w:t>Specimen Warrant Certificate (included as Exhibit A to Annex C to the proxy statement/prospectus) (incorporated by reference to</w:t>
              </w:r>
            </w:hyperlink>
          </w:p>
        </w:tc>
        <w:tc>
          <w:tcPr>
            <w:tcW w:w="160" w:type="dxa"/>
            <w:vAlign w:val="bottom"/>
            <w:gridSpan w:val="4"/>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44">
              <w:r>
                <w:rPr>
                  <w:rFonts w:ascii="Times New Roman" w:cs="Times New Roman" w:eastAsia="Times New Roman" w:hAnsi="Times New Roman"/>
                  <w:sz w:val="18"/>
                  <w:szCs w:val="18"/>
                  <w:color w:val="0000EE"/>
                </w:rPr>
                <w:t>Annex C to the proxy statement/prospectus).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4.10*</w:t>
            </w:r>
          </w:p>
        </w:tc>
        <w:tc>
          <w:tcPr>
            <w:tcW w:w="720" w:type="dxa"/>
            <w:vAlign w:val="bottom"/>
          </w:tcPr>
          <w:p>
            <w:pPr>
              <w:spacing w:after="0"/>
              <w:rPr>
                <w:sz w:val="24"/>
                <w:szCs w:val="24"/>
                <w:color w:val="auto"/>
              </w:rPr>
            </w:pPr>
          </w:p>
        </w:tc>
        <w:tc>
          <w:tcPr>
            <w:tcW w:w="85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Class C Warrant Amendment, dated June 23, 2022, by and between Gores Guggenheim, Inc., Computershare Inc. and</w:t>
              </w:r>
            </w:hyperlink>
          </w:p>
        </w:tc>
        <w:tc>
          <w:tcPr>
            <w:tcW w:w="980" w:type="dxa"/>
            <w:vAlign w:val="bottom"/>
            <w:gridSpan w:val="1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436">
              <w:r>
                <w:rPr>
                  <w:rFonts w:ascii="Times New Roman" w:cs="Times New Roman" w:eastAsia="Times New Roman" w:hAnsi="Times New Roman"/>
                  <w:sz w:val="18"/>
                  <w:szCs w:val="18"/>
                  <w:color w:val="0000EE"/>
                  <w:w w:val="99"/>
                </w:rPr>
                <w:t>Computershare Trust Company, N.A. (incorporated by reference to Exhibit 4.1 to GGI’s current report on Form 8-K filed with the</w:t>
              </w:r>
            </w:hyperlink>
          </w:p>
        </w:tc>
        <w:tc>
          <w:tcPr>
            <w:tcW w:w="14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SEC on June 27, 2022).</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rPr>
                <w:sz w:val="24"/>
                <w:szCs w:val="24"/>
                <w:color w:val="auto"/>
              </w:rPr>
            </w:pPr>
          </w:p>
        </w:tc>
        <w:tc>
          <w:tcPr>
            <w:tcW w:w="3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Opinion of Kirkland &amp; Ellis International LLP.</w:t>
            </w:r>
          </w:p>
        </w:tc>
        <w:tc>
          <w:tcPr>
            <w:tcW w:w="6100" w:type="dxa"/>
            <w:vAlign w:val="bottom"/>
            <w:gridSpan w:val="22"/>
          </w:tcPr>
          <w:p>
            <w:pPr>
              <w:spacing w:after="0"/>
              <w:rPr>
                <w:sz w:val="24"/>
                <w:szCs w:val="24"/>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7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45">
              <w:r>
                <w:rPr>
                  <w:rFonts w:ascii="Times New Roman" w:cs="Times New Roman" w:eastAsia="Times New Roman" w:hAnsi="Times New Roman"/>
                  <w:sz w:val="18"/>
                  <w:szCs w:val="18"/>
                  <w:color w:val="0000EE"/>
                  <w:w w:val="99"/>
                </w:rPr>
                <w:t>Form of Subscription Agreement (incorporated by reference to Annex F to the proxy statement/prospectus).</w:t>
              </w:r>
            </w:hyperlink>
          </w:p>
        </w:tc>
        <w:tc>
          <w:tcPr>
            <w:tcW w:w="1740" w:type="dxa"/>
            <w:vAlign w:val="bottom"/>
            <w:gridSpan w:val="15"/>
          </w:tcPr>
          <w:p>
            <w:pPr>
              <w:spacing w:after="0"/>
              <w:rPr>
                <w:sz w:val="24"/>
                <w:szCs w:val="24"/>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446">
              <w:r>
                <w:rPr>
                  <w:rFonts w:ascii="Times New Roman" w:cs="Times New Roman" w:eastAsia="Times New Roman" w:hAnsi="Times New Roman"/>
                  <w:sz w:val="18"/>
                  <w:szCs w:val="18"/>
                  <w:color w:val="0000EE"/>
                </w:rPr>
                <w:t>Form of Parent Lock-Up Agreement (incorporated by reference to Annex L to the proxy statement/prospectus).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Sponsor and Supporting Sponsor Stockholder Lock-Up Agreement, dated as of September 27, 2021, by and among Gores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Guggenheim Sponsor, LLC, Polestar Automotive Holding Limited, Polestar Automotive Holding UK Limited, Gores Guggenheim,</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Inc. and certain of its directors (incorporated by reference to Annex K-1 to the proxy statement/prospectus).</w:t>
              </w:r>
            </w:hyperlink>
          </w:p>
        </w:tc>
        <w:tc>
          <w:tcPr>
            <w:tcW w:w="40" w:type="dxa"/>
            <w:vAlign w:val="bottom"/>
            <w:gridSpan w:val="2"/>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448">
              <w:r>
                <w:rPr>
                  <w:rFonts w:ascii="Times New Roman" w:cs="Times New Roman" w:eastAsia="Times New Roman" w:hAnsi="Times New Roman"/>
                  <w:sz w:val="18"/>
                  <w:szCs w:val="18"/>
                  <w:color w:val="0000EE"/>
                </w:rPr>
                <w:t>Registration Rights Agreement, dated as of September 27, 2021, by and among Polestar Automotive Holding UK Limited, Gores</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48">
              <w:r>
                <w:rPr>
                  <w:rFonts w:ascii="Times New Roman" w:cs="Times New Roman" w:eastAsia="Times New Roman" w:hAnsi="Times New Roman"/>
                  <w:sz w:val="18"/>
                  <w:szCs w:val="18"/>
                  <w:color w:val="0000EE"/>
                </w:rPr>
                <w:t>Guggenheim Sponsor LLC, Randall Bort, Elizabeth Marcellino and Nancy Tellem, Polestar Automotive Holding Limited and</w:t>
              </w:r>
            </w:hyperlink>
          </w:p>
        </w:tc>
        <w:tc>
          <w:tcPr>
            <w:tcW w:w="16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48">
              <w:r>
                <w:rPr>
                  <w:rFonts w:ascii="Times New Roman" w:cs="Times New Roman" w:eastAsia="Times New Roman" w:hAnsi="Times New Roman"/>
                  <w:sz w:val="18"/>
                  <w:szCs w:val="18"/>
                  <w:color w:val="0000EE"/>
                </w:rPr>
                <w:t>certain of its shareholders (incorporated by reference to Annex G-1 to the proxy statement/prospectus).</w:t>
              </w:r>
            </w:hyperlink>
          </w:p>
        </w:tc>
        <w:tc>
          <w:tcPr>
            <w:tcW w:w="420" w:type="dxa"/>
            <w:vAlign w:val="bottom"/>
            <w:gridSpan w:val="7"/>
          </w:tcPr>
          <w:p>
            <w:pPr>
              <w:spacing w:after="0"/>
              <w:rPr>
                <w:sz w:val="17"/>
                <w:szCs w:val="17"/>
                <w:color w:val="auto"/>
              </w:rPr>
            </w:pPr>
          </w:p>
        </w:tc>
      </w:tr>
      <w:tr>
        <w:trPr>
          <w:trHeight w:val="304"/>
        </w:trPr>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449">
              <w:r>
                <w:rPr>
                  <w:rFonts w:ascii="Times New Roman" w:cs="Times New Roman" w:eastAsia="Times New Roman" w:hAnsi="Times New Roman"/>
                  <w:sz w:val="18"/>
                  <w:szCs w:val="18"/>
                  <w:color w:val="0000EE"/>
                  <w:w w:val="99"/>
                </w:rPr>
                <w:t>Form of Director &amp; Officer Indemnity Agreement.</w:t>
              </w:r>
            </w:hyperlink>
          </w:p>
        </w:tc>
        <w:tc>
          <w:tcPr>
            <w:tcW w:w="3760" w:type="dxa"/>
            <w:vAlign w:val="bottom"/>
            <w:tcBorders>
              <w:top w:val="single" w:sz="8" w:color="0000EE"/>
            </w:tcBorders>
            <w:gridSpan w:val="3"/>
          </w:tcPr>
          <w:p>
            <w:pPr>
              <w:spacing w:after="0"/>
              <w:rPr>
                <w:sz w:val="24"/>
                <w:szCs w:val="24"/>
                <w:color w:val="auto"/>
              </w:rPr>
            </w:pPr>
          </w:p>
        </w:tc>
        <w:tc>
          <w:tcPr>
            <w:tcW w:w="2100" w:type="dxa"/>
            <w:vAlign w:val="bottom"/>
            <w:gridSpan w:val="17"/>
          </w:tcPr>
          <w:p>
            <w:pPr>
              <w:spacing w:after="0"/>
              <w:rPr>
                <w:sz w:val="24"/>
                <w:szCs w:val="24"/>
                <w:color w:val="auto"/>
              </w:rPr>
            </w:pPr>
          </w:p>
        </w:tc>
      </w:tr>
      <w:tr>
        <w:trPr>
          <w:trHeight w:val="304"/>
        </w:trPr>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450">
              <w:r>
                <w:rPr>
                  <w:rFonts w:ascii="Times New Roman" w:cs="Times New Roman" w:eastAsia="Times New Roman" w:hAnsi="Times New Roman"/>
                  <w:sz w:val="18"/>
                  <w:szCs w:val="18"/>
                  <w:color w:val="0000EE"/>
                </w:rPr>
                <w:t>Form of Polestar Automotive Holding UK PLC 2022 Omnibus Incentive Plan (incorporated by reference to Annex I to the proxy</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50">
              <w:r>
                <w:rPr>
                  <w:rFonts w:ascii="Times New Roman" w:cs="Times New Roman" w:eastAsia="Times New Roman" w:hAnsi="Times New Roman"/>
                  <w:sz w:val="18"/>
                  <w:szCs w:val="18"/>
                  <w:color w:val="0000EE"/>
                </w:rPr>
                <w:t>statement/prospectus).</w:t>
              </w:r>
            </w:hyperlink>
          </w:p>
        </w:tc>
        <w:tc>
          <w:tcPr>
            <w:tcW w:w="220" w:type="dxa"/>
            <w:vAlign w:val="bottom"/>
            <w:gridSpan w:val="5"/>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451">
              <w:r>
                <w:rPr>
                  <w:rFonts w:ascii="Times New Roman" w:cs="Times New Roman" w:eastAsia="Times New Roman" w:hAnsi="Times New Roman"/>
                  <w:sz w:val="18"/>
                  <w:szCs w:val="18"/>
                  <w:color w:val="0000EE"/>
                </w:rPr>
                <w:t>Polestar Automotive Holding UK PLC 2022 Employee Stock Purchase Plan.</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80" w:type="dxa"/>
            <w:vAlign w:val="bottom"/>
            <w:gridSpan w:val="8"/>
            <w:shd w:val="clear" w:color="auto" w:fill="0000EE"/>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Pr>
          <w:p>
            <w:pPr>
              <w:spacing w:after="0"/>
              <w:rPr>
                <w:sz w:val="24"/>
                <w:szCs w:val="24"/>
                <w:color w:val="auto"/>
              </w:rPr>
            </w:pPr>
          </w:p>
        </w:tc>
        <w:tc>
          <w:tcPr>
            <w:tcW w:w="90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452">
              <w:r>
                <w:rPr>
                  <w:rFonts w:ascii="Times New Roman" w:cs="Times New Roman" w:eastAsia="Times New Roman" w:hAnsi="Times New Roman"/>
                  <w:sz w:val="18"/>
                  <w:szCs w:val="18"/>
                  <w:color w:val="0000EE"/>
                </w:rPr>
                <w:t>Framework Assignment and License Agreement, dated as of October 31, 2018, between Volvo Car Corporation and Polestar</w:t>
              </w:r>
            </w:hyperlink>
          </w:p>
        </w:tc>
        <w:tc>
          <w:tcPr>
            <w:tcW w:w="500" w:type="dxa"/>
            <w:vAlign w:val="bottom"/>
            <w:gridSpan w:val="8"/>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52">
              <w:r>
                <w:rPr>
                  <w:rFonts w:ascii="Times New Roman" w:cs="Times New Roman" w:eastAsia="Times New Roman" w:hAnsi="Times New Roman"/>
                  <w:sz w:val="18"/>
                  <w:szCs w:val="18"/>
                  <w:color w:val="0000EE"/>
                </w:rPr>
                <w:t>Performance AB.</w:t>
              </w:r>
            </w:hyperlink>
          </w:p>
        </w:tc>
      </w:tr>
      <w:tr>
        <w:trPr>
          <w:trHeight w:val="20"/>
        </w:trPr>
        <w:tc>
          <w:tcPr>
            <w:tcW w:w="150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10.9**†</w:t>
            </w:r>
          </w:p>
        </w:tc>
        <w:tc>
          <w:tcPr>
            <w:tcW w:w="9520" w:type="dxa"/>
            <w:vAlign w:val="bottom"/>
            <w:gridSpan w:val="28"/>
          </w:tcPr>
          <w:p>
            <w:pPr>
              <w:spacing w:after="0"/>
              <w:rPr>
                <w:rFonts w:ascii="Times New Roman" w:cs="Times New Roman" w:eastAsia="Times New Roman" w:hAnsi="Times New Roman"/>
                <w:sz w:val="18"/>
                <w:szCs w:val="18"/>
                <w:color w:val="0000EE"/>
              </w:rPr>
            </w:pPr>
            <w:hyperlink r:id="rId453">
              <w:r>
                <w:rPr>
                  <w:rFonts w:ascii="Times New Roman" w:cs="Times New Roman" w:eastAsia="Times New Roman" w:hAnsi="Times New Roman"/>
                  <w:sz w:val="18"/>
                  <w:szCs w:val="18"/>
                  <w:color w:val="0000EE"/>
                </w:rPr>
                <w:t>Car Model Assignment and License Agreement, dated as of October 31, 2018, between Volvo Car Corporation and Polestar</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20" w:type="dxa"/>
            <w:vAlign w:val="bottom"/>
            <w:tcBorders>
              <w:right w:val="single" w:sz="8" w:color="0000EE"/>
            </w:tcBorders>
            <w:gridSpan w:val="1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53">
              <w:r>
                <w:rPr>
                  <w:rFonts w:ascii="Times New Roman" w:cs="Times New Roman" w:eastAsia="Times New Roman" w:hAnsi="Times New Roman"/>
                  <w:sz w:val="18"/>
                  <w:szCs w:val="18"/>
                  <w:color w:val="0000EE"/>
                  <w:w w:val="99"/>
                </w:rPr>
                <w:t>Performance AB, as supplemented by the Side Letter, dated as of October 31, 2018, between Volvo Car Corporation, Polestar</w:t>
              </w:r>
            </w:hyperlink>
          </w:p>
        </w:tc>
        <w:tc>
          <w:tcPr>
            <w:tcW w:w="420" w:type="dxa"/>
            <w:vAlign w:val="bottom"/>
            <w:gridSpan w:val="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53">
              <w:r>
                <w:rPr>
                  <w:rFonts w:ascii="Times New Roman" w:cs="Times New Roman" w:eastAsia="Times New Roman" w:hAnsi="Times New Roman"/>
                  <w:sz w:val="18"/>
                  <w:szCs w:val="18"/>
                  <w:color w:val="0000EE"/>
                  <w:w w:val="99"/>
                </w:rPr>
                <w:t>Performance AB and Polestar New Energy Vehicle Co. Ltd., as amended by the Amendment Agreement to the Car Model</w:t>
              </w:r>
            </w:hyperlink>
          </w:p>
        </w:tc>
        <w:tc>
          <w:tcPr>
            <w:tcW w:w="700" w:type="dxa"/>
            <w:vAlign w:val="bottom"/>
            <w:gridSpan w:val="11"/>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Times New Roman" w:cs="Times New Roman" w:eastAsia="Times New Roman" w:hAnsi="Times New Roman"/>
                <w:sz w:val="18"/>
                <w:szCs w:val="18"/>
                <w:color w:val="0000EE"/>
              </w:rPr>
            </w:pPr>
            <w:hyperlink r:id="rId453">
              <w:r>
                <w:rPr>
                  <w:rFonts w:ascii="Times New Roman" w:cs="Times New Roman" w:eastAsia="Times New Roman" w:hAnsi="Times New Roman"/>
                  <w:sz w:val="18"/>
                  <w:szCs w:val="18"/>
                  <w:color w:val="0000EE"/>
                </w:rPr>
                <w:t>Assignment and License Agreement, dated as of May 5, 2021, between Volvo Car Corporation and Polestar Performance AB.</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55">
              <w:r>
                <w:rPr>
                  <w:rFonts w:ascii="Times New Roman" w:cs="Times New Roman" w:eastAsia="Times New Roman" w:hAnsi="Times New Roman"/>
                  <w:sz w:val="18"/>
                  <w:szCs w:val="18"/>
                  <w:color w:val="0000EE"/>
                </w:rPr>
                <w:t>Settlement Agreement, dated as of December 23, 2020, between Volvo Car Corporation and Polestar Performance AB.</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740" w:type="dxa"/>
            <w:vAlign w:val="bottom"/>
          </w:tcPr>
          <w:p>
            <w:pPr>
              <w:spacing w:after="0"/>
              <w:rPr>
                <w:sz w:val="24"/>
                <w:szCs w:val="24"/>
                <w:color w:val="auto"/>
              </w:rPr>
            </w:pPr>
          </w:p>
        </w:tc>
        <w:tc>
          <w:tcPr>
            <w:tcW w:w="9520" w:type="dxa"/>
            <w:vAlign w:val="bottom"/>
            <w:gridSpan w:val="27"/>
          </w:tcPr>
          <w:p>
            <w:pPr>
              <w:spacing w:after="0"/>
              <w:rPr>
                <w:rFonts w:ascii="Times New Roman" w:cs="Times New Roman" w:eastAsia="Times New Roman" w:hAnsi="Times New Roman"/>
                <w:sz w:val="18"/>
                <w:szCs w:val="18"/>
                <w:color w:val="0000EE"/>
              </w:rPr>
            </w:pPr>
            <w:hyperlink r:id="rId456">
              <w:r>
                <w:rPr>
                  <w:rFonts w:ascii="Times New Roman" w:cs="Times New Roman" w:eastAsia="Times New Roman" w:hAnsi="Times New Roman"/>
                  <w:sz w:val="18"/>
                  <w:szCs w:val="18"/>
                  <w:color w:val="0000EE"/>
                </w:rPr>
                <w:t>Framework Assignment and License Agreement, dated as of October 31, 2018, between Volvo Car Corporation and Polestar New</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56">
              <w:r>
                <w:rPr>
                  <w:rFonts w:ascii="Times New Roman" w:cs="Times New Roman" w:eastAsia="Times New Roman" w:hAnsi="Times New Roman"/>
                  <w:sz w:val="18"/>
                  <w:szCs w:val="18"/>
                  <w:color w:val="0000EE"/>
                </w:rPr>
                <w:t>Energy Vehicle Co. Ltd.</w:t>
              </w:r>
            </w:hyperlink>
          </w:p>
        </w:tc>
        <w:tc>
          <w:tcPr>
            <w:tcW w:w="120" w:type="dxa"/>
            <w:vAlign w:val="bottom"/>
            <w:gridSpan w:val="4"/>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Car Model Assignment and License Agreement, dated as of October 31, 2018, between Volvo Car Corporation and Polestar New</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Energy Vehicle Co. Ltd, as supplemented by the Side Letter, dated as of October 31, 2018, between Volvo Car Corporation,</w:t>
              </w:r>
            </w:hyperlink>
          </w:p>
        </w:tc>
        <w:tc>
          <w:tcPr>
            <w:tcW w:w="18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Polestar Performance AB and Polestar New Energy Vehicle Co. Ltd., as supplemented by the Supplement to Car Model</w:t>
              </w:r>
            </w:hyperlink>
          </w:p>
        </w:tc>
        <w:tc>
          <w:tcPr>
            <w:tcW w:w="580" w:type="dxa"/>
            <w:vAlign w:val="bottom"/>
            <w:gridSpan w:val="16"/>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7"/>
          </w:tcPr>
          <w:p>
            <w:pPr>
              <w:spacing w:after="0" w:line="196" w:lineRule="exact"/>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Assignment and License Agreement, dated as of September 23, 2019, between Volvo Car Corporation and Polestar New Energy</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57">
              <w:r>
                <w:rPr>
                  <w:rFonts w:ascii="Times New Roman" w:cs="Times New Roman" w:eastAsia="Times New Roman" w:hAnsi="Times New Roman"/>
                  <w:sz w:val="18"/>
                  <w:szCs w:val="18"/>
                  <w:color w:val="0000EE"/>
                  <w:w w:val="99"/>
                </w:rPr>
                <w:t>Vehicle Co. Ltd., as amended by the Amendment Agreement to the Car Model Assignment and License Agreement, dated as of</w:t>
              </w:r>
            </w:hyperlink>
          </w:p>
        </w:tc>
        <w:tc>
          <w:tcPr>
            <w:tcW w:w="80" w:type="dxa"/>
            <w:vAlign w:val="bottom"/>
            <w:tcBorders>
              <w:top w:val="single" w:sz="8" w:color="0000EE"/>
            </w:tcBorders>
            <w:gridSpan w:val="2"/>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57">
              <w:r>
                <w:rPr>
                  <w:rFonts w:ascii="Times New Roman" w:cs="Times New Roman" w:eastAsia="Times New Roman" w:hAnsi="Times New Roman"/>
                  <w:sz w:val="18"/>
                  <w:szCs w:val="18"/>
                  <w:color w:val="0000EE"/>
                  <w:w w:val="99"/>
                </w:rPr>
                <w:t>June 2020, between Volvo Car Corporation and Polestar New Energy Vehicle Co. Ltd., as amended by the Novation Agreement,</w:t>
              </w:r>
            </w:hyperlink>
          </w:p>
        </w:tc>
        <w:tc>
          <w:tcPr>
            <w:tcW w:w="26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57">
              <w:r>
                <w:rPr>
                  <w:rFonts w:ascii="Times New Roman" w:cs="Times New Roman" w:eastAsia="Times New Roman" w:hAnsi="Times New Roman"/>
                  <w:sz w:val="18"/>
                  <w:szCs w:val="18"/>
                  <w:color w:val="0000EE"/>
                  <w:w w:val="99"/>
                </w:rPr>
                <w:t>dated as of December 8, 2020, by and among Polestar New Energy Vehicle Co., Ltd., Polestar Automotive China Distribution Co.,</w:t>
              </w:r>
            </w:hyperlink>
          </w:p>
        </w:tc>
        <w:tc>
          <w:tcPr>
            <w:tcW w:w="10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7"/>
          </w:tcPr>
          <w:p>
            <w:pPr>
              <w:spacing w:after="0" w:line="196" w:lineRule="exact"/>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Ltd. and Volvo Car Corporation.</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58">
              <w:r>
                <w:rPr>
                  <w:rFonts w:ascii="Times New Roman" w:cs="Times New Roman" w:eastAsia="Times New Roman" w:hAnsi="Times New Roman"/>
                  <w:sz w:val="18"/>
                  <w:szCs w:val="18"/>
                  <w:color w:val="0000EE"/>
                </w:rPr>
                <w:t>Settlement Agreement, dated as of December 23, 2020, between Volvo Car Corporation and Polestar New Energy Vehicle Co.,</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58">
              <w:r>
                <w:rPr>
                  <w:rFonts w:ascii="Times New Roman" w:cs="Times New Roman" w:eastAsia="Times New Roman" w:hAnsi="Times New Roman"/>
                  <w:sz w:val="18"/>
                  <w:szCs w:val="18"/>
                  <w:color w:val="0000EE"/>
                </w:rPr>
                <w:t>Ltd.</w:t>
              </w:r>
            </w:hyperlink>
          </w:p>
        </w:tc>
        <w:tc>
          <w:tcPr>
            <w:tcW w:w="340" w:type="dxa"/>
            <w:vAlign w:val="bottom"/>
            <w:gridSpan w:val="10"/>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95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459">
              <w:r>
                <w:rPr>
                  <w:rFonts w:ascii="Times New Roman" w:cs="Times New Roman" w:eastAsia="Times New Roman" w:hAnsi="Times New Roman"/>
                  <w:sz w:val="18"/>
                  <w:szCs w:val="18"/>
                  <w:color w:val="0000EE"/>
                </w:rPr>
                <w:t>PHEV IP Sub-License Agreement, dated as of September 4, 2018, between Volvo Personvagnar AB and Polestar Performance AB.</w:t>
              </w:r>
            </w:hyperlink>
          </w:p>
        </w:tc>
        <w:tc>
          <w:tcPr>
            <w:tcW w:w="20" w:type="dxa"/>
            <w:vAlign w:val="bottom"/>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91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460">
              <w:r>
                <w:rPr>
                  <w:rFonts w:ascii="Times New Roman" w:cs="Times New Roman" w:eastAsia="Times New Roman" w:hAnsi="Times New Roman"/>
                  <w:sz w:val="18"/>
                  <w:szCs w:val="18"/>
                  <w:color w:val="0000EE"/>
                </w:rPr>
                <w:t>PHEV IP Sub-License Agreement, dated as of September 7, 2018, between Volvo Personvagnar AB and Polestar New Energy</w:t>
              </w:r>
            </w:hyperlink>
          </w:p>
        </w:tc>
        <w:tc>
          <w:tcPr>
            <w:tcW w:w="360" w:type="dxa"/>
            <w:vAlign w:val="bottom"/>
            <w:gridSpan w:val="11"/>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7"/>
          </w:tcPr>
          <w:p>
            <w:pPr>
              <w:spacing w:after="0" w:line="196" w:lineRule="exact"/>
              <w:rPr>
                <w:rFonts w:ascii="Times New Roman" w:cs="Times New Roman" w:eastAsia="Times New Roman" w:hAnsi="Times New Roman"/>
                <w:sz w:val="18"/>
                <w:szCs w:val="18"/>
                <w:color w:val="0000EE"/>
              </w:rPr>
            </w:pPr>
            <w:hyperlink r:id="rId460">
              <w:r>
                <w:rPr>
                  <w:rFonts w:ascii="Times New Roman" w:cs="Times New Roman" w:eastAsia="Times New Roman" w:hAnsi="Times New Roman"/>
                  <w:sz w:val="18"/>
                  <w:szCs w:val="18"/>
                  <w:color w:val="0000EE"/>
                </w:rPr>
                <w:t>Vehicle Co. Ltd, as amended by the Novation Agreement, dated as of December 8, 2020, by and among Polestar New Energy</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60">
              <w:r>
                <w:rPr>
                  <w:rFonts w:ascii="Times New Roman" w:cs="Times New Roman" w:eastAsia="Times New Roman" w:hAnsi="Times New Roman"/>
                  <w:sz w:val="18"/>
                  <w:szCs w:val="18"/>
                  <w:color w:val="0000EE"/>
                </w:rPr>
                <w:t>Vehicle Co., Ltd., Polestar Automotive China Distribution Co., Ltd. and Volvo Car Corporation.</w:t>
              </w:r>
            </w:hyperlink>
          </w:p>
        </w:tc>
        <w:tc>
          <w:tcPr>
            <w:tcW w:w="440" w:type="dxa"/>
            <w:vAlign w:val="bottom"/>
            <w:gridSpan w:val="13"/>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8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61">
              <w:r>
                <w:rPr>
                  <w:rFonts w:ascii="Times New Roman" w:cs="Times New Roman" w:eastAsia="Times New Roman" w:hAnsi="Times New Roman"/>
                  <w:sz w:val="18"/>
                  <w:szCs w:val="18"/>
                  <w:color w:val="0000EE"/>
                  <w:w w:val="99"/>
                </w:rPr>
                <w:t>Change Management Agreement, dated as of June 12, 2020, between Volvo Car Corporation and Polestar Performance AB.</w:t>
              </w:r>
            </w:hyperlink>
          </w:p>
        </w:tc>
        <w:tc>
          <w:tcPr>
            <w:tcW w:w="600" w:type="dxa"/>
            <w:vAlign w:val="bottom"/>
            <w:gridSpan w:val="17"/>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62">
              <w:r>
                <w:rPr>
                  <w:rFonts w:ascii="Times New Roman" w:cs="Times New Roman" w:eastAsia="Times New Roman" w:hAnsi="Times New Roman"/>
                  <w:sz w:val="18"/>
                  <w:szCs w:val="18"/>
                  <w:color w:val="0000EE"/>
                </w:rPr>
                <w:t>Service Agreement, dated as of October 31, 2018, between Volvo Car Corporation and Polestar New Energy Vehicle Co. Ltd., as</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62">
              <w:r>
                <w:rPr>
                  <w:rFonts w:ascii="Times New Roman" w:cs="Times New Roman" w:eastAsia="Times New Roman" w:hAnsi="Times New Roman"/>
                  <w:sz w:val="18"/>
                  <w:szCs w:val="18"/>
                  <w:color w:val="0000EE"/>
                </w:rPr>
                <w:t>amended by the Novation Agreement, dated as of December 8, 2020, by and among Polestar New Energy Vehicle Co., Ltd.,</w:t>
              </w:r>
            </w:hyperlink>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62">
              <w:r>
                <w:rPr>
                  <w:rFonts w:ascii="Times New Roman" w:cs="Times New Roman" w:eastAsia="Times New Roman" w:hAnsi="Times New Roman"/>
                  <w:sz w:val="18"/>
                  <w:szCs w:val="18"/>
                  <w:color w:val="0000EE"/>
                </w:rPr>
                <w:t>Polestar Automotive China Distribution Co., Ltd. and Volvo Car Corporation.</w:t>
              </w:r>
            </w:hyperlink>
          </w:p>
        </w:tc>
        <w:tc>
          <w:tcPr>
            <w:tcW w:w="540" w:type="dxa"/>
            <w:vAlign w:val="bottom"/>
            <w:gridSpan w:val="15"/>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63">
              <w:r>
                <w:rPr>
                  <w:rFonts w:ascii="Times New Roman" w:cs="Times New Roman" w:eastAsia="Times New Roman" w:hAnsi="Times New Roman"/>
                  <w:sz w:val="18"/>
                  <w:szCs w:val="18"/>
                  <w:color w:val="0000EE"/>
                </w:rPr>
                <w:t>Service Agreement, dated as of November 17, 2020, between Volvo Cars Technology (Shanghai) Co., Ltd. and Polestar New</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63">
              <w:r>
                <w:rPr>
                  <w:rFonts w:ascii="Times New Roman" w:cs="Times New Roman" w:eastAsia="Times New Roman" w:hAnsi="Times New Roman"/>
                  <w:sz w:val="18"/>
                  <w:szCs w:val="18"/>
                  <w:color w:val="0000EE"/>
                  <w:w w:val="98"/>
                </w:rPr>
                <w:t>Energy Vehicle Co., Ltd.</w:t>
              </w:r>
            </w:hyperlink>
          </w:p>
        </w:tc>
        <w:tc>
          <w:tcPr>
            <w:tcW w:w="7240" w:type="dxa"/>
            <w:vAlign w:val="bottom"/>
            <w:tcBorders>
              <w:top w:val="single" w:sz="8" w:color="0000EE"/>
            </w:tcBorders>
            <w:gridSpan w:val="10"/>
          </w:tcPr>
          <w:p>
            <w:pPr>
              <w:spacing w:after="0"/>
              <w:rPr>
                <w:sz w:val="17"/>
                <w:szCs w:val="17"/>
                <w:color w:val="auto"/>
              </w:rPr>
            </w:pPr>
          </w:p>
        </w:tc>
        <w:tc>
          <w:tcPr>
            <w:tcW w:w="480" w:type="dxa"/>
            <w:vAlign w:val="bottom"/>
            <w:gridSpan w:val="14"/>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64">
              <w:r>
                <w:rPr>
                  <w:rFonts w:ascii="Times New Roman" w:cs="Times New Roman" w:eastAsia="Times New Roman" w:hAnsi="Times New Roman"/>
                  <w:sz w:val="18"/>
                  <w:szCs w:val="18"/>
                  <w:color w:val="0000EE"/>
                </w:rPr>
                <w:t>Service Agreement, dated as of November 13, 2020, between Volvo Car Corporation and Polestar New Energy Vehicle Co., Ltd.</w:t>
              </w:r>
            </w:hyperlink>
          </w:p>
        </w:tc>
      </w:tr>
      <w:tr>
        <w:trPr>
          <w:trHeight w:val="20"/>
        </w:trPr>
        <w:tc>
          <w:tcPr>
            <w:tcW w:w="1500" w:type="dxa"/>
            <w:vAlign w:val="bottom"/>
            <w:gridSpan w:val="2"/>
          </w:tcPr>
          <w:p>
            <w:pPr>
              <w:spacing w:after="0" w:line="20" w:lineRule="exact"/>
              <w:rPr>
                <w:sz w:val="1"/>
                <w:szCs w:val="1"/>
                <w:color w:val="auto"/>
              </w:rPr>
            </w:pPr>
          </w:p>
        </w:tc>
        <w:tc>
          <w:tcPr>
            <w:tcW w:w="8300" w:type="dxa"/>
            <w:vAlign w:val="bottom"/>
            <w:gridSpan w:val="7"/>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65">
              <w:r>
                <w:rPr>
                  <w:rFonts w:ascii="Times New Roman" w:cs="Times New Roman" w:eastAsia="Times New Roman" w:hAnsi="Times New Roman"/>
                  <w:sz w:val="18"/>
                  <w:szCs w:val="18"/>
                  <w:color w:val="0000EE"/>
                </w:rPr>
                <w:t>Service Agreement, dated as of October 31, 2018, between Volvo Car Corporation and Polestar New Energy Vehicle Co. Ltd., as</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65">
              <w:r>
                <w:rPr>
                  <w:rFonts w:ascii="Times New Roman" w:cs="Times New Roman" w:eastAsia="Times New Roman" w:hAnsi="Times New Roman"/>
                  <w:sz w:val="18"/>
                  <w:szCs w:val="18"/>
                  <w:color w:val="0000EE"/>
                </w:rPr>
                <w:t>amended by the Novation Agreement, dated as of December 8, 2020, by and among Polestar New Energy Vehicle Co., Ltd.,</w:t>
              </w:r>
            </w:hyperlink>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65">
              <w:r>
                <w:rPr>
                  <w:rFonts w:ascii="Times New Roman" w:cs="Times New Roman" w:eastAsia="Times New Roman" w:hAnsi="Times New Roman"/>
                  <w:sz w:val="18"/>
                  <w:szCs w:val="18"/>
                  <w:color w:val="0000EE"/>
                </w:rPr>
                <w:t>Polestar Automotive China Distribution Co., Ltd. and Volvo Car Corporation.</w:t>
              </w:r>
            </w:hyperlink>
          </w:p>
        </w:tc>
        <w:tc>
          <w:tcPr>
            <w:tcW w:w="540" w:type="dxa"/>
            <w:vAlign w:val="bottom"/>
            <w:gridSpan w:val="15"/>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5600" w:type="dxa"/>
            <w:vAlign w:val="bottom"/>
            <w:gridSpan w:val="5"/>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94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466">
              <w:r>
                <w:rPr>
                  <w:rFonts w:ascii="Times New Roman" w:cs="Times New Roman" w:eastAsia="Times New Roman" w:hAnsi="Times New Roman"/>
                  <w:sz w:val="18"/>
                  <w:szCs w:val="18"/>
                  <w:color w:val="0000EE"/>
                </w:rPr>
                <w:t>Service Agreement, dated as of December 21, 2018, between Daqing Volvo Car Manufacturing Co. Ltd. and Polestar New Energy</w:t>
              </w:r>
            </w:hyperlink>
          </w:p>
        </w:tc>
        <w:tc>
          <w:tcPr>
            <w:tcW w:w="8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66">
              <w:r>
                <w:rPr>
                  <w:rFonts w:ascii="Times New Roman" w:cs="Times New Roman" w:eastAsia="Times New Roman" w:hAnsi="Times New Roman"/>
                  <w:sz w:val="18"/>
                  <w:szCs w:val="18"/>
                  <w:color w:val="0000EE"/>
                </w:rPr>
                <w:t>Vehicle Co. Ltd., as amended by the Novation Agreement, dated as of December 8, 2020, by and among Polestar New Energy</w:t>
              </w:r>
            </w:hyperlink>
          </w:p>
        </w:tc>
        <w:tc>
          <w:tcPr>
            <w:tcW w:w="38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66">
              <w:r>
                <w:rPr>
                  <w:rFonts w:ascii="Times New Roman" w:cs="Times New Roman" w:eastAsia="Times New Roman" w:hAnsi="Times New Roman"/>
                  <w:sz w:val="18"/>
                  <w:szCs w:val="18"/>
                  <w:color w:val="0000EE"/>
                  <w:w w:val="99"/>
                </w:rPr>
                <w:t>Vehicle Co., Ltd., Polestar Automotive China Distribution Co., Ltd. and Daqing Volvo Car Manufacturing Co. Ltd.</w:t>
              </w:r>
            </w:hyperlink>
          </w:p>
        </w:tc>
        <w:tc>
          <w:tcPr>
            <w:tcW w:w="1220" w:type="dxa"/>
            <w:vAlign w:val="bottom"/>
            <w:gridSpan w:val="20"/>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9520" w:type="dxa"/>
            <w:vAlign w:val="bottom"/>
            <w:gridSpan w:val="27"/>
          </w:tcPr>
          <w:p>
            <w:pPr>
              <w:spacing w:after="0"/>
              <w:rPr>
                <w:rFonts w:ascii="Times New Roman" w:cs="Times New Roman" w:eastAsia="Times New Roman" w:hAnsi="Times New Roman"/>
                <w:sz w:val="18"/>
                <w:szCs w:val="18"/>
                <w:color w:val="0000EE"/>
              </w:rPr>
            </w:pPr>
            <w:hyperlink r:id="rId467">
              <w:r>
                <w:rPr>
                  <w:rFonts w:ascii="Times New Roman" w:cs="Times New Roman" w:eastAsia="Times New Roman" w:hAnsi="Times New Roman"/>
                  <w:sz w:val="18"/>
                  <w:szCs w:val="18"/>
                  <w:color w:val="0000EE"/>
                </w:rPr>
                <w:t>Service Agreement, dated as of October 31, 2018, between Volvo Car Corporation and Polestar New Energy Vehicle Co. Ltd., as</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67">
              <w:r>
                <w:rPr>
                  <w:rFonts w:ascii="Times New Roman" w:cs="Times New Roman" w:eastAsia="Times New Roman" w:hAnsi="Times New Roman"/>
                  <w:sz w:val="18"/>
                  <w:szCs w:val="18"/>
                  <w:color w:val="0000EE"/>
                </w:rPr>
                <w:t>amended by the Novation Agreement, dated as of December 8, 2020, by and among Polestar New Energy Vehicle Co., Ltd.,</w:t>
              </w:r>
            </w:hyperlink>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67">
              <w:r>
                <w:rPr>
                  <w:rFonts w:ascii="Times New Roman" w:cs="Times New Roman" w:eastAsia="Times New Roman" w:hAnsi="Times New Roman"/>
                  <w:sz w:val="18"/>
                  <w:szCs w:val="18"/>
                  <w:color w:val="0000EE"/>
                </w:rPr>
                <w:t>Polestar Automotive China Distribution Co., Ltd. and Volvo Car Corporation.</w:t>
              </w:r>
            </w:hyperlink>
          </w:p>
        </w:tc>
        <w:tc>
          <w:tcPr>
            <w:tcW w:w="540" w:type="dxa"/>
            <w:vAlign w:val="bottom"/>
            <w:gridSpan w:val="15"/>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3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93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469">
              <w:r>
                <w:rPr>
                  <w:rFonts w:ascii="Times New Roman" w:cs="Times New Roman" w:eastAsia="Times New Roman" w:hAnsi="Times New Roman"/>
                  <w:sz w:val="18"/>
                  <w:szCs w:val="18"/>
                  <w:color w:val="0000EE"/>
                </w:rPr>
                <w:t>Service Agreement, dated as of December 21, 2018, between Volvo Car (Asia Pacific) Investment Holding Co. Ltd. and Polestar</w:t>
              </w:r>
            </w:hyperlink>
          </w:p>
        </w:tc>
        <w:tc>
          <w:tcPr>
            <w:tcW w:w="200" w:type="dxa"/>
            <w:vAlign w:val="bottom"/>
            <w:gridSpan w:val="8"/>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69">
              <w:r>
                <w:rPr>
                  <w:rFonts w:ascii="Times New Roman" w:cs="Times New Roman" w:eastAsia="Times New Roman" w:hAnsi="Times New Roman"/>
                  <w:sz w:val="18"/>
                  <w:szCs w:val="18"/>
                  <w:color w:val="0000EE"/>
                </w:rPr>
                <w:t>New Energy Vehicle Co. Ltd., as amended by the Novation Agreement, dated as of December 8, 2020, by and among Polestar</w:t>
              </w:r>
            </w:hyperlink>
          </w:p>
        </w:tc>
        <w:tc>
          <w:tcPr>
            <w:tcW w:w="360" w:type="dxa"/>
            <w:vAlign w:val="bottom"/>
            <w:gridSpan w:val="1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469">
              <w:r>
                <w:rPr>
                  <w:rFonts w:ascii="Times New Roman" w:cs="Times New Roman" w:eastAsia="Times New Roman" w:hAnsi="Times New Roman"/>
                  <w:sz w:val="18"/>
                  <w:szCs w:val="18"/>
                  <w:color w:val="0000EE"/>
                  <w:w w:val="99"/>
                </w:rPr>
                <w:t>New Energy Vehicle Co., Ltd., Polestar Automotive China Distribution Co., Ltd and Volvo Car (Asia Pacific) Investment Holding</w:t>
              </w:r>
            </w:hyperlink>
          </w:p>
        </w:tc>
        <w:tc>
          <w:tcPr>
            <w:tcW w:w="12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69">
              <w:r>
                <w:rPr>
                  <w:rFonts w:ascii="Times New Roman" w:cs="Times New Roman" w:eastAsia="Times New Roman" w:hAnsi="Times New Roman"/>
                  <w:sz w:val="18"/>
                  <w:szCs w:val="18"/>
                  <w:color w:val="0000EE"/>
                </w:rPr>
                <w:t>Co. Ltd.</w:t>
              </w:r>
            </w:hyperlink>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9520" w:type="dxa"/>
            <w:vAlign w:val="bottom"/>
            <w:gridSpan w:val="36"/>
          </w:tcPr>
          <w:p>
            <w:pPr>
              <w:spacing w:after="0"/>
              <w:rPr>
                <w:rFonts w:ascii="Times New Roman" w:cs="Times New Roman" w:eastAsia="Times New Roman" w:hAnsi="Times New Roman"/>
                <w:sz w:val="18"/>
                <w:szCs w:val="18"/>
                <w:color w:val="0000EE"/>
              </w:rPr>
            </w:pPr>
            <w:hyperlink r:id="rId470">
              <w:r>
                <w:rPr>
                  <w:rFonts w:ascii="Times New Roman" w:cs="Times New Roman" w:eastAsia="Times New Roman" w:hAnsi="Times New Roman"/>
                  <w:sz w:val="18"/>
                  <w:szCs w:val="18"/>
                  <w:color w:val="0000EE"/>
                </w:rPr>
                <w:t>Service Agreement, dated as of August 9, 2018, between Zhongjia Automobile Manufacturing (Chengdu) Co. Ltd. and Polestar</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470">
              <w:r>
                <w:rPr>
                  <w:rFonts w:ascii="Times New Roman" w:cs="Times New Roman" w:eastAsia="Times New Roman" w:hAnsi="Times New Roman"/>
                  <w:sz w:val="18"/>
                  <w:szCs w:val="18"/>
                  <w:color w:val="0000EE"/>
                </w:rPr>
                <w:t>New Energy Vehicle Co. Ltd., as amended by the Amendment Agreement to the Service Agreement, dated as of August 26, 2020,</w:t>
              </w:r>
            </w:hyperlink>
          </w:p>
        </w:tc>
        <w:tc>
          <w:tcPr>
            <w:tcW w:w="8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70">
              <w:r>
                <w:rPr>
                  <w:rFonts w:ascii="Times New Roman" w:cs="Times New Roman" w:eastAsia="Times New Roman" w:hAnsi="Times New Roman"/>
                  <w:sz w:val="18"/>
                  <w:szCs w:val="18"/>
                  <w:color w:val="0000EE"/>
                </w:rPr>
                <w:t>between Zhongjia Automobile Manufacturing (Chengdu) Co., Ltd. and Polestar New Energy Vehicle Co., Ltd., AB.</w:t>
              </w:r>
            </w:hyperlink>
          </w:p>
        </w:tc>
      </w:tr>
      <w:tr>
        <w:trPr>
          <w:trHeight w:val="20"/>
        </w:trPr>
        <w:tc>
          <w:tcPr>
            <w:tcW w:w="150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9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471">
              <w:r>
                <w:rPr>
                  <w:rFonts w:ascii="Times New Roman" w:cs="Times New Roman" w:eastAsia="Times New Roman" w:hAnsi="Times New Roman"/>
                  <w:sz w:val="18"/>
                  <w:szCs w:val="18"/>
                  <w:color w:val="0000EE"/>
                  <w:w w:val="99"/>
                </w:rPr>
                <w:t>Service Agreement, dated as of December 17, 2019, between Volvo Car Belgium NV, Ltd. and Polestar Performance AB, as</w:t>
              </w:r>
            </w:hyperlink>
          </w:p>
        </w:tc>
        <w:tc>
          <w:tcPr>
            <w:tcW w:w="520" w:type="dxa"/>
            <w:vAlign w:val="bottom"/>
            <w:gridSpan w:val="1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71">
              <w:r>
                <w:rPr>
                  <w:rFonts w:ascii="Times New Roman" w:cs="Times New Roman" w:eastAsia="Times New Roman" w:hAnsi="Times New Roman"/>
                  <w:sz w:val="18"/>
                  <w:szCs w:val="18"/>
                  <w:color w:val="0000EE"/>
                  <w:w w:val="99"/>
                </w:rPr>
                <w:t>amended by the Amendment to the Service Agreement, dated as of March 4, 2020, between Volvo Car Belgium NV, Ltd. and</w:t>
              </w:r>
            </w:hyperlink>
          </w:p>
        </w:tc>
        <w:tc>
          <w:tcPr>
            <w:tcW w:w="480" w:type="dxa"/>
            <w:vAlign w:val="bottom"/>
            <w:gridSpan w:val="1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71">
              <w:r>
                <w:rPr>
                  <w:rFonts w:ascii="Times New Roman" w:cs="Times New Roman" w:eastAsia="Times New Roman" w:hAnsi="Times New Roman"/>
                  <w:sz w:val="18"/>
                  <w:szCs w:val="18"/>
                  <w:color w:val="0000EE"/>
                  <w:w w:val="99"/>
                </w:rPr>
                <w:t>Polestar Performance AB.</w:t>
              </w:r>
            </w:hyperlink>
          </w:p>
        </w:tc>
        <w:tc>
          <w:tcPr>
            <w:tcW w:w="7620" w:type="dxa"/>
            <w:vAlign w:val="bottom"/>
            <w:gridSpan w:val="3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10.26**†</w:t>
            </w:r>
          </w:p>
        </w:tc>
        <w:tc>
          <w:tcPr>
            <w:tcW w:w="9520" w:type="dxa"/>
            <w:vAlign w:val="bottom"/>
            <w:gridSpan w:val="36"/>
          </w:tcPr>
          <w:p>
            <w:pPr>
              <w:spacing w:after="0"/>
              <w:rPr>
                <w:rFonts w:ascii="Times New Roman" w:cs="Times New Roman" w:eastAsia="Times New Roman" w:hAnsi="Times New Roman"/>
                <w:sz w:val="18"/>
                <w:szCs w:val="18"/>
                <w:color w:val="0000EE"/>
              </w:rPr>
            </w:pPr>
            <w:hyperlink r:id="rId472">
              <w:r>
                <w:rPr>
                  <w:rFonts w:ascii="Times New Roman" w:cs="Times New Roman" w:eastAsia="Times New Roman" w:hAnsi="Times New Roman"/>
                  <w:sz w:val="18"/>
                  <w:szCs w:val="18"/>
                  <w:color w:val="0000EE"/>
                </w:rPr>
                <w:t>Component Supply Agreement, dated as of 2018, between Polestar New Energy Vehicle Co., Ltd. and Zhejiang Haoqing</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72">
              <w:r>
                <w:rPr>
                  <w:rFonts w:ascii="Times New Roman" w:cs="Times New Roman" w:eastAsia="Times New Roman" w:hAnsi="Times New Roman"/>
                  <w:sz w:val="18"/>
                  <w:szCs w:val="18"/>
                  <w:color w:val="0000EE"/>
                  <w:w w:val="99"/>
                </w:rPr>
                <w:t>Automobile Manufacturing Co., Ltd. Chengdu Branch.</w:t>
              </w:r>
            </w:hyperlink>
          </w:p>
        </w:tc>
        <w:tc>
          <w:tcPr>
            <w:tcW w:w="4720" w:type="dxa"/>
            <w:vAlign w:val="bottom"/>
            <w:tcBorders>
              <w:top w:val="single" w:sz="8" w:color="0000EE"/>
            </w:tcBorders>
            <w:gridSpan w:val="5"/>
          </w:tcPr>
          <w:p>
            <w:pPr>
              <w:spacing w:after="0"/>
              <w:rPr>
                <w:sz w:val="17"/>
                <w:szCs w:val="17"/>
                <w:color w:val="auto"/>
              </w:rPr>
            </w:pPr>
          </w:p>
        </w:tc>
        <w:tc>
          <w:tcPr>
            <w:tcW w:w="82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10.27**†</w:t>
            </w:r>
          </w:p>
        </w:tc>
        <w:tc>
          <w:tcPr>
            <w:tcW w:w="93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473">
              <w:r>
                <w:rPr>
                  <w:rFonts w:ascii="Times New Roman" w:cs="Times New Roman" w:eastAsia="Times New Roman" w:hAnsi="Times New Roman"/>
                  <w:sz w:val="18"/>
                  <w:szCs w:val="18"/>
                  <w:color w:val="0000EE"/>
                </w:rPr>
                <w:t>General Distributor Agreement, effective as of January 1, 2020, between Zhejiang Haoqing Automobile Manufacturing Co., Ltd.</w:t>
              </w:r>
            </w:hyperlink>
          </w:p>
        </w:tc>
        <w:tc>
          <w:tcPr>
            <w:tcW w:w="180" w:type="dxa"/>
            <w:vAlign w:val="bottom"/>
            <w:gridSpan w:val="7"/>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73">
              <w:r>
                <w:rPr>
                  <w:rFonts w:ascii="Times New Roman" w:cs="Times New Roman" w:eastAsia="Times New Roman" w:hAnsi="Times New Roman"/>
                  <w:sz w:val="18"/>
                  <w:szCs w:val="18"/>
                  <w:color w:val="0000EE"/>
                  <w:w w:val="99"/>
                </w:rPr>
                <w:t>Chengdu Branch and Polestar Automotive China Distribution Co., Ltd.</w:t>
              </w:r>
            </w:hyperlink>
          </w:p>
        </w:tc>
        <w:tc>
          <w:tcPr>
            <w:tcW w:w="4380" w:type="dxa"/>
            <w:vAlign w:val="bottom"/>
            <w:gridSpan w:val="27"/>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10.28**†</w:t>
            </w:r>
          </w:p>
        </w:tc>
        <w:tc>
          <w:tcPr>
            <w:tcW w:w="946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rPr>
            </w:pPr>
            <w:hyperlink r:id="rId474">
              <w:r>
                <w:rPr>
                  <w:rFonts w:ascii="Times New Roman" w:cs="Times New Roman" w:eastAsia="Times New Roman" w:hAnsi="Times New Roman"/>
                  <w:sz w:val="18"/>
                  <w:szCs w:val="18"/>
                  <w:color w:val="0000EE"/>
                </w:rPr>
                <w:t>License, License Assignment and Service Agreement, dated as of February 15, 2021, between Volvo Car Corporation and Polestar</w:t>
              </w:r>
            </w:hyperlink>
          </w:p>
        </w:tc>
        <w:tc>
          <w:tcPr>
            <w:tcW w:w="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74">
              <w:r>
                <w:rPr>
                  <w:rFonts w:ascii="Times New Roman" w:cs="Times New Roman" w:eastAsia="Times New Roman" w:hAnsi="Times New Roman"/>
                  <w:sz w:val="18"/>
                  <w:szCs w:val="18"/>
                  <w:color w:val="0000EE"/>
                </w:rPr>
                <w:t>Performance AB.</w:t>
              </w:r>
            </w:hyperlink>
          </w:p>
        </w:tc>
      </w:tr>
      <w:tr>
        <w:trPr>
          <w:trHeight w:val="20"/>
        </w:trPr>
        <w:tc>
          <w:tcPr>
            <w:tcW w:w="150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10.29**†</w:t>
            </w:r>
          </w:p>
        </w:tc>
        <w:tc>
          <w:tcPr>
            <w:tcW w:w="8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475">
              <w:r>
                <w:rPr>
                  <w:rFonts w:ascii="Times New Roman" w:cs="Times New Roman" w:eastAsia="Times New Roman" w:hAnsi="Times New Roman"/>
                  <w:sz w:val="18"/>
                  <w:szCs w:val="18"/>
                  <w:color w:val="0000EE"/>
                </w:rPr>
                <w:t>License and License Assignment Agreement, dated as of February 15, 2021, between Volvo Car Corporation and Polestar</w:t>
              </w:r>
            </w:hyperlink>
          </w:p>
        </w:tc>
        <w:tc>
          <w:tcPr>
            <w:tcW w:w="700" w:type="dxa"/>
            <w:vAlign w:val="bottom"/>
            <w:gridSpan w:val="21"/>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75">
              <w:r>
                <w:rPr>
                  <w:rFonts w:ascii="Times New Roman" w:cs="Times New Roman" w:eastAsia="Times New Roman" w:hAnsi="Times New Roman"/>
                  <w:sz w:val="18"/>
                  <w:szCs w:val="18"/>
                  <w:color w:val="0000EE"/>
                  <w:w w:val="99"/>
                </w:rPr>
                <w:t>Automotive China Distribution Co. Ltd.</w:t>
              </w:r>
            </w:hyperlink>
          </w:p>
        </w:tc>
        <w:tc>
          <w:tcPr>
            <w:tcW w:w="6620" w:type="dxa"/>
            <w:vAlign w:val="bottom"/>
            <w:gridSpan w:val="30"/>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10.30**†</w:t>
            </w:r>
          </w:p>
        </w:tc>
        <w:tc>
          <w:tcPr>
            <w:tcW w:w="93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476">
              <w:r>
                <w:rPr>
                  <w:rFonts w:ascii="Times New Roman" w:cs="Times New Roman" w:eastAsia="Times New Roman" w:hAnsi="Times New Roman"/>
                  <w:sz w:val="18"/>
                  <w:szCs w:val="18"/>
                  <w:color w:val="0000EE"/>
                </w:rPr>
                <w:t>Unique Vendor Tooling Agreement, dated as of December 23, 2021, by and among Polestar Automotive China Distribution Co.,</w:t>
              </w:r>
            </w:hyperlink>
          </w:p>
        </w:tc>
        <w:tc>
          <w:tcPr>
            <w:tcW w:w="220" w:type="dxa"/>
            <w:vAlign w:val="bottom"/>
            <w:gridSpan w:val="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76">
              <w:r>
                <w:rPr>
                  <w:rFonts w:ascii="Times New Roman" w:cs="Times New Roman" w:eastAsia="Times New Roman" w:hAnsi="Times New Roman"/>
                  <w:sz w:val="18"/>
                  <w:szCs w:val="18"/>
                  <w:color w:val="0000EE"/>
                  <w:w w:val="99"/>
                </w:rPr>
                <w:t>Ltd. and Ningbo Geely Automobile Research &amp; Development Co., Ltd.</w:t>
              </w:r>
            </w:hyperlink>
          </w:p>
        </w:tc>
        <w:tc>
          <w:tcPr>
            <w:tcW w:w="4360" w:type="dxa"/>
            <w:vAlign w:val="bottom"/>
            <w:gridSpan w:val="26"/>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10.31**†</w:t>
            </w:r>
          </w:p>
        </w:tc>
        <w:tc>
          <w:tcPr>
            <w:tcW w:w="92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477">
              <w:r>
                <w:rPr>
                  <w:rFonts w:ascii="Times New Roman" w:cs="Times New Roman" w:eastAsia="Times New Roman" w:hAnsi="Times New Roman"/>
                  <w:sz w:val="18"/>
                  <w:szCs w:val="18"/>
                  <w:color w:val="0000EE"/>
                </w:rPr>
                <w:t>Car Model Manufacturing Agreement, dated as of November 28, 2018, between First Automobile Branch of Zhejiang Haoqing</w:t>
              </w:r>
            </w:hyperlink>
          </w:p>
        </w:tc>
        <w:tc>
          <w:tcPr>
            <w:tcW w:w="280" w:type="dxa"/>
            <w:vAlign w:val="bottom"/>
            <w:gridSpan w:val="11"/>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477">
              <w:r>
                <w:rPr>
                  <w:rFonts w:ascii="Times New Roman" w:cs="Times New Roman" w:eastAsia="Times New Roman" w:hAnsi="Times New Roman"/>
                  <w:sz w:val="18"/>
                  <w:szCs w:val="18"/>
                  <w:color w:val="0000EE"/>
                  <w:w w:val="99"/>
                </w:rPr>
                <w:t>Automobile Manufacturing Co., Ltd. and Polestar New Energy Vehicle Co. Ltd., as amended by the Novation Agreement, dated as</w:t>
              </w:r>
            </w:hyperlink>
          </w:p>
        </w:tc>
        <w:tc>
          <w:tcPr>
            <w:tcW w:w="8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477">
              <w:r>
                <w:rPr>
                  <w:rFonts w:ascii="Times New Roman" w:cs="Times New Roman" w:eastAsia="Times New Roman" w:hAnsi="Times New Roman"/>
                  <w:sz w:val="18"/>
                  <w:szCs w:val="18"/>
                  <w:color w:val="0000EE"/>
                </w:rPr>
                <w:t>of July 7, 2021, between Polestar New Energy Vehicle Co., Ltd., Polestar Automotive China Distribution (Taizhou) Co., Ltd. and</w:t>
              </w:r>
            </w:hyperlink>
          </w:p>
        </w:tc>
        <w:tc>
          <w:tcPr>
            <w:tcW w:w="14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77">
              <w:r>
                <w:rPr>
                  <w:rFonts w:ascii="Times New Roman" w:cs="Times New Roman" w:eastAsia="Times New Roman" w:hAnsi="Times New Roman"/>
                  <w:sz w:val="18"/>
                  <w:szCs w:val="18"/>
                  <w:color w:val="0000EE"/>
                  <w:w w:val="99"/>
                </w:rPr>
                <w:t>First Automobile Branch of Zhejiang Haoqing Automobile Manufacturing Co., Ltd.</w:t>
              </w:r>
            </w:hyperlink>
          </w:p>
        </w:tc>
        <w:tc>
          <w:tcPr>
            <w:tcW w:w="3460" w:type="dxa"/>
            <w:vAlign w:val="bottom"/>
            <w:gridSpan w:val="25"/>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10.32**†</w:t>
            </w:r>
          </w:p>
        </w:tc>
        <w:tc>
          <w:tcPr>
            <w:tcW w:w="93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478">
              <w:r>
                <w:rPr>
                  <w:rFonts w:ascii="Times New Roman" w:cs="Times New Roman" w:eastAsia="Times New Roman" w:hAnsi="Times New Roman"/>
                  <w:sz w:val="18"/>
                  <w:szCs w:val="18"/>
                  <w:color w:val="0000EE"/>
                </w:rPr>
                <w:t>Car Model Manufacturing Agreement, dated as of November 26, 2018, between Asia Euro Automobile Manufacturing (Taizhou)</w:t>
              </w:r>
            </w:hyperlink>
          </w:p>
        </w:tc>
        <w:tc>
          <w:tcPr>
            <w:tcW w:w="160" w:type="dxa"/>
            <w:vAlign w:val="bottom"/>
            <w:gridSpan w:val="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78">
              <w:r>
                <w:rPr>
                  <w:rFonts w:ascii="Times New Roman" w:cs="Times New Roman" w:eastAsia="Times New Roman" w:hAnsi="Times New Roman"/>
                  <w:sz w:val="18"/>
                  <w:szCs w:val="18"/>
                  <w:color w:val="0000EE"/>
                </w:rPr>
                <w:t>Co., Ltd. and Polestar Performance AB., as supplemented by the Supplement Car Manufacturing Agreement, dated as of May</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6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78">
              <w:r>
                <w:rPr>
                  <w:rFonts w:ascii="Times New Roman" w:cs="Times New Roman" w:eastAsia="Times New Roman" w:hAnsi="Times New Roman"/>
                  <w:sz w:val="18"/>
                  <w:szCs w:val="18"/>
                  <w:color w:val="0000EE"/>
                  <w:w w:val="99"/>
                </w:rPr>
                <w:t>2021, between Polestar Performance AB and Asia Euro Manufacturing (Taizhou) Co. Ltd., as amended by the Amendment Car</w:t>
              </w:r>
            </w:hyperlink>
          </w:p>
        </w:tc>
        <w:tc>
          <w:tcPr>
            <w:tcW w:w="34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78">
              <w:r>
                <w:rPr>
                  <w:rFonts w:ascii="Times New Roman" w:cs="Times New Roman" w:eastAsia="Times New Roman" w:hAnsi="Times New Roman"/>
                  <w:sz w:val="18"/>
                  <w:szCs w:val="18"/>
                  <w:color w:val="0000EE"/>
                </w:rPr>
                <w:t>Model Manufacturing Agreement, dated as of July 7, 2021, between Polestar Performance AB and Asia Euro Automobile</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78">
              <w:r>
                <w:rPr>
                  <w:rFonts w:ascii="Times New Roman" w:cs="Times New Roman" w:eastAsia="Times New Roman" w:hAnsi="Times New Roman"/>
                  <w:sz w:val="18"/>
                  <w:szCs w:val="18"/>
                  <w:color w:val="0000EE"/>
                  <w:w w:val="98"/>
                </w:rPr>
                <w:t>Manufacturing (Taizhou) Co. Ltd.</w:t>
              </w:r>
            </w:hyperlink>
          </w:p>
        </w:tc>
        <w:tc>
          <w:tcPr>
            <w:tcW w:w="6320" w:type="dxa"/>
            <w:vAlign w:val="bottom"/>
            <w:tcBorders>
              <w:top w:val="single" w:sz="8" w:color="0000EE"/>
            </w:tcBorders>
            <w:gridSpan w:val="9"/>
          </w:tcPr>
          <w:p>
            <w:pPr>
              <w:spacing w:after="0"/>
              <w:rPr>
                <w:sz w:val="17"/>
                <w:szCs w:val="17"/>
                <w:color w:val="auto"/>
              </w:rPr>
            </w:pPr>
          </w:p>
        </w:tc>
        <w:tc>
          <w:tcPr>
            <w:tcW w:w="740" w:type="dxa"/>
            <w:vAlign w:val="bottom"/>
            <w:gridSpan w:val="2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10.33**†</w:t>
            </w:r>
          </w:p>
        </w:tc>
        <w:tc>
          <w:tcPr>
            <w:tcW w:w="91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479">
              <w:r>
                <w:rPr>
                  <w:rFonts w:ascii="Times New Roman" w:cs="Times New Roman" w:eastAsia="Times New Roman" w:hAnsi="Times New Roman"/>
                  <w:sz w:val="18"/>
                  <w:szCs w:val="18"/>
                  <w:color w:val="0000EE"/>
                </w:rPr>
                <w:t>License, License Assignment and Service Agreement, dated as of June 30, 2019, between Volvo Car Corporation and Polestar</w:t>
              </w:r>
            </w:hyperlink>
          </w:p>
        </w:tc>
        <w:tc>
          <w:tcPr>
            <w:tcW w:w="380" w:type="dxa"/>
            <w:vAlign w:val="bottom"/>
            <w:gridSpan w:val="14"/>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479">
              <w:r>
                <w:rPr>
                  <w:rFonts w:ascii="Times New Roman" w:cs="Times New Roman" w:eastAsia="Times New Roman" w:hAnsi="Times New Roman"/>
                  <w:sz w:val="18"/>
                  <w:szCs w:val="18"/>
                  <w:color w:val="0000EE"/>
                  <w:w w:val="99"/>
                </w:rPr>
                <w:t>Performance AB, as supplemented by Side Letter, dated as of June 30, 2019, between Volvo Car Corporation, Volvo Cars (China)</w:t>
              </w:r>
            </w:hyperlink>
          </w:p>
        </w:tc>
        <w:tc>
          <w:tcPr>
            <w:tcW w:w="12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79">
              <w:r>
                <w:rPr>
                  <w:rFonts w:ascii="Times New Roman" w:cs="Times New Roman" w:eastAsia="Times New Roman" w:hAnsi="Times New Roman"/>
                  <w:sz w:val="18"/>
                  <w:szCs w:val="18"/>
                  <w:color w:val="0000EE"/>
                  <w:w w:val="99"/>
                </w:rPr>
                <w:t>Investment Co., Ltd., Polestar Performance AB and Polestar New Energy Vehicle Co. Ltd., as amended by the Amendment</w:t>
              </w:r>
            </w:hyperlink>
          </w:p>
        </w:tc>
        <w:tc>
          <w:tcPr>
            <w:tcW w:w="640" w:type="dxa"/>
            <w:vAlign w:val="bottom"/>
            <w:gridSpan w:val="20"/>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79">
              <w:r>
                <w:rPr>
                  <w:rFonts w:ascii="Times New Roman" w:cs="Times New Roman" w:eastAsia="Times New Roman" w:hAnsi="Times New Roman"/>
                  <w:sz w:val="18"/>
                  <w:szCs w:val="18"/>
                  <w:color w:val="0000EE"/>
                </w:rPr>
                <w:t>Agreement to the License, License Agreement and Service Agreement, dated as of December 19, 2019, between Volvo Car</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79">
              <w:r>
                <w:rPr>
                  <w:rFonts w:ascii="Times New Roman" w:cs="Times New Roman" w:eastAsia="Times New Roman" w:hAnsi="Times New Roman"/>
                  <w:sz w:val="18"/>
                  <w:szCs w:val="18"/>
                  <w:color w:val="0000EE"/>
                  <w:w w:val="99"/>
                </w:rPr>
                <w:t>Corporation and Polestar Performance AB.</w:t>
              </w:r>
            </w:hyperlink>
          </w:p>
        </w:tc>
        <w:tc>
          <w:tcPr>
            <w:tcW w:w="5760" w:type="dxa"/>
            <w:vAlign w:val="bottom"/>
            <w:tcBorders>
              <w:top w:val="single" w:sz="8" w:color="0000EE"/>
            </w:tcBorders>
            <w:gridSpan w:val="9"/>
          </w:tcPr>
          <w:p>
            <w:pPr>
              <w:spacing w:after="0"/>
              <w:rPr>
                <w:sz w:val="17"/>
                <w:szCs w:val="17"/>
                <w:color w:val="auto"/>
              </w:rPr>
            </w:pPr>
          </w:p>
        </w:tc>
        <w:tc>
          <w:tcPr>
            <w:tcW w:w="640" w:type="dxa"/>
            <w:vAlign w:val="bottom"/>
            <w:gridSpan w:val="20"/>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10.34**†</w:t>
            </w:r>
          </w:p>
        </w:tc>
        <w:tc>
          <w:tcPr>
            <w:tcW w:w="9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80">
              <w:r>
                <w:rPr>
                  <w:rFonts w:ascii="Times New Roman" w:cs="Times New Roman" w:eastAsia="Times New Roman" w:hAnsi="Times New Roman"/>
                  <w:sz w:val="18"/>
                  <w:szCs w:val="18"/>
                  <w:color w:val="0000EE"/>
                  <w:w w:val="99"/>
                </w:rPr>
                <w:t>License Agreement, dated as of June 30, 2019, between Volvo Car Corporation and Polestar New Energy Vehicle Co. Ltd., as</w:t>
              </w:r>
            </w:hyperlink>
          </w:p>
        </w:tc>
        <w:tc>
          <w:tcPr>
            <w:tcW w:w="42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480">
              <w:r>
                <w:rPr>
                  <w:rFonts w:ascii="Times New Roman" w:cs="Times New Roman" w:eastAsia="Times New Roman" w:hAnsi="Times New Roman"/>
                  <w:sz w:val="18"/>
                  <w:szCs w:val="18"/>
                  <w:color w:val="0000EE"/>
                </w:rPr>
                <w:t>supplemented by the Side Letter, dated as of June 30, 2019, between Polestar Performance AB, Polestar New Energy Vehicle Co.,</w:t>
              </w:r>
            </w:hyperlink>
          </w:p>
        </w:tc>
        <w:tc>
          <w:tcPr>
            <w:tcW w:w="10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6"/>
          </w:tcPr>
          <w:p>
            <w:pPr>
              <w:spacing w:after="0" w:line="196" w:lineRule="exact"/>
              <w:rPr>
                <w:rFonts w:ascii="Times New Roman" w:cs="Times New Roman" w:eastAsia="Times New Roman" w:hAnsi="Times New Roman"/>
                <w:sz w:val="18"/>
                <w:szCs w:val="18"/>
                <w:color w:val="0000EE"/>
              </w:rPr>
            </w:pPr>
            <w:hyperlink r:id="rId480">
              <w:r>
                <w:rPr>
                  <w:rFonts w:ascii="Times New Roman" w:cs="Times New Roman" w:eastAsia="Times New Roman" w:hAnsi="Times New Roman"/>
                  <w:sz w:val="18"/>
                  <w:szCs w:val="18"/>
                  <w:color w:val="0000EE"/>
                </w:rPr>
                <w:t>Ltd., Volvo Car Corporation and Volvo Cars (China) Investment Co. Ltd., as amended by the Novation Agreement, dated as of</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7420" w:type="dxa"/>
            <w:vAlign w:val="bottom"/>
            <w:gridSpan w:val="18"/>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80">
              <w:r>
                <w:rPr>
                  <w:rFonts w:ascii="Times New Roman" w:cs="Times New Roman" w:eastAsia="Times New Roman" w:hAnsi="Times New Roman"/>
                  <w:sz w:val="18"/>
                  <w:szCs w:val="18"/>
                  <w:color w:val="0000EE"/>
                </w:rPr>
                <w:t>December 8, 2020, by and among Polestar New Energy Vehicle Co., Ltd., Polestar Automotive China Distribution Co., Ltd. and</w:t>
              </w:r>
            </w:hyperlink>
          </w:p>
        </w:tc>
        <w:tc>
          <w:tcPr>
            <w:tcW w:w="240" w:type="dxa"/>
            <w:vAlign w:val="bottom"/>
            <w:gridSpan w:val="10"/>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80">
              <w:r>
                <w:rPr>
                  <w:rFonts w:ascii="Times New Roman" w:cs="Times New Roman" w:eastAsia="Times New Roman" w:hAnsi="Times New Roman"/>
                  <w:sz w:val="18"/>
                  <w:szCs w:val="18"/>
                  <w:color w:val="0000EE"/>
                  <w:w w:val="97"/>
                </w:rPr>
                <w:t>Volvo Car Corporation.</w:t>
              </w:r>
            </w:hyperlink>
          </w:p>
        </w:tc>
        <w:tc>
          <w:tcPr>
            <w:tcW w:w="7820" w:type="dxa"/>
            <w:vAlign w:val="bottom"/>
            <w:gridSpan w:val="33"/>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10.35**†</w:t>
            </w:r>
          </w:p>
        </w:tc>
        <w:tc>
          <w:tcPr>
            <w:tcW w:w="9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82">
              <w:r>
                <w:rPr>
                  <w:rFonts w:ascii="Times New Roman" w:cs="Times New Roman" w:eastAsia="Times New Roman" w:hAnsi="Times New Roman"/>
                  <w:sz w:val="18"/>
                  <w:szCs w:val="18"/>
                  <w:color w:val="0000EE"/>
                  <w:w w:val="99"/>
                </w:rPr>
                <w:t>Service Agreement, dated as of June 30, 2019, between Volvo Car Corporation and Polestar New Energy Vehicle Co. Ltd., as</w:t>
              </w:r>
            </w:hyperlink>
          </w:p>
        </w:tc>
        <w:tc>
          <w:tcPr>
            <w:tcW w:w="440" w:type="dxa"/>
            <w:vAlign w:val="bottom"/>
            <w:gridSpan w:val="11"/>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0000EE"/>
              </w:rPr>
            </w:pPr>
            <w:hyperlink r:id="rId482">
              <w:r>
                <w:rPr>
                  <w:rFonts w:ascii="Times New Roman" w:cs="Times New Roman" w:eastAsia="Times New Roman" w:hAnsi="Times New Roman"/>
                  <w:sz w:val="18"/>
                  <w:szCs w:val="18"/>
                  <w:color w:val="0000EE"/>
                </w:rPr>
                <w:t>supplemented by Side Letter, dated as of June 30, 2019, between Volvo Car Corporation, Volvo Cars (China) Investment Co., Ltd.,</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82">
              <w:r>
                <w:rPr>
                  <w:rFonts w:ascii="Times New Roman" w:cs="Times New Roman" w:eastAsia="Times New Roman" w:hAnsi="Times New Roman"/>
                  <w:sz w:val="18"/>
                  <w:szCs w:val="18"/>
                  <w:color w:val="0000EE"/>
                  <w:w w:val="99"/>
                </w:rPr>
                <w:t>Polestar Performance AB and Polestar New Energy Vehicle Co. Ltd., as amended by the Novation Agreement, dated as of</w:t>
              </w:r>
            </w:hyperlink>
          </w:p>
        </w:tc>
        <w:tc>
          <w:tcPr>
            <w:tcW w:w="66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82">
              <w:r>
                <w:rPr>
                  <w:rFonts w:ascii="Times New Roman" w:cs="Times New Roman" w:eastAsia="Times New Roman" w:hAnsi="Times New Roman"/>
                  <w:sz w:val="18"/>
                  <w:szCs w:val="18"/>
                  <w:color w:val="0000EE"/>
                </w:rPr>
                <w:t>December 8, 2020, by and among Polestar New Energy Vehicle Co., Ltd., Polestar Automotive China Distribution Co., Ltd. and</w:t>
              </w:r>
            </w:hyperlink>
          </w:p>
        </w:tc>
        <w:tc>
          <w:tcPr>
            <w:tcW w:w="24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82">
              <w:r>
                <w:rPr>
                  <w:rFonts w:ascii="Times New Roman" w:cs="Times New Roman" w:eastAsia="Times New Roman" w:hAnsi="Times New Roman"/>
                  <w:sz w:val="18"/>
                  <w:szCs w:val="18"/>
                  <w:color w:val="0000EE"/>
                  <w:w w:val="97"/>
                </w:rPr>
                <w:t>Volvo Car Corporation.</w:t>
              </w:r>
            </w:hyperlink>
          </w:p>
        </w:tc>
        <w:tc>
          <w:tcPr>
            <w:tcW w:w="7820" w:type="dxa"/>
            <w:vAlign w:val="bottom"/>
            <w:gridSpan w:val="26"/>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10.36**†</w:t>
            </w:r>
          </w:p>
        </w:tc>
        <w:tc>
          <w:tcPr>
            <w:tcW w:w="94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483">
              <w:r>
                <w:rPr>
                  <w:rFonts w:ascii="Times New Roman" w:cs="Times New Roman" w:eastAsia="Times New Roman" w:hAnsi="Times New Roman"/>
                  <w:sz w:val="18"/>
                  <w:szCs w:val="18"/>
                  <w:color w:val="0000EE"/>
                  <w:w w:val="99"/>
                </w:rPr>
                <w:t>Service Agreement, dated as of June 30, 2019, between Volvo Cars (China) Investment Co., Ltd. and Polestar New Energy Vehicle</w:t>
              </w:r>
            </w:hyperlink>
          </w:p>
        </w:tc>
        <w:tc>
          <w:tcPr>
            <w:tcW w:w="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83">
              <w:r>
                <w:rPr>
                  <w:rFonts w:ascii="Times New Roman" w:cs="Times New Roman" w:eastAsia="Times New Roman" w:hAnsi="Times New Roman"/>
                  <w:sz w:val="18"/>
                  <w:szCs w:val="18"/>
                  <w:color w:val="0000EE"/>
                  <w:w w:val="99"/>
                </w:rPr>
                <w:t>Co. Ltd., as supplemented by Side Letter, dated as of June 30, 2019, between Volvo Car Corporation, Volvo Cars (China)</w:t>
              </w:r>
            </w:hyperlink>
          </w:p>
        </w:tc>
        <w:tc>
          <w:tcPr>
            <w:tcW w:w="740" w:type="dxa"/>
            <w:vAlign w:val="bottom"/>
            <w:gridSpan w:val="1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83">
              <w:r>
                <w:rPr>
                  <w:rFonts w:ascii="Times New Roman" w:cs="Times New Roman" w:eastAsia="Times New Roman" w:hAnsi="Times New Roman"/>
                  <w:sz w:val="18"/>
                  <w:szCs w:val="18"/>
                  <w:color w:val="0000EE"/>
                  <w:w w:val="99"/>
                </w:rPr>
                <w:t>Investment Co., Ltd., Polestar Performance AB and Polestar New Energy Vehicle Co. Ltd., as amended by the Amendment</w:t>
              </w:r>
            </w:hyperlink>
          </w:p>
        </w:tc>
        <w:tc>
          <w:tcPr>
            <w:tcW w:w="640" w:type="dxa"/>
            <w:vAlign w:val="bottom"/>
            <w:gridSpan w:val="1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83">
              <w:r>
                <w:rPr>
                  <w:rFonts w:ascii="Times New Roman" w:cs="Times New Roman" w:eastAsia="Times New Roman" w:hAnsi="Times New Roman"/>
                  <w:sz w:val="18"/>
                  <w:szCs w:val="18"/>
                  <w:color w:val="0000EE"/>
                </w:rPr>
                <w:t>Agreement to the Service Agreement, dated as of November 28, 2019, between Volvo Cars (China) Investment Co. Ltd. and</w:t>
              </w:r>
            </w:hyperlink>
          </w:p>
        </w:tc>
        <w:tc>
          <w:tcPr>
            <w:tcW w:w="52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83">
              <w:r>
                <w:rPr>
                  <w:rFonts w:ascii="Times New Roman" w:cs="Times New Roman" w:eastAsia="Times New Roman" w:hAnsi="Times New Roman"/>
                  <w:sz w:val="18"/>
                  <w:szCs w:val="18"/>
                  <w:color w:val="0000EE"/>
                </w:rPr>
                <w:t>Polestar New Energy Vehicle Co. Ltd., as amended by the Novation Agreement, dated as of December 8, 2020, by and among</w:t>
              </w:r>
            </w:hyperlink>
          </w:p>
        </w:tc>
        <w:tc>
          <w:tcPr>
            <w:tcW w:w="36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483">
              <w:r>
                <w:rPr>
                  <w:rFonts w:ascii="Times New Roman" w:cs="Times New Roman" w:eastAsia="Times New Roman" w:hAnsi="Times New Roman"/>
                  <w:sz w:val="18"/>
                  <w:szCs w:val="18"/>
                  <w:color w:val="0000EE"/>
                  <w:w w:val="99"/>
                </w:rPr>
                <w:t>Polestar New Energy Vehicle Co., Ltd., Polestar Automotive China Distribution Co., Ltd. and Volvo Cars (China) Investment Co.,</w:t>
              </w:r>
            </w:hyperlink>
          </w:p>
        </w:tc>
        <w:tc>
          <w:tcPr>
            <w:tcW w:w="12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0000EE"/>
              </w:rPr>
            </w:pPr>
            <w:hyperlink r:id="rId483">
              <w:r>
                <w:rPr>
                  <w:rFonts w:ascii="Times New Roman" w:cs="Times New Roman" w:eastAsia="Times New Roman" w:hAnsi="Times New Roman"/>
                  <w:sz w:val="18"/>
                  <w:szCs w:val="18"/>
                  <w:color w:val="0000EE"/>
                </w:rPr>
                <w:t>Ltd.</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10.37**†</w:t>
            </w:r>
          </w:p>
        </w:tc>
        <w:tc>
          <w:tcPr>
            <w:tcW w:w="9520" w:type="dxa"/>
            <w:vAlign w:val="bottom"/>
            <w:gridSpan w:val="29"/>
          </w:tcPr>
          <w:p>
            <w:pPr>
              <w:spacing w:after="0"/>
              <w:rPr>
                <w:rFonts w:ascii="Times New Roman" w:cs="Times New Roman" w:eastAsia="Times New Roman" w:hAnsi="Times New Roman"/>
                <w:sz w:val="18"/>
                <w:szCs w:val="18"/>
                <w:color w:val="0000EE"/>
              </w:rPr>
            </w:pPr>
            <w:hyperlink r:id="rId484">
              <w:r>
                <w:rPr>
                  <w:rFonts w:ascii="Times New Roman" w:cs="Times New Roman" w:eastAsia="Times New Roman" w:hAnsi="Times New Roman"/>
                  <w:sz w:val="18"/>
                  <w:szCs w:val="18"/>
                  <w:color w:val="0000EE"/>
                </w:rPr>
                <w:t>Service Agreement, dated as of August 31, 2020, between Volvo Cars Technology (Shanghai) Co., Ltd. and Polestar Automotive</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84">
              <w:r>
                <w:rPr>
                  <w:rFonts w:ascii="Times New Roman" w:cs="Times New Roman" w:eastAsia="Times New Roman" w:hAnsi="Times New Roman"/>
                  <w:sz w:val="18"/>
                  <w:szCs w:val="18"/>
                  <w:color w:val="0000EE"/>
                  <w:w w:val="99"/>
                </w:rPr>
                <w:t>China Distribution Co. Ltd.</w:t>
              </w:r>
            </w:hyperlink>
          </w:p>
        </w:tc>
        <w:tc>
          <w:tcPr>
            <w:tcW w:w="7320" w:type="dxa"/>
            <w:vAlign w:val="bottom"/>
            <w:tcBorders>
              <w:top w:val="single" w:sz="8" w:color="0000EE"/>
            </w:tcBorders>
            <w:gridSpan w:val="19"/>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10.38**†</w:t>
            </w:r>
          </w:p>
        </w:tc>
        <w:tc>
          <w:tcPr>
            <w:tcW w:w="9520" w:type="dxa"/>
            <w:vAlign w:val="bottom"/>
            <w:gridSpan w:val="29"/>
          </w:tcPr>
          <w:p>
            <w:pPr>
              <w:spacing w:after="0"/>
              <w:rPr>
                <w:rFonts w:ascii="Times New Roman" w:cs="Times New Roman" w:eastAsia="Times New Roman" w:hAnsi="Times New Roman"/>
                <w:sz w:val="18"/>
                <w:szCs w:val="18"/>
                <w:color w:val="0000EE"/>
              </w:rPr>
            </w:pPr>
            <w:hyperlink r:id="rId485">
              <w:r>
                <w:rPr>
                  <w:rFonts w:ascii="Times New Roman" w:cs="Times New Roman" w:eastAsia="Times New Roman" w:hAnsi="Times New Roman"/>
                  <w:sz w:val="18"/>
                  <w:szCs w:val="18"/>
                  <w:color w:val="0000EE"/>
                </w:rPr>
                <w:t>Service Agreement, dated as of September 1, 2020, between Volvo Car Corporation and Polestar Automotive China Distribution</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85">
              <w:r>
                <w:rPr>
                  <w:rFonts w:ascii="Times New Roman" w:cs="Times New Roman" w:eastAsia="Times New Roman" w:hAnsi="Times New Roman"/>
                  <w:sz w:val="18"/>
                  <w:szCs w:val="18"/>
                  <w:color w:val="0000EE"/>
                </w:rPr>
                <w:t>Co. Ltd.</w:t>
              </w:r>
            </w:hyperlink>
          </w:p>
        </w:tc>
        <w:tc>
          <w:tcPr>
            <w:tcW w:w="220" w:type="dxa"/>
            <w:vAlign w:val="bottom"/>
            <w:gridSpan w:val="6"/>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10.39**†</w:t>
            </w:r>
          </w:p>
        </w:tc>
        <w:tc>
          <w:tcPr>
            <w:tcW w:w="8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486">
              <w:r>
                <w:rPr>
                  <w:rFonts w:ascii="Times New Roman" w:cs="Times New Roman" w:eastAsia="Times New Roman" w:hAnsi="Times New Roman"/>
                  <w:sz w:val="18"/>
                  <w:szCs w:val="18"/>
                  <w:color w:val="0000EE"/>
                </w:rPr>
                <w:t>Financial Undertaking Agreement—Investments for Vehicle Assembly, dated as of February 27, 2020, between Zhongjia</w:t>
              </w:r>
            </w:hyperlink>
          </w:p>
        </w:tc>
        <w:tc>
          <w:tcPr>
            <w:tcW w:w="740" w:type="dxa"/>
            <w:vAlign w:val="bottom"/>
            <w:gridSpan w:val="15"/>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0000EE"/>
              </w:rPr>
            </w:pPr>
            <w:hyperlink r:id="rId486">
              <w:r>
                <w:rPr>
                  <w:rFonts w:ascii="Times New Roman" w:cs="Times New Roman" w:eastAsia="Times New Roman" w:hAnsi="Times New Roman"/>
                  <w:sz w:val="18"/>
                  <w:szCs w:val="18"/>
                  <w:color w:val="0000EE"/>
                </w:rPr>
                <w:t>Automobile Manufacturing (Chengdu) Co., Ltd. and Polestar Automotive China Distribution Co., Ltd.</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10.40**†</w:t>
            </w:r>
          </w:p>
        </w:tc>
        <w:tc>
          <w:tcPr>
            <w:tcW w:w="92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487">
              <w:r>
                <w:rPr>
                  <w:rFonts w:ascii="Times New Roman" w:cs="Times New Roman" w:eastAsia="Times New Roman" w:hAnsi="Times New Roman"/>
                  <w:sz w:val="18"/>
                  <w:szCs w:val="18"/>
                  <w:color w:val="0000EE"/>
                  <w:w w:val="99"/>
                </w:rPr>
                <w:t>Service Agreement, dated as of February 2021, between Zhongjia Automobile Manufacturing (Chengdu) Co., Ltd. and Polestar</w:t>
              </w:r>
            </w:hyperlink>
          </w:p>
        </w:tc>
        <w:tc>
          <w:tcPr>
            <w:tcW w:w="320" w:type="dxa"/>
            <w:vAlign w:val="bottom"/>
            <w:gridSpan w:val="8"/>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87">
              <w:r>
                <w:rPr>
                  <w:rFonts w:ascii="Times New Roman" w:cs="Times New Roman" w:eastAsia="Times New Roman" w:hAnsi="Times New Roman"/>
                  <w:sz w:val="18"/>
                  <w:szCs w:val="18"/>
                  <w:color w:val="0000EE"/>
                  <w:w w:val="99"/>
                </w:rPr>
                <w:t>Automotive China Distribution Co. Ltd.</w:t>
              </w:r>
            </w:hyperlink>
          </w:p>
        </w:tc>
        <w:tc>
          <w:tcPr>
            <w:tcW w:w="662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10.41**†</w:t>
            </w:r>
          </w:p>
        </w:tc>
        <w:tc>
          <w:tcPr>
            <w:tcW w:w="9520" w:type="dxa"/>
            <w:vAlign w:val="bottom"/>
            <w:gridSpan w:val="29"/>
          </w:tcPr>
          <w:p>
            <w:pPr>
              <w:spacing w:after="0"/>
              <w:rPr>
                <w:rFonts w:ascii="Times New Roman" w:cs="Times New Roman" w:eastAsia="Times New Roman" w:hAnsi="Times New Roman"/>
                <w:sz w:val="18"/>
                <w:szCs w:val="18"/>
                <w:color w:val="0000EE"/>
              </w:rPr>
            </w:pPr>
            <w:hyperlink r:id="rId488">
              <w:r>
                <w:rPr>
                  <w:rFonts w:ascii="Times New Roman" w:cs="Times New Roman" w:eastAsia="Times New Roman" w:hAnsi="Times New Roman"/>
                  <w:sz w:val="18"/>
                  <w:szCs w:val="18"/>
                  <w:color w:val="0000EE"/>
                </w:rPr>
                <w:t>Service Agreement, dated as of April 28, 2021, between Volvo Car Corporation and Polestar Automotive China Distribution Co.</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88">
              <w:r>
                <w:rPr>
                  <w:rFonts w:ascii="Times New Roman" w:cs="Times New Roman" w:eastAsia="Times New Roman" w:hAnsi="Times New Roman"/>
                  <w:sz w:val="18"/>
                  <w:szCs w:val="18"/>
                  <w:color w:val="0000EE"/>
                </w:rPr>
                <w:t>Ltd.</w:t>
              </w:r>
            </w:hyperlink>
          </w:p>
        </w:tc>
        <w:tc>
          <w:tcPr>
            <w:tcW w:w="220" w:type="dxa"/>
            <w:vAlign w:val="bottom"/>
            <w:gridSpan w:val="6"/>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10.42**†</w:t>
            </w:r>
          </w:p>
        </w:tc>
        <w:tc>
          <w:tcPr>
            <w:tcW w:w="8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89">
              <w:r>
                <w:rPr>
                  <w:rFonts w:ascii="Times New Roman" w:cs="Times New Roman" w:eastAsia="Times New Roman" w:hAnsi="Times New Roman"/>
                  <w:sz w:val="18"/>
                  <w:szCs w:val="18"/>
                  <w:color w:val="0000EE"/>
                  <w:w w:val="99"/>
                </w:rPr>
                <w:t>License Agreement, dated as of December 23, 2020, between Polestar Performance AB and Volvo Car Corporation.</w:t>
              </w:r>
            </w:hyperlink>
          </w:p>
        </w:tc>
        <w:tc>
          <w:tcPr>
            <w:tcW w:w="1160" w:type="dxa"/>
            <w:vAlign w:val="bottom"/>
            <w:gridSpan w:val="17"/>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10.43**†</w:t>
            </w:r>
          </w:p>
        </w:tc>
        <w:tc>
          <w:tcPr>
            <w:tcW w:w="93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490">
              <w:r>
                <w:rPr>
                  <w:rFonts w:ascii="Times New Roman" w:cs="Times New Roman" w:eastAsia="Times New Roman" w:hAnsi="Times New Roman"/>
                  <w:sz w:val="18"/>
                  <w:szCs w:val="18"/>
                  <w:color w:val="0000EE"/>
                </w:rPr>
                <w:t>Performance Software Agreement, dated as of January 1, 2020, by and between Volvo Car Corporation and Polestar Performance</w:t>
              </w:r>
            </w:hyperlink>
          </w:p>
        </w:tc>
        <w:tc>
          <w:tcPr>
            <w:tcW w:w="140" w:type="dxa"/>
            <w:vAlign w:val="bottom"/>
            <w:gridSpan w:val="4"/>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Times New Roman" w:cs="Times New Roman" w:eastAsia="Times New Roman" w:hAnsi="Times New Roman"/>
                <w:sz w:val="18"/>
                <w:szCs w:val="18"/>
                <w:color w:val="0000EE"/>
              </w:rPr>
            </w:pPr>
            <w:hyperlink r:id="rId490">
              <w:r>
                <w:rPr>
                  <w:rFonts w:ascii="Times New Roman" w:cs="Times New Roman" w:eastAsia="Times New Roman" w:hAnsi="Times New Roman"/>
                  <w:sz w:val="18"/>
                  <w:szCs w:val="18"/>
                  <w:color w:val="0000EE"/>
                </w:rPr>
                <w:t>AB.</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10.44**†</w:t>
            </w:r>
          </w:p>
        </w:tc>
        <w:tc>
          <w:tcPr>
            <w:tcW w:w="8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91">
              <w:r>
                <w:rPr>
                  <w:rFonts w:ascii="Times New Roman" w:cs="Times New Roman" w:eastAsia="Times New Roman" w:hAnsi="Times New Roman"/>
                  <w:sz w:val="18"/>
                  <w:szCs w:val="18"/>
                  <w:color w:val="0000EE"/>
                  <w:w w:val="99"/>
                </w:rPr>
                <w:t>Financial Undertaking Agreement—Investments for Vehicle Assembly, dated as of March 17, 2021, between Volvo Car</w:t>
              </w:r>
            </w:hyperlink>
          </w:p>
        </w:tc>
        <w:tc>
          <w:tcPr>
            <w:tcW w:w="84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91">
              <w:r>
                <w:rPr>
                  <w:rFonts w:ascii="Times New Roman" w:cs="Times New Roman" w:eastAsia="Times New Roman" w:hAnsi="Times New Roman"/>
                  <w:sz w:val="18"/>
                  <w:szCs w:val="18"/>
                  <w:color w:val="0000EE"/>
                  <w:w w:val="99"/>
                </w:rPr>
                <w:t>Corporation and Polestar Performance AB.</w:t>
              </w:r>
            </w:hyperlink>
          </w:p>
        </w:tc>
        <w:tc>
          <w:tcPr>
            <w:tcW w:w="6400" w:type="dxa"/>
            <w:vAlign w:val="bottom"/>
            <w:gridSpan w:val="2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10.45**†</w:t>
            </w:r>
          </w:p>
        </w:tc>
        <w:tc>
          <w:tcPr>
            <w:tcW w:w="8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92">
              <w:r>
                <w:rPr>
                  <w:rFonts w:ascii="Times New Roman" w:cs="Times New Roman" w:eastAsia="Times New Roman" w:hAnsi="Times New Roman"/>
                  <w:sz w:val="18"/>
                  <w:szCs w:val="18"/>
                  <w:color w:val="0000EE"/>
                  <w:w w:val="99"/>
                </w:rPr>
                <w:t>Financial Undertaking Agreement—Investments for Vehicle Assembly, dated as of March 23, 2021, between Volvo Car</w:t>
              </w:r>
            </w:hyperlink>
          </w:p>
        </w:tc>
        <w:tc>
          <w:tcPr>
            <w:tcW w:w="84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92">
              <w:r>
                <w:rPr>
                  <w:rFonts w:ascii="Times New Roman" w:cs="Times New Roman" w:eastAsia="Times New Roman" w:hAnsi="Times New Roman"/>
                  <w:sz w:val="18"/>
                  <w:szCs w:val="18"/>
                  <w:color w:val="0000EE"/>
                  <w:w w:val="99"/>
                </w:rPr>
                <w:t>Corporation and Polestar Performance AB.</w:t>
              </w:r>
            </w:hyperlink>
          </w:p>
        </w:tc>
        <w:tc>
          <w:tcPr>
            <w:tcW w:w="6400" w:type="dxa"/>
            <w:vAlign w:val="bottom"/>
            <w:gridSpan w:val="2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10.46**†</w:t>
            </w:r>
          </w:p>
        </w:tc>
        <w:tc>
          <w:tcPr>
            <w:tcW w:w="9520" w:type="dxa"/>
            <w:vAlign w:val="bottom"/>
            <w:gridSpan w:val="29"/>
          </w:tcPr>
          <w:p>
            <w:pPr>
              <w:spacing w:after="0"/>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Service Agreement, dated as of March 24, 2020, between Volvo Car Corporation and Polestar Performance AB.</w:t>
              </w:r>
            </w:hyperlink>
          </w:p>
        </w:tc>
      </w:tr>
      <w:tr>
        <w:trPr>
          <w:trHeight w:val="20"/>
        </w:trPr>
        <w:tc>
          <w:tcPr>
            <w:tcW w:w="1500" w:type="dxa"/>
            <w:vAlign w:val="bottom"/>
            <w:gridSpan w:val="2"/>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10.47**†</w:t>
            </w:r>
          </w:p>
        </w:tc>
        <w:tc>
          <w:tcPr>
            <w:tcW w:w="8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94">
              <w:r>
                <w:rPr>
                  <w:rFonts w:ascii="Times New Roman" w:cs="Times New Roman" w:eastAsia="Times New Roman" w:hAnsi="Times New Roman"/>
                  <w:sz w:val="18"/>
                  <w:szCs w:val="18"/>
                  <w:color w:val="0000EE"/>
                  <w:w w:val="99"/>
                </w:rPr>
                <w:t>Service Agreement, dated as of November 27, 2020, between Volvo Car Corporation and Polestar Performance AB.</w:t>
              </w:r>
            </w:hyperlink>
          </w:p>
        </w:tc>
        <w:tc>
          <w:tcPr>
            <w:tcW w:w="1160" w:type="dxa"/>
            <w:vAlign w:val="bottom"/>
            <w:gridSpan w:val="17"/>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10.48**†</w:t>
            </w:r>
          </w:p>
        </w:tc>
        <w:tc>
          <w:tcPr>
            <w:tcW w:w="9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Service Agreement, dated as of January 18, 2021, between Ningbo Geely Automobile Research &amp; Development Co., Ltd. and</w:t>
              </w:r>
            </w:hyperlink>
          </w:p>
        </w:tc>
        <w:tc>
          <w:tcPr>
            <w:tcW w:w="380" w:type="dxa"/>
            <w:vAlign w:val="bottom"/>
            <w:gridSpan w:val="1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95">
              <w:r>
                <w:rPr>
                  <w:rFonts w:ascii="Times New Roman" w:cs="Times New Roman" w:eastAsia="Times New Roman" w:hAnsi="Times New Roman"/>
                  <w:sz w:val="18"/>
                  <w:szCs w:val="18"/>
                  <w:color w:val="0000EE"/>
                  <w:w w:val="99"/>
                </w:rPr>
                <w:t>Polestar Performance AB.</w:t>
              </w:r>
            </w:hyperlink>
          </w:p>
        </w:tc>
        <w:tc>
          <w:tcPr>
            <w:tcW w:w="7620" w:type="dxa"/>
            <w:vAlign w:val="bottom"/>
            <w:gridSpan w:val="25"/>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10.49**†</w:t>
            </w:r>
          </w:p>
        </w:tc>
        <w:tc>
          <w:tcPr>
            <w:tcW w:w="8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96">
              <w:r>
                <w:rPr>
                  <w:rFonts w:ascii="Times New Roman" w:cs="Times New Roman" w:eastAsia="Times New Roman" w:hAnsi="Times New Roman"/>
                  <w:sz w:val="18"/>
                  <w:szCs w:val="18"/>
                  <w:color w:val="0000EE"/>
                  <w:w w:val="99"/>
                </w:rPr>
                <w:t>Service Agreement, dated as of January 28, 2020, between Volvo Car Corporation and Polestar Performance AB.</w:t>
              </w:r>
            </w:hyperlink>
          </w:p>
        </w:tc>
        <w:tc>
          <w:tcPr>
            <w:tcW w:w="1360" w:type="dxa"/>
            <w:vAlign w:val="bottom"/>
            <w:gridSpan w:val="19"/>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10.50**†</w:t>
            </w:r>
          </w:p>
        </w:tc>
        <w:tc>
          <w:tcPr>
            <w:tcW w:w="8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97">
              <w:r>
                <w:rPr>
                  <w:rFonts w:ascii="Times New Roman" w:cs="Times New Roman" w:eastAsia="Times New Roman" w:hAnsi="Times New Roman"/>
                  <w:sz w:val="18"/>
                  <w:szCs w:val="18"/>
                  <w:color w:val="0000EE"/>
                  <w:w w:val="99"/>
                </w:rPr>
                <w:t>Service Agreement, dated as of September 4, 2020, between Volvo Car Corporation and Polestar Performance AB.</w:t>
              </w:r>
            </w:hyperlink>
          </w:p>
        </w:tc>
        <w:tc>
          <w:tcPr>
            <w:tcW w:w="1240" w:type="dxa"/>
            <w:vAlign w:val="bottom"/>
            <w:gridSpan w:val="18"/>
          </w:tcPr>
          <w:p>
            <w:pPr>
              <w:spacing w:after="0"/>
              <w:rPr>
                <w:sz w:val="24"/>
                <w:szCs w:val="24"/>
                <w:color w:val="auto"/>
              </w:rPr>
            </w:pPr>
          </w:p>
        </w:tc>
      </w:tr>
      <w:tr>
        <w:trPr>
          <w:trHeight w:val="385"/>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gridSpan w:val="22"/>
          </w:tcPr>
          <w:p>
            <w:pPr>
              <w:ind w:left="74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140"/>
          </w:cols>
          <w:pgMar w:left="320" w:top="455" w:right="4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10.51**†</w:t>
            </w:r>
          </w:p>
        </w:tc>
        <w:tc>
          <w:tcPr>
            <w:tcW w:w="7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99">
              <w:r>
                <w:rPr>
                  <w:rFonts w:ascii="Times New Roman" w:cs="Times New Roman" w:eastAsia="Times New Roman" w:hAnsi="Times New Roman"/>
                  <w:sz w:val="18"/>
                  <w:szCs w:val="18"/>
                  <w:color w:val="0000EE"/>
                  <w:w w:val="99"/>
                </w:rPr>
                <w:t>Service Agreement, dated as of May 11, 2020, between Volvo Car Corporation and Polestar Performance AB.</w:t>
              </w:r>
            </w:hyperlink>
          </w:p>
        </w:tc>
        <w:tc>
          <w:tcPr>
            <w:tcW w:w="1600" w:type="dxa"/>
            <w:vAlign w:val="bottom"/>
            <w:gridSpan w:val="17"/>
          </w:tcPr>
          <w:p>
            <w:pPr>
              <w:spacing w:after="0"/>
              <w:rPr>
                <w:sz w:val="22"/>
                <w:szCs w:val="22"/>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10.52**†</w:t>
            </w:r>
          </w:p>
        </w:tc>
        <w:tc>
          <w:tcPr>
            <w:tcW w:w="8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00">
              <w:r>
                <w:rPr>
                  <w:rFonts w:ascii="Times New Roman" w:cs="Times New Roman" w:eastAsia="Times New Roman" w:hAnsi="Times New Roman"/>
                  <w:sz w:val="18"/>
                  <w:szCs w:val="18"/>
                  <w:color w:val="0000EE"/>
                  <w:w w:val="99"/>
                </w:rPr>
                <w:t>Service Agreement, dated as of September 4, 2020, between Polestar Performance AB and Volvo Bil i Göteborg AB.</w:t>
              </w:r>
            </w:hyperlink>
          </w:p>
        </w:tc>
        <w:tc>
          <w:tcPr>
            <w:tcW w:w="1080" w:type="dxa"/>
            <w:vAlign w:val="bottom"/>
            <w:gridSpan w:val="13"/>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10.53**†</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License Agreement, dated as of December 6, 2020, between Volvo Car Corporation and Polestar Performance AB, as amended by</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01">
              <w:r>
                <w:rPr>
                  <w:rFonts w:ascii="Times New Roman" w:cs="Times New Roman" w:eastAsia="Times New Roman" w:hAnsi="Times New Roman"/>
                  <w:sz w:val="18"/>
                  <w:szCs w:val="18"/>
                  <w:color w:val="0000EE"/>
                  <w:w w:val="99"/>
                </w:rPr>
                <w:t>the Amendment Agreement, dated as of June 30, 2021, between Volvo Car Corporation and Polestar Performance AB.</w:t>
              </w:r>
            </w:hyperlink>
          </w:p>
        </w:tc>
        <w:tc>
          <w:tcPr>
            <w:tcW w:w="880" w:type="dxa"/>
            <w:vAlign w:val="bottom"/>
            <w:tcBorders>
              <w:top w:val="single" w:sz="8" w:color="0000EE"/>
            </w:tcBorders>
            <w:gridSpan w:val="8"/>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10.54**†</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Service Agreement, dated as of December 6, 2020, between Volvo Car Corporation and Polestar Performance AB.</w:t>
              </w:r>
            </w:hyperlink>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10.55**†</w:t>
            </w:r>
          </w:p>
        </w:tc>
        <w:tc>
          <w:tcPr>
            <w:tcW w:w="82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Service Agreement, dated as of March 24, 2020, between Volvo Car Corporation and Polestar Performance AB.</w:t>
              </w:r>
            </w:hyperlink>
          </w:p>
        </w:tc>
        <w:tc>
          <w:tcPr>
            <w:tcW w:w="1280" w:type="dxa"/>
            <w:vAlign w:val="bottom"/>
            <w:gridSpan w:val="14"/>
          </w:tcPr>
          <w:p>
            <w:pPr>
              <w:spacing w:after="0"/>
              <w:rPr>
                <w:sz w:val="24"/>
                <w:szCs w:val="24"/>
                <w:color w:val="auto"/>
              </w:rPr>
            </w:pPr>
          </w:p>
        </w:tc>
      </w:tr>
      <w:tr>
        <w:trPr>
          <w:trHeight w:val="20"/>
        </w:trPr>
        <w:tc>
          <w:tcPr>
            <w:tcW w:w="1500" w:type="dxa"/>
            <w:vAlign w:val="bottom"/>
            <w:gridSpan w:val="2"/>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10.56**†</w:t>
            </w:r>
          </w:p>
        </w:tc>
        <w:tc>
          <w:tcPr>
            <w:tcW w:w="8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04">
              <w:r>
                <w:rPr>
                  <w:rFonts w:ascii="Times New Roman" w:cs="Times New Roman" w:eastAsia="Times New Roman" w:hAnsi="Times New Roman"/>
                  <w:sz w:val="18"/>
                  <w:szCs w:val="18"/>
                  <w:color w:val="0000EE"/>
                  <w:w w:val="99"/>
                </w:rPr>
                <w:t>Service Agreement, dated as of January 19, 2021, between Volvo Car UK Limited and Polestar Performance AB.</w:t>
              </w:r>
            </w:hyperlink>
          </w:p>
        </w:tc>
        <w:tc>
          <w:tcPr>
            <w:tcW w:w="1360" w:type="dxa"/>
            <w:vAlign w:val="bottom"/>
            <w:gridSpan w:val="15"/>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10.57**†</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European CO2 Emission Credits 2020 Payment Agreement, dated as of November 27, 2020, between Volvo Car Corporation and</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05">
              <w:r>
                <w:rPr>
                  <w:rFonts w:ascii="Times New Roman" w:cs="Times New Roman" w:eastAsia="Times New Roman" w:hAnsi="Times New Roman"/>
                  <w:sz w:val="18"/>
                  <w:szCs w:val="18"/>
                  <w:color w:val="0000EE"/>
                  <w:w w:val="99"/>
                </w:rPr>
                <w:t>Polestar Performance AB.</w:t>
              </w:r>
            </w:hyperlink>
          </w:p>
        </w:tc>
        <w:tc>
          <w:tcPr>
            <w:tcW w:w="7460" w:type="dxa"/>
            <w:vAlign w:val="bottom"/>
            <w:tcBorders>
              <w:top w:val="single" w:sz="8" w:color="0000EE"/>
            </w:tcBorders>
            <w:gridSpan w:val="18"/>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10.58**†</w:t>
            </w:r>
          </w:p>
        </w:tc>
        <w:tc>
          <w:tcPr>
            <w:tcW w:w="9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Parts Supply and License Agreement Polestar Aftermarket Parts and Accessories (CHINA), dated as of November 22, 2021,</w:t>
              </w:r>
            </w:hyperlink>
          </w:p>
        </w:tc>
        <w:tc>
          <w:tcPr>
            <w:tcW w:w="500" w:type="dxa"/>
            <w:vAlign w:val="bottom"/>
            <w:gridSpan w:val="1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between Polestar Automotive China Distribution Co., Ltd and Volvo Car Distribution (Shanghai) Co., Ltd.</w:t>
              </w:r>
            </w:hyperlink>
          </w:p>
        </w:tc>
      </w:tr>
      <w:tr>
        <w:trPr>
          <w:trHeight w:val="20"/>
        </w:trPr>
        <w:tc>
          <w:tcPr>
            <w:tcW w:w="150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10.59**†</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Service Agreement, dated as of June 23, 2021, between Volvo Car Corporation and Polestar Automotive China Distribution., Ltd.</w:t>
              </w:r>
            </w:hyperlink>
          </w:p>
        </w:tc>
      </w:tr>
      <w:tr>
        <w:trPr>
          <w:trHeight w:val="20"/>
        </w:trPr>
        <w:tc>
          <w:tcPr>
            <w:tcW w:w="150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20" w:type="dxa"/>
            <w:vAlign w:val="bottom"/>
            <w:gridSpan w:val="8"/>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10.60**†</w:t>
            </w:r>
          </w:p>
        </w:tc>
        <w:tc>
          <w:tcPr>
            <w:tcW w:w="9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08">
              <w:r>
                <w:rPr>
                  <w:rFonts w:ascii="Times New Roman" w:cs="Times New Roman" w:eastAsia="Times New Roman" w:hAnsi="Times New Roman"/>
                  <w:sz w:val="18"/>
                  <w:szCs w:val="18"/>
                  <w:color w:val="0000EE"/>
                  <w:w w:val="99"/>
                </w:rPr>
                <w:t>Service Agreement, dated as of December 7, 2021, between Volvo Cars Technology (Shanghai) Co., Ltd. and Polestar Automotive</w:t>
              </w:r>
            </w:hyperlink>
          </w:p>
        </w:tc>
        <w:tc>
          <w:tcPr>
            <w:tcW w:w="6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08">
              <w:r>
                <w:rPr>
                  <w:rFonts w:ascii="Times New Roman" w:cs="Times New Roman" w:eastAsia="Times New Roman" w:hAnsi="Times New Roman"/>
                  <w:sz w:val="18"/>
                  <w:szCs w:val="18"/>
                  <w:color w:val="0000EE"/>
                  <w:w w:val="99"/>
                </w:rPr>
                <w:t>China Distribution Co., Ltd.</w:t>
              </w:r>
            </w:hyperlink>
          </w:p>
        </w:tc>
        <w:tc>
          <w:tcPr>
            <w:tcW w:w="748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10.61**†</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Service Agreement, effective as of July 1, 2021, between Volvo Car Corporation and Polestar Automotive China Distribution., Ltd.</w:t>
              </w:r>
            </w:hyperlink>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10.62**†</w:t>
            </w:r>
          </w:p>
        </w:tc>
        <w:tc>
          <w:tcPr>
            <w:tcW w:w="9460" w:type="dxa"/>
            <w:vAlign w:val="bottom"/>
            <w:tcBorders>
              <w:top w:val="single" w:sz="8" w:color="0000EE"/>
              <w:bottom w:val="single" w:sz="8" w:color="0000EE"/>
            </w:tcBorders>
            <w:gridSpan w:val="23"/>
          </w:tcPr>
          <w:p>
            <w:pPr>
              <w:spacing w:after="0"/>
              <w:rPr>
                <w:rFonts w:ascii="Times New Roman" w:cs="Times New Roman" w:eastAsia="Times New Roman" w:hAnsi="Times New Roman"/>
                <w:sz w:val="18"/>
                <w:szCs w:val="18"/>
                <w:color w:val="0000EE"/>
                <w:w w:val="99"/>
              </w:rPr>
            </w:pPr>
            <w:hyperlink r:id="rId510">
              <w:r>
                <w:rPr>
                  <w:rFonts w:ascii="Times New Roman" w:cs="Times New Roman" w:eastAsia="Times New Roman" w:hAnsi="Times New Roman"/>
                  <w:sz w:val="18"/>
                  <w:szCs w:val="18"/>
                  <w:color w:val="0000EE"/>
                  <w:w w:val="99"/>
                </w:rPr>
                <w:t>Service Agreement, dated as of December 7, 2021, between Volvo Cars Technology (Shanghai) Co., Ltd. and Polestar Automotive</w:t>
              </w:r>
            </w:hyperlink>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10">
              <w:r>
                <w:rPr>
                  <w:rFonts w:ascii="Times New Roman" w:cs="Times New Roman" w:eastAsia="Times New Roman" w:hAnsi="Times New Roman"/>
                  <w:sz w:val="18"/>
                  <w:szCs w:val="18"/>
                  <w:color w:val="0000EE"/>
                  <w:w w:val="99"/>
                </w:rPr>
                <w:t>China Distribution Co., Ltd.</w:t>
              </w:r>
            </w:hyperlink>
          </w:p>
        </w:tc>
        <w:tc>
          <w:tcPr>
            <w:tcW w:w="748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10.63**†</w:t>
            </w:r>
          </w:p>
        </w:tc>
        <w:tc>
          <w:tcPr>
            <w:tcW w:w="8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11">
              <w:r>
                <w:rPr>
                  <w:rFonts w:ascii="Times New Roman" w:cs="Times New Roman" w:eastAsia="Times New Roman" w:hAnsi="Times New Roman"/>
                  <w:sz w:val="18"/>
                  <w:szCs w:val="18"/>
                  <w:color w:val="0000EE"/>
                  <w:w w:val="99"/>
                </w:rPr>
                <w:t>Service Agreement, dated as of June 23, 2021, between Volvo Car Corporation and Polestar New Energy Vehicle Co. Ltd.</w:t>
              </w:r>
            </w:hyperlink>
          </w:p>
        </w:tc>
        <w:tc>
          <w:tcPr>
            <w:tcW w:w="720" w:type="dxa"/>
            <w:vAlign w:val="bottom"/>
            <w:gridSpan w:val="11"/>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10.64**†</w:t>
            </w:r>
          </w:p>
        </w:tc>
        <w:tc>
          <w:tcPr>
            <w:tcW w:w="9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12">
              <w:r>
                <w:rPr>
                  <w:rFonts w:ascii="Times New Roman" w:cs="Times New Roman" w:eastAsia="Times New Roman" w:hAnsi="Times New Roman"/>
                  <w:sz w:val="18"/>
                  <w:szCs w:val="18"/>
                  <w:color w:val="0000EE"/>
                  <w:w w:val="99"/>
                </w:rPr>
                <w:t>Service Agreement, dated as of December 7, 2021, between Volvo Cars Technology (Shanghai) Co., Ltd. and Polestar Automotive</w:t>
              </w:r>
            </w:hyperlink>
          </w:p>
        </w:tc>
        <w:tc>
          <w:tcPr>
            <w:tcW w:w="6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12">
              <w:r>
                <w:rPr>
                  <w:rFonts w:ascii="Times New Roman" w:cs="Times New Roman" w:eastAsia="Times New Roman" w:hAnsi="Times New Roman"/>
                  <w:sz w:val="18"/>
                  <w:szCs w:val="18"/>
                  <w:color w:val="0000EE"/>
                  <w:w w:val="99"/>
                </w:rPr>
                <w:t>China Distribution Co., Ltd.</w:t>
              </w:r>
            </w:hyperlink>
          </w:p>
        </w:tc>
        <w:tc>
          <w:tcPr>
            <w:tcW w:w="748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10.65**†</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Technology License Agreement, dated as of December 30, 2021, between Zhejiang Zeekr Automobile Research and Development</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Co., Ltd. and Polestar Performance AB.</w:t>
              </w:r>
            </w:hyperlink>
          </w:p>
        </w:tc>
        <w:tc>
          <w:tcPr>
            <w:tcW w:w="80" w:type="dxa"/>
            <w:vAlign w:val="bottom"/>
            <w:gridSpan w:val="3"/>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10.66**†</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14">
              <w:r>
                <w:rPr>
                  <w:rFonts w:ascii="Times New Roman" w:cs="Times New Roman" w:eastAsia="Times New Roman" w:hAnsi="Times New Roman"/>
                  <w:sz w:val="18"/>
                  <w:szCs w:val="18"/>
                  <w:color w:val="0000EE"/>
                </w:rPr>
                <w:t>Service Agreement, dated as of December 28, 2021, between Ningbo Geely Automobile Research &amp; Development Co., Ltd and</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14">
              <w:r>
                <w:rPr>
                  <w:rFonts w:ascii="Times New Roman" w:cs="Times New Roman" w:eastAsia="Times New Roman" w:hAnsi="Times New Roman"/>
                  <w:sz w:val="18"/>
                  <w:szCs w:val="18"/>
                  <w:color w:val="0000EE"/>
                  <w:w w:val="99"/>
                </w:rPr>
                <w:t>Polestar Performance AB.</w:t>
              </w:r>
            </w:hyperlink>
          </w:p>
        </w:tc>
        <w:tc>
          <w:tcPr>
            <w:tcW w:w="7360" w:type="dxa"/>
            <w:vAlign w:val="bottom"/>
            <w:tcBorders>
              <w:top w:val="single" w:sz="8" w:color="0000EE"/>
            </w:tcBorders>
            <w:gridSpan w:val="16"/>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10.67**†</w:t>
            </w:r>
          </w:p>
        </w:tc>
        <w:tc>
          <w:tcPr>
            <w:tcW w:w="9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Tooling and Equipment Agreement, dated as of December 10, 2021, by and among Polestar Automotive China Distribution Co.,</w:t>
              </w:r>
            </w:hyperlink>
          </w:p>
        </w:tc>
        <w:tc>
          <w:tcPr>
            <w:tcW w:w="220" w:type="dxa"/>
            <w:vAlign w:val="bottom"/>
            <w:gridSpan w:val="7"/>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Ltd. and Ningbo Hangzhou Bay Geely Automotive Parts Co., Ltd.</w:t>
              </w:r>
            </w:hyperlink>
          </w:p>
        </w:tc>
      </w:tr>
      <w:tr>
        <w:trPr>
          <w:trHeight w:val="20"/>
        </w:trPr>
        <w:tc>
          <w:tcPr>
            <w:tcW w:w="1500" w:type="dxa"/>
            <w:vAlign w:val="bottom"/>
            <w:gridSpan w:val="2"/>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10.68**†</w:t>
            </w:r>
          </w:p>
        </w:tc>
        <w:tc>
          <w:tcPr>
            <w:tcW w:w="9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Technology License Agreement, effective as of March 4, 2022, between Zhejiang Liankong Technologies Co., Ltd and Polestar</w:t>
              </w:r>
            </w:hyperlink>
          </w:p>
        </w:tc>
        <w:tc>
          <w:tcPr>
            <w:tcW w:w="280" w:type="dxa"/>
            <w:vAlign w:val="bottom"/>
            <w:gridSpan w:val="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Automotive Distribution China Co., Ltd.</w:t>
              </w:r>
            </w:hyperlink>
          </w:p>
        </w:tc>
      </w:tr>
      <w:tr>
        <w:trPr>
          <w:trHeight w:val="20"/>
        </w:trPr>
        <w:tc>
          <w:tcPr>
            <w:tcW w:w="1500" w:type="dxa"/>
            <w:vAlign w:val="bottom"/>
            <w:gridSpan w:val="2"/>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0" w:type="dxa"/>
            <w:vAlign w:val="bottom"/>
            <w:gridSpan w:val="20"/>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10.69**†</w:t>
            </w:r>
          </w:p>
        </w:tc>
        <w:tc>
          <w:tcPr>
            <w:tcW w:w="9520" w:type="dxa"/>
            <w:vAlign w:val="bottom"/>
            <w:gridSpan w:val="25"/>
          </w:tcPr>
          <w:p>
            <w:pPr>
              <w:spacing w:after="0"/>
              <w:rPr>
                <w:rFonts w:ascii="Times New Roman" w:cs="Times New Roman" w:eastAsia="Times New Roman" w:hAnsi="Times New Roman"/>
                <w:sz w:val="18"/>
                <w:szCs w:val="18"/>
                <w:color w:val="0000EE"/>
              </w:rPr>
            </w:pPr>
            <w:hyperlink r:id="rId517">
              <w:r>
                <w:rPr>
                  <w:rFonts w:ascii="Times New Roman" w:cs="Times New Roman" w:eastAsia="Times New Roman" w:hAnsi="Times New Roman"/>
                  <w:sz w:val="18"/>
                  <w:szCs w:val="18"/>
                  <w:color w:val="0000EE"/>
                </w:rPr>
                <w:t>Technology License Agreement, dated as of December 10, 2021, between Zhejiang Zeekr Automobile Research and Development</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17">
              <w:r>
                <w:rPr>
                  <w:rFonts w:ascii="Times New Roman" w:cs="Times New Roman" w:eastAsia="Times New Roman" w:hAnsi="Times New Roman"/>
                  <w:sz w:val="18"/>
                  <w:szCs w:val="18"/>
                  <w:color w:val="0000EE"/>
                  <w:w w:val="99"/>
                </w:rPr>
                <w:t>Co., Ltd and Polestar Automotive Distribution China Co., Ltd.</w:t>
              </w:r>
            </w:hyperlink>
          </w:p>
        </w:tc>
        <w:tc>
          <w:tcPr>
            <w:tcW w:w="4920" w:type="dxa"/>
            <w:vAlign w:val="bottom"/>
            <w:tcBorders>
              <w:top w:val="single" w:sz="8" w:color="0000EE"/>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55" w:right="43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Pr>
          <w:p>
            <w:pPr>
              <w:spacing w:after="0"/>
              <w:rPr>
                <w:sz w:val="16"/>
                <w:szCs w:val="16"/>
                <w:color w:val="auto"/>
              </w:rPr>
            </w:pPr>
          </w:p>
        </w:tc>
        <w:tc>
          <w:tcPr>
            <w:tcW w:w="944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10.70**†</w:t>
            </w:r>
          </w:p>
        </w:tc>
        <w:tc>
          <w:tcPr>
            <w:tcW w:w="92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519">
              <w:r>
                <w:rPr>
                  <w:rFonts w:ascii="Times New Roman" w:cs="Times New Roman" w:eastAsia="Times New Roman" w:hAnsi="Times New Roman"/>
                  <w:sz w:val="18"/>
                  <w:szCs w:val="18"/>
                  <w:color w:val="0000EE"/>
                </w:rPr>
                <w:t>Technology License Agreement, effective as of March 4, 2022, between Zhejiang Liankong Technologies Co., Ltd and Polestar</w:t>
              </w:r>
            </w:hyperlink>
          </w:p>
        </w:tc>
        <w:tc>
          <w:tcPr>
            <w:tcW w:w="200" w:type="dxa"/>
            <w:vAlign w:val="bottom"/>
            <w:gridSpan w:val="7"/>
          </w:tcPr>
          <w:p>
            <w:pPr>
              <w:spacing w:after="0"/>
              <w:rPr>
                <w:sz w:val="22"/>
                <w:szCs w:val="22"/>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19">
              <w:r>
                <w:rPr>
                  <w:rFonts w:ascii="Times New Roman" w:cs="Times New Roman" w:eastAsia="Times New Roman" w:hAnsi="Times New Roman"/>
                  <w:sz w:val="18"/>
                  <w:szCs w:val="18"/>
                  <w:color w:val="0000EE"/>
                </w:rPr>
                <w:t>Performance AB.</w:t>
              </w:r>
            </w:hyperlink>
          </w:p>
        </w:tc>
      </w:tr>
      <w:tr>
        <w:trPr>
          <w:trHeight w:val="20"/>
        </w:trPr>
        <w:tc>
          <w:tcPr>
            <w:tcW w:w="15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10.71**+†</w:t>
            </w:r>
          </w:p>
        </w:tc>
        <w:tc>
          <w:tcPr>
            <w:tcW w:w="8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20">
              <w:r>
                <w:rPr>
                  <w:rFonts w:ascii="Times New Roman" w:cs="Times New Roman" w:eastAsia="Times New Roman" w:hAnsi="Times New Roman"/>
                  <w:sz w:val="18"/>
                  <w:szCs w:val="18"/>
                  <w:color w:val="0000EE"/>
                  <w:w w:val="99"/>
                </w:rPr>
                <w:t>Employment Agreement, effective as of July 1, 2017, by and between Polestar Performance AB and Thomas Ingenlath.</w:t>
              </w:r>
            </w:hyperlink>
          </w:p>
        </w:tc>
        <w:tc>
          <w:tcPr>
            <w:tcW w:w="820" w:type="dxa"/>
            <w:vAlign w:val="bottom"/>
            <w:gridSpan w:val="17"/>
          </w:tcPr>
          <w:p>
            <w:pPr>
              <w:spacing w:after="0"/>
              <w:rPr>
                <w:sz w:val="24"/>
                <w:szCs w:val="24"/>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10.72**+†</w:t>
            </w:r>
          </w:p>
        </w:tc>
        <w:tc>
          <w:tcPr>
            <w:tcW w:w="9440" w:type="dxa"/>
            <w:vAlign w:val="bottom"/>
            <w:gridSpan w:val="28"/>
          </w:tcPr>
          <w:p>
            <w:pPr>
              <w:spacing w:after="0"/>
              <w:rPr>
                <w:rFonts w:ascii="Times New Roman" w:cs="Times New Roman" w:eastAsia="Times New Roman" w:hAnsi="Times New Roman"/>
                <w:sz w:val="18"/>
                <w:szCs w:val="18"/>
                <w:color w:val="0000EE"/>
              </w:rPr>
            </w:pPr>
            <w:hyperlink r:id="rId521">
              <w:r>
                <w:rPr>
                  <w:rFonts w:ascii="Times New Roman" w:cs="Times New Roman" w:eastAsia="Times New Roman" w:hAnsi="Times New Roman"/>
                  <w:sz w:val="18"/>
                  <w:szCs w:val="18"/>
                  <w:color w:val="0000EE"/>
                </w:rPr>
                <w:t>Employment Agreement, dated as of September 17, 2021, by and between Polestar Performance AB and Johan Malmqvist.</w:t>
              </w:r>
            </w:hyperlink>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10.73**+†</w:t>
            </w:r>
          </w:p>
        </w:tc>
        <w:tc>
          <w:tcPr>
            <w:tcW w:w="8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522">
              <w:r>
                <w:rPr>
                  <w:rFonts w:ascii="Times New Roman" w:cs="Times New Roman" w:eastAsia="Times New Roman" w:hAnsi="Times New Roman"/>
                  <w:sz w:val="18"/>
                  <w:szCs w:val="18"/>
                  <w:color w:val="0000EE"/>
                  <w:w w:val="99"/>
                </w:rPr>
                <w:t>Employment Agreement, dated as of July 13, 2020, by and between Polestar Performance AB and Dennis Nobelius.</w:t>
              </w:r>
            </w:hyperlink>
          </w:p>
        </w:tc>
        <w:tc>
          <w:tcPr>
            <w:tcW w:w="500" w:type="dxa"/>
            <w:vAlign w:val="bottom"/>
            <w:tcBorders>
              <w:top w:val="single" w:sz="8" w:color="0000EE"/>
            </w:tcBorders>
            <w:gridSpan w:val="5"/>
          </w:tcPr>
          <w:p>
            <w:pPr>
              <w:spacing w:after="0"/>
              <w:rPr>
                <w:sz w:val="24"/>
                <w:szCs w:val="24"/>
                <w:color w:val="auto"/>
              </w:rPr>
            </w:pPr>
          </w:p>
        </w:tc>
        <w:tc>
          <w:tcPr>
            <w:tcW w:w="560" w:type="dxa"/>
            <w:vAlign w:val="bottom"/>
            <w:gridSpan w:val="13"/>
          </w:tcPr>
          <w:p>
            <w:pPr>
              <w:spacing w:after="0"/>
              <w:rPr>
                <w:sz w:val="24"/>
                <w:szCs w:val="24"/>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10.74**</w:t>
            </w:r>
          </w:p>
        </w:tc>
        <w:tc>
          <w:tcPr>
            <w:tcW w:w="700" w:type="dxa"/>
            <w:vAlign w:val="bottom"/>
          </w:tcPr>
          <w:p>
            <w:pPr>
              <w:spacing w:after="0"/>
              <w:rPr>
                <w:sz w:val="24"/>
                <w:szCs w:val="24"/>
                <w:color w:val="auto"/>
              </w:rPr>
            </w:pPr>
          </w:p>
        </w:tc>
        <w:tc>
          <w:tcPr>
            <w:tcW w:w="9440" w:type="dxa"/>
            <w:vAlign w:val="bottom"/>
            <w:gridSpan w:val="28"/>
          </w:tcPr>
          <w:p>
            <w:pPr>
              <w:spacing w:after="0"/>
              <w:rPr>
                <w:rFonts w:ascii="Times New Roman" w:cs="Times New Roman" w:eastAsia="Times New Roman" w:hAnsi="Times New Roman"/>
                <w:sz w:val="18"/>
                <w:szCs w:val="18"/>
                <w:color w:val="0000EE"/>
              </w:rPr>
            </w:pPr>
            <w:hyperlink r:id="rId523">
              <w:r>
                <w:rPr>
                  <w:rFonts w:ascii="Times New Roman" w:cs="Times New Roman" w:eastAsia="Times New Roman" w:hAnsi="Times New Roman"/>
                  <w:sz w:val="18"/>
                  <w:szCs w:val="18"/>
                  <w:color w:val="0000EE"/>
                </w:rPr>
                <w:t>Registration Rights Agreement Amendment No. 1, dated December 17, 2021, by and among Polestar Automotive Holding UK</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23">
              <w:r>
                <w:rPr>
                  <w:rFonts w:ascii="Times New Roman" w:cs="Times New Roman" w:eastAsia="Times New Roman" w:hAnsi="Times New Roman"/>
                  <w:sz w:val="18"/>
                  <w:szCs w:val="18"/>
                  <w:color w:val="0000EE"/>
                </w:rPr>
                <w:t>Limited, Gores Guggenheim Sponsor LLC, Randall Bort, Elizabeth Marcellino and Nancy Tellem, Polestar Automotive Holding</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23">
              <w:r>
                <w:rPr>
                  <w:rFonts w:ascii="Times New Roman" w:cs="Times New Roman" w:eastAsia="Times New Roman" w:hAnsi="Times New Roman"/>
                  <w:sz w:val="18"/>
                  <w:szCs w:val="18"/>
                  <w:color w:val="0000EE"/>
                </w:rPr>
                <w:t>Limited and certain of its shareholders (incorporated by reference to Annex G-2 to the proxy statement/prospectus and was</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23">
              <w:r>
                <w:rPr>
                  <w:rFonts w:ascii="Times New Roman" w:cs="Times New Roman" w:eastAsia="Times New Roman" w:hAnsi="Times New Roman"/>
                  <w:sz w:val="18"/>
                  <w:szCs w:val="18"/>
                  <w:color w:val="0000EE"/>
                </w:rPr>
                <w:t>previously included as Exhibit 10.2 to GGI’s current report on Form 8-K, filed December 17, 2021).</w:t>
              </w:r>
            </w:hyperlink>
          </w:p>
        </w:tc>
        <w:tc>
          <w:tcPr>
            <w:tcW w:w="580" w:type="dxa"/>
            <w:vAlign w:val="bottom"/>
            <w:gridSpan w:val="1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10.75**</w:t>
            </w:r>
          </w:p>
        </w:tc>
        <w:tc>
          <w:tcPr>
            <w:tcW w:w="700" w:type="dxa"/>
            <w:vAlign w:val="bottom"/>
          </w:tcPr>
          <w:p>
            <w:pPr>
              <w:spacing w:after="0"/>
              <w:rPr>
                <w:sz w:val="24"/>
                <w:szCs w:val="24"/>
                <w:color w:val="auto"/>
              </w:rPr>
            </w:pPr>
          </w:p>
        </w:tc>
        <w:tc>
          <w:tcPr>
            <w:tcW w:w="9440" w:type="dxa"/>
            <w:vAlign w:val="bottom"/>
            <w:gridSpan w:val="28"/>
          </w:tcPr>
          <w:p>
            <w:pPr>
              <w:spacing w:after="0"/>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Sponsor and Supporting Sponsor Stockholder Lock-Up Agreement Amendment No. 1, dated December 17, 2021, by and among</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Gores Guggenheim Sponsor, LLC, Polestar Automotive Holding Limited, Polestar Automotive Holding UK Limited, Gores</w:t>
              </w:r>
            </w:hyperlink>
          </w:p>
        </w:tc>
        <w:tc>
          <w:tcPr>
            <w:tcW w:w="18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524">
              <w:r>
                <w:rPr>
                  <w:rFonts w:ascii="Times New Roman" w:cs="Times New Roman" w:eastAsia="Times New Roman" w:hAnsi="Times New Roman"/>
                  <w:sz w:val="18"/>
                  <w:szCs w:val="18"/>
                  <w:color w:val="0000EE"/>
                  <w:w w:val="99"/>
                </w:rPr>
                <w:t>Guggenheim, Inc. and certain of its directors (incorporated by reference to Annex K-2 to the proxy statement/prospectus and was</w:t>
              </w:r>
            </w:hyperlink>
          </w:p>
        </w:tc>
        <w:tc>
          <w:tcPr>
            <w:tcW w:w="1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previously included as Exhibit 10.3 to GGI’s current report on Form 8-K, filed December 17, 2021).</w:t>
              </w:r>
            </w:hyperlink>
          </w:p>
        </w:tc>
      </w:tr>
      <w:tr>
        <w:trPr>
          <w:trHeight w:val="20"/>
        </w:trPr>
        <w:tc>
          <w:tcPr>
            <w:tcW w:w="15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10.76**†</w:t>
            </w:r>
          </w:p>
        </w:tc>
        <w:tc>
          <w:tcPr>
            <w:tcW w:w="92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Parts Supply and License Agreement, effective as of January 1, 2020, by and between Polestar Performance AB and Volvo Car</w:t>
              </w:r>
            </w:hyperlink>
          </w:p>
        </w:tc>
        <w:tc>
          <w:tcPr>
            <w:tcW w:w="22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Corporation.</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10.77**</w:t>
            </w:r>
          </w:p>
        </w:tc>
        <w:tc>
          <w:tcPr>
            <w:tcW w:w="700" w:type="dxa"/>
            <w:vAlign w:val="bottom"/>
          </w:tcPr>
          <w:p>
            <w:pPr>
              <w:spacing w:after="0"/>
              <w:rPr>
                <w:sz w:val="24"/>
                <w:szCs w:val="24"/>
                <w:color w:val="auto"/>
              </w:rPr>
            </w:pPr>
          </w:p>
        </w:tc>
        <w:tc>
          <w:tcPr>
            <w:tcW w:w="9440" w:type="dxa"/>
            <w:vAlign w:val="bottom"/>
            <w:gridSpan w:val="28"/>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Acknowledgement Agreement to the Shareholders Agreement, dated September 27, 2021, by and among Polestar Automotive</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26">
              <w:r>
                <w:rPr>
                  <w:rFonts w:ascii="Times New Roman" w:cs="Times New Roman" w:eastAsia="Times New Roman" w:hAnsi="Times New Roman"/>
                  <w:sz w:val="18"/>
                  <w:szCs w:val="18"/>
                  <w:color w:val="0000EE"/>
                  <w:w w:val="99"/>
                </w:rPr>
                <w:t>Holding UK Limited, Snita, PSINV AB, PSD Investment Limited, GLY New Mobility 1. LP, Northpole GLY 1 LP, Chongqing</w:t>
              </w:r>
            </w:hyperlink>
          </w:p>
        </w:tc>
        <w:tc>
          <w:tcPr>
            <w:tcW w:w="26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Liangjiang, Zibo Financial Holding Group Co., Ltd. and Zibo High-Tech Industrial Investment Co., Ltd. (incorporated by</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26">
              <w:r>
                <w:rPr>
                  <w:rFonts w:ascii="Times New Roman" w:cs="Times New Roman" w:eastAsia="Times New Roman" w:hAnsi="Times New Roman"/>
                  <w:sz w:val="18"/>
                  <w:szCs w:val="18"/>
                  <w:color w:val="0000EE"/>
                  <w:w w:val="99"/>
                </w:rPr>
                <w:t>reference to Annex M-1 to the proxy statement/prospectus).</w:t>
              </w:r>
            </w:hyperlink>
          </w:p>
        </w:tc>
        <w:tc>
          <w:tcPr>
            <w:tcW w:w="4440" w:type="dxa"/>
            <w:vAlign w:val="bottom"/>
            <w:tcBorders>
              <w:top w:val="single" w:sz="8" w:color="0000EE"/>
            </w:tcBorders>
            <w:gridSpan w:val="7"/>
          </w:tcPr>
          <w:p>
            <w:pPr>
              <w:spacing w:after="0"/>
              <w:rPr>
                <w:sz w:val="17"/>
                <w:szCs w:val="17"/>
                <w:color w:val="auto"/>
              </w:rPr>
            </w:pPr>
          </w:p>
        </w:tc>
        <w:tc>
          <w:tcPr>
            <w:tcW w:w="680" w:type="dxa"/>
            <w:vAlign w:val="bottom"/>
            <w:gridSpan w:val="16"/>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10.78**</w:t>
            </w:r>
          </w:p>
        </w:tc>
        <w:tc>
          <w:tcPr>
            <w:tcW w:w="700" w:type="dxa"/>
            <w:vAlign w:val="bottom"/>
          </w:tcPr>
          <w:p>
            <w:pPr>
              <w:spacing w:after="0"/>
              <w:rPr>
                <w:sz w:val="24"/>
                <w:szCs w:val="24"/>
                <w:color w:val="auto"/>
              </w:rPr>
            </w:pPr>
          </w:p>
        </w:tc>
        <w:tc>
          <w:tcPr>
            <w:tcW w:w="9440" w:type="dxa"/>
            <w:vAlign w:val="bottom"/>
            <w:gridSpan w:val="28"/>
          </w:tcPr>
          <w:p>
            <w:pPr>
              <w:spacing w:after="0"/>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Amendment No. 1 to the Acknowledgement Agreement to the Shareholders Agreement, dated March 24, 2022, by and among</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Polestar Automative Holding UK Limited, Snita, PSINV AB, PSD Investment Limited, GLY New Mobility 1. LP, Northpole GLY</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1 LP, Chongqing Liangjiang, Zibo Financial Holding Group Co., Ltd. and Zibo High-Tech Industrial Investment Co., Ltd.</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(incorporated by reference to Annex M-2 to the proxy statement/prospectus).</w:t>
              </w:r>
            </w:hyperlink>
          </w:p>
        </w:tc>
        <w:tc>
          <w:tcPr>
            <w:tcW w:w="3220" w:type="dxa"/>
            <w:vAlign w:val="bottom"/>
            <w:tcBorders>
              <w:top w:val="single" w:sz="8" w:color="0000EE"/>
            </w:tcBorders>
            <w:gridSpan w:val="6"/>
          </w:tcPr>
          <w:p>
            <w:pPr>
              <w:spacing w:after="0"/>
              <w:rPr>
                <w:sz w:val="17"/>
                <w:szCs w:val="17"/>
                <w:color w:val="auto"/>
              </w:rPr>
            </w:pPr>
          </w:p>
        </w:tc>
        <w:tc>
          <w:tcPr>
            <w:tcW w:w="660" w:type="dxa"/>
            <w:vAlign w:val="bottom"/>
            <w:gridSpan w:val="15"/>
          </w:tcPr>
          <w:p>
            <w:pPr>
              <w:spacing w:after="0"/>
              <w:rPr>
                <w:sz w:val="17"/>
                <w:szCs w:val="17"/>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10.79**†</w:t>
            </w:r>
          </w:p>
        </w:tc>
        <w:tc>
          <w:tcPr>
            <w:tcW w:w="9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New, Used and Demonstrator Funding Agreement, dated June 14, 2021, by and among Volvo Car Financial Services UK Limited</w:t>
              </w:r>
            </w:hyperlink>
          </w:p>
        </w:tc>
        <w:tc>
          <w:tcPr>
            <w:tcW w:w="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and Polestar Automotive UK Limited.</w:t>
              </w:r>
            </w:hyperlink>
          </w:p>
        </w:tc>
      </w:tr>
      <w:tr>
        <w:trPr>
          <w:trHeight w:val="20"/>
        </w:trPr>
        <w:tc>
          <w:tcPr>
            <w:tcW w:w="1580" w:type="dxa"/>
            <w:vAlign w:val="bottom"/>
            <w:gridSpan w:val="2"/>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10.80**†</w:t>
            </w: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29">
              <w:r>
                <w:rPr>
                  <w:rFonts w:ascii="Times New Roman" w:cs="Times New Roman" w:eastAsia="Times New Roman" w:hAnsi="Times New Roman"/>
                  <w:sz w:val="18"/>
                  <w:szCs w:val="18"/>
                  <w:color w:val="0000EE"/>
                  <w:w w:val="99"/>
                </w:rPr>
                <w:t>Service Agreement, effective as of January 28, 2022, by and between Volvo Cars USA LLC and Polestar Automotive USA Inc.</w:t>
              </w:r>
            </w:hyperlink>
          </w:p>
        </w:tc>
        <w:tc>
          <w:tcPr>
            <w:tcW w:w="240" w:type="dxa"/>
            <w:vAlign w:val="bottom"/>
            <w:gridSpan w:val="9"/>
          </w:tcPr>
          <w:p>
            <w:pPr>
              <w:spacing w:after="0"/>
              <w:rPr>
                <w:sz w:val="24"/>
                <w:szCs w:val="24"/>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10.81**†</w:t>
            </w:r>
          </w:p>
        </w:tc>
        <w:tc>
          <w:tcPr>
            <w:tcW w:w="9440" w:type="dxa"/>
            <w:vAlign w:val="bottom"/>
            <w:gridSpan w:val="28"/>
          </w:tcPr>
          <w:p>
            <w:pPr>
              <w:spacing w:after="0"/>
              <w:rPr>
                <w:rFonts w:ascii="Times New Roman" w:cs="Times New Roman" w:eastAsia="Times New Roman" w:hAnsi="Times New Roman"/>
                <w:sz w:val="18"/>
                <w:szCs w:val="18"/>
                <w:color w:val="0000EE"/>
              </w:rPr>
            </w:pPr>
            <w:hyperlink r:id="rId530">
              <w:r>
                <w:rPr>
                  <w:rFonts w:ascii="Times New Roman" w:cs="Times New Roman" w:eastAsia="Times New Roman" w:hAnsi="Times New Roman"/>
                  <w:sz w:val="18"/>
                  <w:szCs w:val="18"/>
                  <w:color w:val="0000EE"/>
                </w:rPr>
                <w:t>Finance Cooperation Agreement, dated May 28, 2021, by and between Volvo Car Financial Services UK Limited and Polestar</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30">
              <w:r>
                <w:rPr>
                  <w:rFonts w:ascii="Times New Roman" w:cs="Times New Roman" w:eastAsia="Times New Roman" w:hAnsi="Times New Roman"/>
                  <w:sz w:val="18"/>
                  <w:szCs w:val="18"/>
                  <w:color w:val="0000EE"/>
                  <w:w w:val="99"/>
                </w:rPr>
                <w:t>Automotive UK Limited.</w:t>
              </w:r>
            </w:hyperlink>
          </w:p>
        </w:tc>
        <w:tc>
          <w:tcPr>
            <w:tcW w:w="7260" w:type="dxa"/>
            <w:vAlign w:val="bottom"/>
            <w:tcBorders>
              <w:top w:val="single" w:sz="8" w:color="0000EE"/>
            </w:tcBorders>
            <w:gridSpan w:val="14"/>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10.82**†</w:t>
            </w:r>
          </w:p>
        </w:tc>
        <w:tc>
          <w:tcPr>
            <w:tcW w:w="9440" w:type="dxa"/>
            <w:vAlign w:val="bottom"/>
            <w:gridSpan w:val="28"/>
          </w:tcPr>
          <w:p>
            <w:pPr>
              <w:spacing w:after="0"/>
              <w:rPr>
                <w:rFonts w:ascii="Times New Roman" w:cs="Times New Roman" w:eastAsia="Times New Roman" w:hAnsi="Times New Roman"/>
                <w:sz w:val="18"/>
                <w:szCs w:val="18"/>
                <w:color w:val="0000EE"/>
              </w:rPr>
            </w:pPr>
            <w:hyperlink r:id="rId531">
              <w:r>
                <w:rPr>
                  <w:rFonts w:ascii="Times New Roman" w:cs="Times New Roman" w:eastAsia="Times New Roman" w:hAnsi="Times New Roman"/>
                  <w:sz w:val="18"/>
                  <w:szCs w:val="18"/>
                  <w:color w:val="0000EE"/>
                </w:rPr>
                <w:t>Corporate Guarantee and Indemnity Relating to Polestar Automotive UK Limited, dated June 14, 2021, by and between Polestar</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31">
              <w:r>
                <w:rPr>
                  <w:rFonts w:ascii="Times New Roman" w:cs="Times New Roman" w:eastAsia="Times New Roman" w:hAnsi="Times New Roman"/>
                  <w:sz w:val="18"/>
                  <w:szCs w:val="18"/>
                  <w:color w:val="0000EE"/>
                  <w:w w:val="99"/>
                </w:rPr>
                <w:t>Performance AB and Volvo Car Financial Services UK Limited.</w:t>
              </w:r>
            </w:hyperlink>
          </w:p>
        </w:tc>
        <w:tc>
          <w:tcPr>
            <w:tcW w:w="4660" w:type="dxa"/>
            <w:vAlign w:val="bottom"/>
            <w:tcBorders>
              <w:top w:val="single" w:sz="8" w:color="0000EE"/>
            </w:tcBorders>
            <w:gridSpan w:val="18"/>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10.83**</w:t>
            </w:r>
          </w:p>
        </w:tc>
        <w:tc>
          <w:tcPr>
            <w:tcW w:w="700" w:type="dxa"/>
            <w:vAlign w:val="bottom"/>
          </w:tcPr>
          <w:p>
            <w:pPr>
              <w:spacing w:after="0"/>
              <w:rPr>
                <w:sz w:val="24"/>
                <w:szCs w:val="24"/>
                <w:color w:val="auto"/>
              </w:rPr>
            </w:pPr>
          </w:p>
        </w:tc>
        <w:tc>
          <w:tcPr>
            <w:tcW w:w="9440" w:type="dxa"/>
            <w:vAlign w:val="bottom"/>
            <w:gridSpan w:val="28"/>
          </w:tcPr>
          <w:p>
            <w:pPr>
              <w:spacing w:after="0"/>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Amendment No. 2 to Registration Rights Agreement, dated March 24, 2022, by and among Polestar Automotive Holding UK</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2140" w:type="dxa"/>
            <w:vAlign w:val="bottom"/>
            <w:gridSpan w:val="9"/>
            <w:shd w:val="clear" w:color="auto" w:fill="0000EE"/>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Limited, Gores Guggenheim Sponsor LLC, Randall Bort, Elizabeth Marcellino and Nancy Tellem, Polestar Automotive Holding</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Limited and certain of its shareholders (incorporated by reference to Annex G-3 to the proxy statement/prospectus and was</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32">
              <w:r>
                <w:rPr>
                  <w:rFonts w:ascii="Times New Roman" w:cs="Times New Roman" w:eastAsia="Times New Roman" w:hAnsi="Times New Roman"/>
                  <w:sz w:val="18"/>
                  <w:szCs w:val="18"/>
                  <w:color w:val="0000EE"/>
                  <w:w w:val="99"/>
                </w:rPr>
                <w:t>previously included as Exhibit 10.2 to GGI’s current report on Form 8-K, filed March 25, 2022).</w:t>
              </w:r>
            </w:hyperlink>
          </w:p>
        </w:tc>
        <w:tc>
          <w:tcPr>
            <w:tcW w:w="1900" w:type="dxa"/>
            <w:vAlign w:val="bottom"/>
            <w:tcBorders>
              <w:top w:val="single" w:sz="8" w:color="0000EE"/>
            </w:tcBorders>
            <w:gridSpan w:val="6"/>
          </w:tcPr>
          <w:p>
            <w:pPr>
              <w:spacing w:after="0"/>
              <w:rPr>
                <w:sz w:val="17"/>
                <w:szCs w:val="17"/>
                <w:color w:val="auto"/>
              </w:rPr>
            </w:pPr>
          </w:p>
        </w:tc>
        <w:tc>
          <w:tcPr>
            <w:tcW w:w="580" w:type="dxa"/>
            <w:vAlign w:val="bottom"/>
            <w:gridSpan w:val="14"/>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55" w:right="43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4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8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10.84**</w:t>
            </w:r>
          </w:p>
        </w:tc>
        <w:tc>
          <w:tcPr>
            <w:tcW w:w="720" w:type="dxa"/>
            <w:vAlign w:val="bottom"/>
          </w:tcPr>
          <w:p>
            <w:pPr>
              <w:spacing w:after="0"/>
              <w:rPr>
                <w:sz w:val="22"/>
                <w:szCs w:val="22"/>
                <w:color w:val="auto"/>
              </w:rPr>
            </w:pPr>
          </w:p>
        </w:tc>
        <w:tc>
          <w:tcPr>
            <w:tcW w:w="9260" w:type="dxa"/>
            <w:vAlign w:val="bottom"/>
            <w:tcBorders>
              <w:top w:val="single" w:sz="8" w:color="auto"/>
              <w:bottom w:val="single" w:sz="8" w:color="0000EE"/>
            </w:tcBorders>
            <w:gridSpan w:val="23"/>
          </w:tcPr>
          <w:p>
            <w:pPr>
              <w:spacing w:after="0"/>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Amendment No. 2 to Sponsor and Supporting Sponsor Stockholder Lock-Up Agreement, dated March 24, 2022, by and among</w:t>
              </w:r>
            </w:hyperlink>
          </w:p>
        </w:tc>
        <w:tc>
          <w:tcPr>
            <w:tcW w:w="180" w:type="dxa"/>
            <w:vAlign w:val="bottom"/>
            <w:tcBorders>
              <w:top w:val="single" w:sz="8" w:color="auto"/>
            </w:tcBorders>
            <w:gridSpan w:val="6"/>
          </w:tcPr>
          <w:p>
            <w:pPr>
              <w:spacing w:after="0"/>
              <w:rPr>
                <w:sz w:val="22"/>
                <w:szCs w:val="22"/>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40" w:type="dxa"/>
            <w:vAlign w:val="bottom"/>
            <w:gridSpan w:val="29"/>
          </w:tcPr>
          <w:p>
            <w:pPr>
              <w:spacing w:after="0" w:line="196" w:lineRule="exact"/>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Gores Guggenheim Sponsor, LLC, Polestar Automotive Holding Limited, Polestar Automotive Holding UK Limited, Gores</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534">
              <w:r>
                <w:rPr>
                  <w:rFonts w:ascii="Times New Roman" w:cs="Times New Roman" w:eastAsia="Times New Roman" w:hAnsi="Times New Roman"/>
                  <w:sz w:val="18"/>
                  <w:szCs w:val="18"/>
                  <w:color w:val="0000EE"/>
                  <w:w w:val="99"/>
                </w:rPr>
                <w:t>Guggenheim, Inc. and certain of its directors (incorporated by reference to Annex K-3 to the proxy statement/prospectus and was</w:t>
              </w:r>
            </w:hyperlink>
          </w:p>
        </w:tc>
        <w:tc>
          <w:tcPr>
            <w:tcW w:w="14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40" w:type="dxa"/>
            <w:vAlign w:val="bottom"/>
            <w:gridSpan w:val="29"/>
          </w:tcPr>
          <w:p>
            <w:pPr>
              <w:spacing w:after="0" w:line="196" w:lineRule="exact"/>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previously included as Exhibit 10.3 to GGI’s current report on Form 8-K, filed March 25, 2022).</w:t>
              </w:r>
            </w:hyperlink>
          </w:p>
        </w:tc>
      </w:tr>
      <w:tr>
        <w:trPr>
          <w:trHeight w:val="20"/>
        </w:trPr>
        <w:tc>
          <w:tcPr>
            <w:tcW w:w="158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10.85**†</w:t>
            </w:r>
          </w:p>
        </w:tc>
        <w:tc>
          <w:tcPr>
            <w:tcW w:w="91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535">
              <w:r>
                <w:rPr>
                  <w:rFonts w:ascii="Times New Roman" w:cs="Times New Roman" w:eastAsia="Times New Roman" w:hAnsi="Times New Roman"/>
                  <w:sz w:val="18"/>
                  <w:szCs w:val="18"/>
                  <w:color w:val="0000EE"/>
                </w:rPr>
                <w:t>Cooperation Agreement, dated April 1, 2020, by and between Polestar Automotive China Distribution Co., Ltd. and Hangzhou</w:t>
              </w:r>
            </w:hyperlink>
          </w:p>
        </w:tc>
        <w:tc>
          <w:tcPr>
            <w:tcW w:w="26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40" w:type="dxa"/>
            <w:vAlign w:val="bottom"/>
            <w:gridSpan w:val="29"/>
          </w:tcPr>
          <w:p>
            <w:pPr>
              <w:spacing w:after="0" w:line="196" w:lineRule="exact"/>
              <w:rPr>
                <w:rFonts w:ascii="Times New Roman" w:cs="Times New Roman" w:eastAsia="Times New Roman" w:hAnsi="Times New Roman"/>
                <w:sz w:val="18"/>
                <w:szCs w:val="18"/>
                <w:color w:val="0000EE"/>
              </w:rPr>
            </w:pPr>
            <w:hyperlink r:id="rId535">
              <w:r>
                <w:rPr>
                  <w:rFonts w:ascii="Times New Roman" w:cs="Times New Roman" w:eastAsia="Times New Roman" w:hAnsi="Times New Roman"/>
                  <w:sz w:val="18"/>
                  <w:szCs w:val="18"/>
                  <w:color w:val="0000EE"/>
                </w:rPr>
                <w:t>Easybao Technology Co., Ltd.</w:t>
              </w:r>
            </w:hyperlink>
          </w:p>
        </w:tc>
      </w:tr>
      <w:tr>
        <w:trPr>
          <w:trHeight w:val="20"/>
        </w:trPr>
        <w:tc>
          <w:tcPr>
            <w:tcW w:w="158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10.86**†</w:t>
            </w:r>
          </w:p>
        </w:tc>
        <w:tc>
          <w:tcPr>
            <w:tcW w:w="9440" w:type="dxa"/>
            <w:vAlign w:val="bottom"/>
            <w:gridSpan w:val="29"/>
          </w:tcPr>
          <w:p>
            <w:pPr>
              <w:spacing w:after="0"/>
              <w:rPr>
                <w:rFonts w:ascii="Times New Roman" w:cs="Times New Roman" w:eastAsia="Times New Roman" w:hAnsi="Times New Roman"/>
                <w:sz w:val="18"/>
                <w:szCs w:val="18"/>
                <w:color w:val="0000EE"/>
              </w:rPr>
            </w:pPr>
            <w:hyperlink r:id="rId536">
              <w:r>
                <w:rPr>
                  <w:rFonts w:ascii="Times New Roman" w:cs="Times New Roman" w:eastAsia="Times New Roman" w:hAnsi="Times New Roman"/>
                  <w:sz w:val="18"/>
                  <w:szCs w:val="18"/>
                  <w:color w:val="0000EE"/>
                </w:rPr>
                <w:t>Finance Cooperation Agreement, dated as of June 1, 2021, between Polestar Automotive China Distribution Co., Ltd and Genius</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36">
              <w:r>
                <w:rPr>
                  <w:rFonts w:ascii="Times New Roman" w:cs="Times New Roman" w:eastAsia="Times New Roman" w:hAnsi="Times New Roman"/>
                  <w:sz w:val="18"/>
                  <w:szCs w:val="18"/>
                  <w:color w:val="0000EE"/>
                  <w:w w:val="98"/>
                </w:rPr>
                <w:t>Auto Finance Co., Ltd.</w:t>
              </w:r>
            </w:hyperlink>
          </w:p>
        </w:tc>
        <w:tc>
          <w:tcPr>
            <w:tcW w:w="7660" w:type="dxa"/>
            <w:vAlign w:val="bottom"/>
            <w:tcBorders>
              <w:top w:val="single" w:sz="8" w:color="0000EE"/>
            </w:tcBorders>
            <w:gridSpan w:val="2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10.87***†</w:t>
            </w:r>
          </w:p>
        </w:tc>
        <w:tc>
          <w:tcPr>
            <w:tcW w:w="9440" w:type="dxa"/>
            <w:vAlign w:val="bottom"/>
            <w:gridSpan w:val="29"/>
          </w:tcPr>
          <w:p>
            <w:pPr>
              <w:spacing w:after="0"/>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Framework Agreement on Import &amp; Export Polestar Vehicles, dated as of June 21, 2022, by and between Volvo Car Corporation</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and Polestar Performance AB.</w:t>
              </w:r>
            </w:hyperlink>
          </w:p>
        </w:tc>
        <w:tc>
          <w:tcPr>
            <w:tcW w:w="140" w:type="dxa"/>
            <w:vAlign w:val="bottom"/>
            <w:gridSpan w:val="5"/>
          </w:tcPr>
          <w:p>
            <w:pPr>
              <w:spacing w:after="0"/>
              <w:rPr>
                <w:sz w:val="17"/>
                <w:szCs w:val="17"/>
                <w:color w:val="auto"/>
              </w:rPr>
            </w:pPr>
          </w:p>
        </w:tc>
      </w:tr>
      <w:tr>
        <w:trPr>
          <w:trHeight w:val="20"/>
        </w:trPr>
        <w:tc>
          <w:tcPr>
            <w:tcW w:w="158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10.88***†</w:t>
            </w:r>
          </w:p>
        </w:tc>
        <w:tc>
          <w:tcPr>
            <w:tcW w:w="94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538">
              <w:r>
                <w:rPr>
                  <w:rFonts w:ascii="Times New Roman" w:cs="Times New Roman" w:eastAsia="Times New Roman" w:hAnsi="Times New Roman"/>
                  <w:sz w:val="18"/>
                  <w:szCs w:val="18"/>
                  <w:color w:val="0000EE"/>
                </w:rPr>
                <w:t>Sale &amp; Purchase Agreement, dated as of June 21, 2022, by and between Volvo Cars USA LLC and Polestar Automotive USA Inc.</w:t>
              </w:r>
            </w:hyperlink>
          </w:p>
        </w:tc>
        <w:tc>
          <w:tcPr>
            <w:tcW w:w="20" w:type="dxa"/>
            <w:vAlign w:val="bottom"/>
          </w:tcPr>
          <w:p>
            <w:pPr>
              <w:spacing w:after="0"/>
              <w:rPr>
                <w:sz w:val="24"/>
                <w:szCs w:val="24"/>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10.89***†</w:t>
            </w:r>
          </w:p>
        </w:tc>
        <w:tc>
          <w:tcPr>
            <w:tcW w:w="8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39">
              <w:r>
                <w:rPr>
                  <w:rFonts w:ascii="Times New Roman" w:cs="Times New Roman" w:eastAsia="Times New Roman" w:hAnsi="Times New Roman"/>
                  <w:sz w:val="18"/>
                  <w:szCs w:val="18"/>
                  <w:color w:val="0000EE"/>
                  <w:w w:val="99"/>
                </w:rPr>
                <w:t>Importer Agreement, dated as of June 21, 2022, by and between Polestar Performance AB and Volvo Cars USA LLC.</w:t>
              </w:r>
            </w:hyperlink>
          </w:p>
        </w:tc>
        <w:tc>
          <w:tcPr>
            <w:tcW w:w="960" w:type="dxa"/>
            <w:vAlign w:val="bottom"/>
            <w:gridSpan w:val="11"/>
          </w:tcPr>
          <w:p>
            <w:pPr>
              <w:spacing w:after="0"/>
              <w:rPr>
                <w:sz w:val="24"/>
                <w:szCs w:val="24"/>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10.90***†</w:t>
            </w:r>
          </w:p>
        </w:tc>
        <w:tc>
          <w:tcPr>
            <w:tcW w:w="9440" w:type="dxa"/>
            <w:vAlign w:val="bottom"/>
            <w:gridSpan w:val="29"/>
          </w:tcPr>
          <w:p>
            <w:pPr>
              <w:spacing w:after="0"/>
              <w:rPr>
                <w:rFonts w:ascii="Times New Roman" w:cs="Times New Roman" w:eastAsia="Times New Roman" w:hAnsi="Times New Roman"/>
                <w:sz w:val="18"/>
                <w:szCs w:val="18"/>
                <w:color w:val="0000EE"/>
              </w:rPr>
            </w:pPr>
            <w:hyperlink r:id="rId540">
              <w:r>
                <w:rPr>
                  <w:rFonts w:ascii="Times New Roman" w:cs="Times New Roman" w:eastAsia="Times New Roman" w:hAnsi="Times New Roman"/>
                  <w:sz w:val="18"/>
                  <w:szCs w:val="18"/>
                  <w:color w:val="0000EE"/>
                </w:rPr>
                <w:t>Form of Letter of Appointment as Non-Executive Director of Polestar Automotive Holding UK PLC.</w:t>
              </w:r>
            </w:hyperlink>
          </w:p>
        </w:tc>
      </w:tr>
      <w:tr>
        <w:trPr>
          <w:trHeight w:val="20"/>
        </w:trPr>
        <w:tc>
          <w:tcPr>
            <w:tcW w:w="158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10.91*†</w:t>
            </w:r>
          </w:p>
        </w:tc>
        <w:tc>
          <w:tcPr>
            <w:tcW w:w="94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Research and Development Frame Agreement, dated as of July 5, 2022, by and between Polestar Performance AB and China Euro</w:t>
            </w:r>
          </w:p>
        </w:tc>
        <w:tc>
          <w:tcPr>
            <w:tcW w:w="4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Vehicle Technology AB.</w:t>
            </w:r>
          </w:p>
        </w:tc>
      </w:tr>
      <w:tr>
        <w:trPr>
          <w:trHeight w:val="20"/>
        </w:trPr>
        <w:tc>
          <w:tcPr>
            <w:tcW w:w="158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10.92*†</w:t>
            </w:r>
          </w:p>
        </w:tc>
        <w:tc>
          <w:tcPr>
            <w:tcW w:w="94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Service Agreement, dated as of July 4, 2022, between Zhongjia Automobile Manufacturing (Chengdu) and Polestar Automotive</w:t>
            </w: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China Distribution Co. Ltd.</w:t>
            </w:r>
          </w:p>
        </w:tc>
        <w:tc>
          <w:tcPr>
            <w:tcW w:w="7240" w:type="dxa"/>
            <w:vAlign w:val="bottom"/>
            <w:tcBorders>
              <w:top w:val="single" w:sz="8" w:color="0000EE"/>
            </w:tcBorders>
            <w:gridSpan w:val="17"/>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04"/>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10.93*†</w:t>
            </w:r>
          </w:p>
        </w:tc>
        <w:tc>
          <w:tcPr>
            <w:tcW w:w="94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w w:val="99"/>
              </w:rPr>
              <w:t>Service Agreement, dated as of July 4, 2022, between Volvo Cars Technology (Shanghai) Co., Ltd and Polestar Automotive China</w:t>
            </w: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Distribution Co., Ltd.</w:t>
            </w:r>
          </w:p>
        </w:tc>
        <w:tc>
          <w:tcPr>
            <w:tcW w:w="7820" w:type="dxa"/>
            <w:vAlign w:val="bottom"/>
            <w:tcBorders>
              <w:top w:val="single" w:sz="8" w:color="0000EE"/>
            </w:tcBorders>
            <w:gridSpan w:val="24"/>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720" w:type="dxa"/>
            <w:vAlign w:val="bottom"/>
          </w:tcPr>
          <w:p>
            <w:pPr>
              <w:spacing w:after="0"/>
              <w:rPr>
                <w:sz w:val="24"/>
                <w:szCs w:val="24"/>
                <w:color w:val="auto"/>
              </w:rPr>
            </w:pPr>
          </w:p>
        </w:tc>
        <w:tc>
          <w:tcPr>
            <w:tcW w:w="9440" w:type="dxa"/>
            <w:vAlign w:val="bottom"/>
            <w:gridSpan w:val="29"/>
          </w:tcPr>
          <w:p>
            <w:pPr>
              <w:spacing w:after="0"/>
              <w:rPr>
                <w:rFonts w:ascii="Times New Roman" w:cs="Times New Roman" w:eastAsia="Times New Roman" w:hAnsi="Times New Roman"/>
                <w:sz w:val="18"/>
                <w:szCs w:val="18"/>
                <w:color w:val="0000EE"/>
              </w:rPr>
            </w:pPr>
            <w:hyperlink r:id="rId541">
              <w:r>
                <w:rPr>
                  <w:rFonts w:ascii="Times New Roman" w:cs="Times New Roman" w:eastAsia="Times New Roman" w:hAnsi="Times New Roman"/>
                  <w:sz w:val="18"/>
                  <w:szCs w:val="18"/>
                  <w:color w:val="0000EE"/>
                </w:rPr>
                <w:t>Subsidiaries of Polestar Automotive UK PLC.</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4"/>
                <w:szCs w:val="24"/>
                <w:color w:val="auto"/>
              </w:rPr>
            </w:pPr>
          </w:p>
        </w:tc>
        <w:tc>
          <w:tcPr>
            <w:tcW w:w="71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KPMG LLP, former independent registered accounting firm to Gores Guggenheim, Inc.</w:t>
            </w:r>
          </w:p>
        </w:tc>
        <w:tc>
          <w:tcPr>
            <w:tcW w:w="2300" w:type="dxa"/>
            <w:vAlign w:val="bottom"/>
            <w:gridSpan w:val="16"/>
          </w:tcPr>
          <w:p>
            <w:pPr>
              <w:spacing w:after="0"/>
              <w:rPr>
                <w:sz w:val="24"/>
                <w:szCs w:val="24"/>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720" w:type="dxa"/>
            <w:vAlign w:val="bottom"/>
          </w:tcPr>
          <w:p>
            <w:pPr>
              <w:spacing w:after="0"/>
              <w:rPr>
                <w:sz w:val="24"/>
                <w:szCs w:val="24"/>
                <w:color w:val="auto"/>
              </w:rPr>
            </w:pP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Consent of WithumSmith+Brown, PC, independent registered accounting firm to Gores Guggenheim, Inc.</w:t>
            </w:r>
          </w:p>
        </w:tc>
        <w:tc>
          <w:tcPr>
            <w:tcW w:w="1780" w:type="dxa"/>
            <w:vAlign w:val="bottom"/>
            <w:gridSpan w:val="12"/>
          </w:tcPr>
          <w:p>
            <w:pPr>
              <w:spacing w:after="0"/>
              <w:rPr>
                <w:sz w:val="24"/>
                <w:szCs w:val="24"/>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tcPr>
          <w:p>
            <w:pPr>
              <w:spacing w:after="0"/>
              <w:rPr>
                <w:sz w:val="24"/>
                <w:szCs w:val="24"/>
                <w:color w:val="auto"/>
              </w:rPr>
            </w:pPr>
          </w:p>
        </w:tc>
        <w:tc>
          <w:tcPr>
            <w:tcW w:w="94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Deloitte AB, independent registered accounting firm to Polestar Automotive Holding Limited.</w:t>
            </w: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23.4*</w:t>
            </w:r>
          </w:p>
        </w:tc>
        <w:tc>
          <w:tcPr>
            <w:tcW w:w="720" w:type="dxa"/>
            <w:vAlign w:val="bottom"/>
          </w:tcPr>
          <w:p>
            <w:pPr>
              <w:spacing w:after="0"/>
              <w:rPr>
                <w:sz w:val="24"/>
                <w:szCs w:val="24"/>
                <w:color w:val="auto"/>
              </w:rPr>
            </w:pPr>
          </w:p>
        </w:tc>
        <w:tc>
          <w:tcPr>
            <w:tcW w:w="94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Deloitte AB, independent registered accounting firm to Polestar Automotive Holding UK PLC (formerly known as</w:t>
            </w: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Polestar Automotive Holding UK Limited).</w:t>
            </w:r>
          </w:p>
        </w:tc>
        <w:tc>
          <w:tcPr>
            <w:tcW w:w="5960" w:type="dxa"/>
            <w:vAlign w:val="bottom"/>
            <w:tcBorders>
              <w:top w:val="single" w:sz="8" w:color="0000EE"/>
            </w:tcBorders>
            <w:gridSpan w:val="13"/>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23.5</w:t>
            </w:r>
          </w:p>
        </w:tc>
        <w:tc>
          <w:tcPr>
            <w:tcW w:w="720" w:type="dxa"/>
            <w:vAlign w:val="bottom"/>
          </w:tcPr>
          <w:p>
            <w:pPr>
              <w:spacing w:after="0"/>
              <w:rPr>
                <w:sz w:val="24"/>
                <w:szCs w:val="24"/>
                <w:color w:val="auto"/>
              </w:rPr>
            </w:pPr>
          </w:p>
        </w:tc>
        <w:tc>
          <w:tcPr>
            <w:tcW w:w="5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Kirkland &amp; Ellis International LLP (included in Exhibit 5.1).</w:t>
            </w:r>
          </w:p>
        </w:tc>
        <w:tc>
          <w:tcPr>
            <w:tcW w:w="4220" w:type="dxa"/>
            <w:vAlign w:val="bottom"/>
            <w:gridSpan w:val="18"/>
          </w:tcPr>
          <w:p>
            <w:pPr>
              <w:spacing w:after="0"/>
              <w:rPr>
                <w:sz w:val="24"/>
                <w:szCs w:val="24"/>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to the initial filing of the registration statement).</w:t>
            </w:r>
          </w:p>
        </w:tc>
        <w:tc>
          <w:tcPr>
            <w:tcW w:w="2280" w:type="dxa"/>
            <w:vAlign w:val="bottom"/>
            <w:gridSpan w:val="15"/>
          </w:tcPr>
          <w:p>
            <w:pPr>
              <w:spacing w:after="0"/>
              <w:rPr>
                <w:sz w:val="24"/>
                <w:szCs w:val="24"/>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4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42">
              <w:r>
                <w:rPr>
                  <w:rFonts w:ascii="Times New Roman" w:cs="Times New Roman" w:eastAsia="Times New Roman" w:hAnsi="Times New Roman"/>
                  <w:sz w:val="18"/>
                  <w:szCs w:val="18"/>
                  <w:color w:val="0000EE"/>
                  <w:w w:val="99"/>
                </w:rPr>
                <w:t>Declaration of Intent, dated March 3, 2022, by Snita Holding B.V.</w:t>
              </w:r>
            </w:hyperlink>
          </w:p>
        </w:tc>
        <w:tc>
          <w:tcPr>
            <w:tcW w:w="4680" w:type="dxa"/>
            <w:vAlign w:val="bottom"/>
            <w:gridSpan w:val="20"/>
          </w:tcPr>
          <w:p>
            <w:pPr>
              <w:spacing w:after="0"/>
              <w:rPr>
                <w:sz w:val="24"/>
                <w:szCs w:val="24"/>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99.2**</w:t>
            </w:r>
          </w:p>
        </w:tc>
        <w:tc>
          <w:tcPr>
            <w:tcW w:w="720" w:type="dxa"/>
            <w:vAlign w:val="bottom"/>
          </w:tcPr>
          <w:p>
            <w:pPr>
              <w:spacing w:after="0"/>
              <w:rPr>
                <w:sz w:val="24"/>
                <w:szCs w:val="24"/>
                <w:color w:val="auto"/>
              </w:rPr>
            </w:pPr>
          </w:p>
        </w:tc>
        <w:tc>
          <w:tcPr>
            <w:tcW w:w="9440" w:type="dxa"/>
            <w:vAlign w:val="bottom"/>
            <w:gridSpan w:val="29"/>
          </w:tcPr>
          <w:p>
            <w:pPr>
              <w:spacing w:after="0"/>
              <w:rPr>
                <w:rFonts w:ascii="Times New Roman" w:cs="Times New Roman" w:eastAsia="Times New Roman" w:hAnsi="Times New Roman"/>
                <w:sz w:val="18"/>
                <w:szCs w:val="18"/>
                <w:color w:val="0000EE"/>
              </w:rPr>
            </w:pPr>
            <w:hyperlink r:id="rId543">
              <w:r>
                <w:rPr>
                  <w:rFonts w:ascii="Times New Roman" w:cs="Times New Roman" w:eastAsia="Times New Roman" w:hAnsi="Times New Roman"/>
                  <w:sz w:val="18"/>
                  <w:szCs w:val="18"/>
                  <w:color w:val="0000EE"/>
                </w:rPr>
                <w:t>Declaration of Intent, dated March 3, 2022, by PSD Investment Ltd.</w:t>
              </w:r>
            </w:hyperlink>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12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3680" w:type="dxa"/>
            <w:vAlign w:val="bottom"/>
            <w:tcBorders>
              <w:top w:val="single" w:sz="8" w:color="0000EE"/>
            </w:tcBorders>
            <w:gridSpan w:val="9"/>
          </w:tcPr>
          <w:p>
            <w:pPr>
              <w:spacing w:after="0"/>
              <w:rPr>
                <w:sz w:val="24"/>
                <w:szCs w:val="24"/>
                <w:color w:val="auto"/>
              </w:rPr>
            </w:pPr>
          </w:p>
        </w:tc>
        <w:tc>
          <w:tcPr>
            <w:tcW w:w="4540" w:type="dxa"/>
            <w:vAlign w:val="bottom"/>
            <w:gridSpan w:val="1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right="600" w:hanging="424"/>
        <w:spacing w:after="0" w:line="250"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Registration Statement on Form F-4 and the proxy statement/prospectus included therein (File No. 333-360992) and filed with the SEC on May 23, 2022.</w:t>
      </w:r>
    </w:p>
    <w:p>
      <w:pPr>
        <w:ind w:left="540" w:right="100" w:hanging="424"/>
        <w:spacing w:after="0" w:line="260"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shell company report on Form 20-F (Commission File Number: 001-41431) as filed with the SEC on June 29, 2022.</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40"/>
          </w:cols>
          <w:pgMar w:left="320" w:top="455" w:right="4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540" w:right="360" w:hanging="424"/>
        <w:spacing w:after="0" w:line="250" w:lineRule="auto"/>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line="1" w:lineRule="exact"/>
        <w:rPr>
          <w:sz w:val="20"/>
          <w:szCs w:val="20"/>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the exhibit have been omitted in accordance with Regulation S-K Item 601(a)(5).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77" w:lineRule="auto"/>
        <w:tabs>
          <w:tab w:leader="none" w:pos="1540" w:val="left"/>
        </w:tabs>
        <w:numPr>
          <w:ilvl w:val="2"/>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55" w:lineRule="auto"/>
        <w:rPr>
          <w:sz w:val="20"/>
          <w:szCs w:val="20"/>
          <w:color w:val="auto"/>
        </w:rPr>
      </w:pPr>
      <w:r>
        <w:rPr>
          <w:rFonts w:ascii="Times New Roman" w:cs="Times New Roman" w:eastAsia="Times New Roman" w:hAnsi="Times New Roman"/>
          <w:sz w:val="18"/>
          <w:szCs w:val="18"/>
          <w:color w:val="auto"/>
        </w:rPr>
        <w:t>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4" w:lineRule="exact"/>
        <w:rPr>
          <w:sz w:val="20"/>
          <w:szCs w:val="20"/>
          <w:color w:val="auto"/>
        </w:rPr>
      </w:pPr>
    </w:p>
    <w:p>
      <w:pPr>
        <w:ind w:left="1080" w:right="160" w:hanging="532"/>
        <w:spacing w:after="0" w:line="254" w:lineRule="auto"/>
        <w:tabs>
          <w:tab w:leader="none" w:pos="108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540" w:right="60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1140"/>
          </w:cols>
          <w:pgMar w:left="320" w:top="455" w:right="4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prospectus filed by the registrant pursuant to Rule 424(b)(1) or (4) or 497(h) under the Securities Act shall be deemed to be part of this registration statement as of the time it was declared effective.</w:t>
      </w:r>
    </w:p>
    <w:p>
      <w:pPr>
        <w:spacing w:after="0" w:line="67" w:lineRule="exact"/>
        <w:rPr>
          <w:sz w:val="20"/>
          <w:szCs w:val="20"/>
          <w:color w:val="auto"/>
        </w:rPr>
      </w:pPr>
    </w:p>
    <w:p>
      <w:pPr>
        <w:ind w:left="540" w:right="80" w:hanging="424"/>
        <w:spacing w:after="0" w:line="266"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II-12</w:t>
      </w:r>
    </w:p>
    <w:p>
      <w:pPr>
        <w:sectPr>
          <w:pgSz w:w="11900" w:h="16838" w:orient="portrait"/>
          <w:cols w:equalWidth="0" w:num="1">
            <w:col w:w="11120"/>
          </w:cols>
          <w:pgMar w:left="320" w:top="455" w:right="45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Gothenburg, Sweden, on July 12,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severally constitutes and appoints each of Thomas Ingenlath, Johan Malmqvist or Roger Molin (with full power to each of them to act alone), his or her true and lawful attorney-in-fact and agents, with full power of substitution and re-substitution, for him or her and in his or her name, place and stead, in any and all capacities to do any and all things and execute any and all instruments that such attorney may deem necessary or advisable under the Securities Act, and any rules, regulations and requirements of the SEC in connection with the registration under the Securities Act of the securities and any blue sky laws or other securities laws of any of the states of the United States of America in order to effect the registration or qualification (or exemption therefrom) of the said securities for issue, offer, sale or trade under the blue sky laws or other securities laws of any of such states and in connection therewith to execute, acknowledge, verify, deliver, file and cause to be published applications, reports, consents to service of process, appointments of attorneys to receive service of process and other papers and instruments which may be required under such laws, including specifically, but without limiting the generality of the foregoing, the power and authority to sign his or her name in his or her capacity as an attorney-in-fact or in any other capacity with respect to this Registration Statement and any registration statement in respect of the securities that is to be effective upon filing pursuant to Rule 462(b) and/or such other form or forms as may be appropriate to be filed with the SEC or under or in connection with any blue sky laws or other securities laws of any state of the United States of America or with such other regulatory bodies and agencies as any of them may deem appropriate in respect of the securities, and with respect to any and all amendments, including post-effective amendments, to this Registration Statement and to any and all instruments and documents filed as part of or in connection with this Registration Statement.</w:t>
      </w:r>
    </w:p>
    <w:p>
      <w:pPr>
        <w:spacing w:after="0" w:line="19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9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Chief Executive Officer and Director </w:t>
            </w:r>
            <w:r>
              <w:rPr>
                <w:rFonts w:ascii="Times New Roman" w:cs="Times New Roman" w:eastAsia="Times New Roman" w:hAnsi="Times New Roman"/>
                <w:sz w:val="18"/>
                <w:szCs w:val="18"/>
                <w:i w:val="1"/>
                <w:iCs w:val="1"/>
                <w:color w:val="auto"/>
              </w:rPr>
              <w:t>(Principal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12, 2022</w:t>
            </w: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12, 2022</w:t>
            </w: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1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Head of Group Financial Accounting &amp; Control </w:t>
            </w:r>
            <w:r>
              <w:rPr>
                <w:rFonts w:ascii="Times New Roman" w:cs="Times New Roman" w:eastAsia="Times New Roman" w:hAnsi="Times New Roman"/>
                <w:sz w:val="18"/>
                <w:szCs w:val="18"/>
                <w:i w:val="1"/>
                <w:iCs w:val="1"/>
                <w:color w:val="auto"/>
              </w:rPr>
              <w:t>(Principal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12, 2022</w:t>
            </w: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Roger Molin</w:t>
            </w:r>
          </w:p>
        </w:tc>
        <w:tc>
          <w:tcPr>
            <w:tcW w:w="1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Håkan Samuelsson</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12, 2022</w:t>
            </w: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II-13</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88" w:name="page389"/>
    <w:bookmarkEnd w:id="3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Carla De Geyseleer</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Karen C. Francis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Donghui (Daniel) Li</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Dr. Karl-Thomas Neumann</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Richter</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Rowan</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Rowan</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Zhe (David) Wei</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July 12, 2022</w:t>
            </w:r>
          </w:p>
        </w:tc>
      </w:tr>
      <w:tr>
        <w:trPr>
          <w:trHeight w:val="228"/>
        </w:trPr>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11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II-14</w:t>
            </w:r>
          </w:p>
        </w:tc>
      </w:tr>
    </w:tbl>
    <w:p>
      <w:pPr>
        <w:sectPr>
          <w:pgSz w:w="11900" w:h="16838" w:orient="portrait"/>
          <w:cols w:equalWidth="0" w:num="1">
            <w:col w:w="10620"/>
          </w:cols>
          <w:pgMar w:left="320" w:top="445" w:right="9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a duly authorized representative of Polestar Automotive Holding UK PLC in the United States, has signed the registration statement on July 12,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 xml:space="preserve">POLESTAR AUTOMOTIVE USA INC., </w:t>
      </w:r>
      <w:r>
        <w:rPr>
          <w:rFonts w:ascii="Times New Roman" w:cs="Times New Roman" w:eastAsia="Times New Roman" w:hAnsi="Times New Roman"/>
          <w:sz w:val="18"/>
          <w:szCs w:val="18"/>
          <w:color w:val="auto"/>
        </w:rPr>
        <w:t>Authorized</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Representative in the United States</w:t>
      </w:r>
    </w:p>
    <w:p>
      <w:pPr>
        <w:spacing w:after="0" w:line="207" w:lineRule="exact"/>
        <w:rPr>
          <w:sz w:val="20"/>
          <w:szCs w:val="20"/>
          <w:color w:val="auto"/>
        </w:rPr>
      </w:pPr>
    </w:p>
    <w:p>
      <w:pPr>
        <w:ind w:left="674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203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5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Jan Mikael Alkmark</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II-15</w:t>
      </w:r>
    </w:p>
    <w:p>
      <w:pPr>
        <w:sectPr>
          <w:pgSz w:w="11900" w:h="16838" w:orient="portrait"/>
          <w:cols w:equalWidth="0" w:num="1">
            <w:col w:w="11080"/>
          </w:cols>
          <w:pgMar w:left="320" w:top="455" w:right="49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173990</wp:posOffset>
            </wp:positionV>
            <wp:extent cx="3411855" cy="2489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53">
                      <a:extLst>
                        <a:ext uri="{28A0092B-C50C-407E-A947-70E740481C1C}"/>
                      </a:extLst>
                    </a:blip>
                    <a:srcRect/>
                    <a:stretch>
                      <a:fillRect/>
                    </a:stretch>
                  </pic:blipFill>
                  <pic:spPr bwMode="auto">
                    <a:xfrm>
                      <a:off x="0" y="0"/>
                      <a:ext cx="341185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 St Mary Axe</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ind w:left="5140"/>
        <w:spacing w:after="0"/>
        <w:tabs>
          <w:tab w:leader="none" w:pos="8920" w:val="left"/>
        </w:tabs>
        <w:rPr>
          <w:sz w:val="20"/>
          <w:szCs w:val="20"/>
          <w:color w:val="auto"/>
        </w:rPr>
      </w:pPr>
      <w:r>
        <w:rPr>
          <w:rFonts w:ascii="Times New Roman" w:cs="Times New Roman" w:eastAsia="Times New Roman" w:hAnsi="Times New Roman"/>
          <w:sz w:val="18"/>
          <w:szCs w:val="18"/>
          <w:color w:val="auto"/>
        </w:rPr>
        <w:t>United Kingdom</w:t>
      </w:r>
      <w:r>
        <w:rPr>
          <w:sz w:val="20"/>
          <w:szCs w:val="20"/>
          <w:color w:val="auto"/>
        </w:rPr>
        <w:tab/>
      </w:r>
      <w:r>
        <w:rPr>
          <w:rFonts w:ascii="Times New Roman" w:cs="Times New Roman" w:eastAsia="Times New Roman" w:hAnsi="Times New Roman"/>
          <w:sz w:val="17"/>
          <w:szCs w:val="17"/>
          <w:color w:val="auto"/>
        </w:rPr>
        <w:t>Facsimile:</w:t>
      </w:r>
    </w:p>
    <w:p>
      <w:pPr>
        <w:spacing w:after="0" w:line="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+44 20 7469 2001</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Telephone: +44 20 7469 2000</w:t>
      </w:r>
    </w:p>
    <w:p>
      <w:pPr>
        <w:spacing w:after="0" w:line="1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www.kirkland.com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Polestar Automotive Holding UK PLC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Addressee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 July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PLC - Registration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issuing this opinion in our capacity as English law counsel to Polestar Automotive Holding UK PLC, a public limited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and resale to the public on a Registration Statement on Form F-1 originally filed with the U.S.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12 July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of, among other securities:</w:t>
      </w:r>
    </w:p>
    <w:p>
      <w:pPr>
        <w:spacing w:after="0" w:line="108" w:lineRule="exact"/>
        <w:rPr>
          <w:sz w:val="20"/>
          <w:szCs w:val="20"/>
          <w:color w:val="auto"/>
        </w:rPr>
      </w:pPr>
    </w:p>
    <w:p>
      <w:pPr>
        <w:ind w:left="960" w:right="600" w:hanging="424"/>
        <w:spacing w:after="0" w:line="259" w:lineRule="auto"/>
        <w:tabs>
          <w:tab w:leader="none" w:pos="9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427,645,063 class A ordinary shares of the Company of nominal value $0.01 each (each, a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with each such Class A Share represented or to be represented by an American depositary share, including up to 24,078,638 Class A Shares to be represented by American depositary shares and which are issuable as earn out consideration upon the achievement of certain price thresholds for the Class A ADSs and including up to 500,000 Class A Shares issuable to a service provider in exchange for the performance of marketing consulting services, in each case as further described in the Registration Statement;</w:t>
      </w:r>
    </w:p>
    <w:p>
      <w:pPr>
        <w:spacing w:after="0" w:line="84" w:lineRule="exact"/>
        <w:rPr>
          <w:rFonts w:ascii="Times New Roman" w:cs="Times New Roman" w:eastAsia="Times New Roman" w:hAnsi="Times New Roman"/>
          <w:sz w:val="18"/>
          <w:szCs w:val="18"/>
          <w:color w:val="auto"/>
        </w:rPr>
      </w:pPr>
    </w:p>
    <w:p>
      <w:pPr>
        <w:ind w:left="960" w:right="220" w:hanging="424"/>
        <w:spacing w:after="0" w:line="286" w:lineRule="auto"/>
        <w:tabs>
          <w:tab w:leader="none" w:pos="9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ordinary shares of the Company of nominal value $0.10 each (each a “</w:t>
      </w:r>
      <w:r>
        <w:rPr>
          <w:rFonts w:ascii="Times New Roman" w:cs="Times New Roman" w:eastAsia="Times New Roman" w:hAnsi="Times New Roman"/>
          <w:sz w:val="18"/>
          <w:szCs w:val="18"/>
          <w:b w:val="1"/>
          <w:bCs w:val="1"/>
          <w:color w:val="auto"/>
        </w:rPr>
        <w:t>Class C-2 Share</w:t>
      </w:r>
      <w:r>
        <w:rPr>
          <w:rFonts w:ascii="Times New Roman" w:cs="Times New Roman" w:eastAsia="Times New Roman" w:hAnsi="Times New Roman"/>
          <w:sz w:val="18"/>
          <w:szCs w:val="18"/>
          <w:color w:val="auto"/>
        </w:rPr>
        <w:t>”), with each such Class C-2 Share represented by an American depositary share;</w:t>
      </w:r>
    </w:p>
    <w:p>
      <w:pPr>
        <w:spacing w:after="0" w:line="64"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9,000,000 Class A Shares to be represented by American depositary shares and to be issued upon the conversion or redemption of the Class C-2 Shares (each, a “</w:t>
      </w:r>
      <w:r>
        <w:rPr>
          <w:rFonts w:ascii="Times New Roman" w:cs="Times New Roman" w:eastAsia="Times New Roman" w:hAnsi="Times New Roman"/>
          <w:sz w:val="18"/>
          <w:szCs w:val="18"/>
          <w:b w:val="1"/>
          <w:bCs w:val="1"/>
          <w:color w:val="auto"/>
        </w:rPr>
        <w:t>C-2 Converted Class A Share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20" w:hanging="424"/>
        <w:spacing w:after="0" w:line="277" w:lineRule="auto"/>
        <w:tabs>
          <w:tab w:leader="none" w:pos="96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1,776,332,546 Class A Shares to be represented by American depositary shares and to be issued upon conversion of 1,776,332,546 class B ordinary shares of the Company of nominal value $0.10 each (each a “</w:t>
      </w:r>
      <w:r>
        <w:rPr>
          <w:rFonts w:ascii="Times New Roman" w:cs="Times New Roman" w:eastAsia="Times New Roman" w:hAnsi="Times New Roman"/>
          <w:sz w:val="17"/>
          <w:szCs w:val="17"/>
          <w:b w:val="1"/>
          <w:bCs w:val="1"/>
          <w:color w:val="auto"/>
        </w:rPr>
        <w:t>Class B Share</w:t>
      </w:r>
      <w:r>
        <w:rPr>
          <w:rFonts w:ascii="Times New Roman" w:cs="Times New Roman" w:eastAsia="Times New Roman" w:hAnsi="Times New Roman"/>
          <w:sz w:val="17"/>
          <w:szCs w:val="17"/>
          <w:color w:val="auto"/>
        </w:rPr>
        <w:t>”), with each such Class B Share represented by American depositary shares, including 134,098,971 Class B Shares to be represented by American depositary shares and which are issuable as earn out consideration upon the achievement of certain price thresholds for the Class A Shares represented by American depositary shares, as further described in the Registration Statement (each such Class A Share, a “</w:t>
      </w:r>
      <w:r>
        <w:rPr>
          <w:rFonts w:ascii="Times New Roman" w:cs="Times New Roman" w:eastAsia="Times New Roman" w:hAnsi="Times New Roman"/>
          <w:sz w:val="17"/>
          <w:szCs w:val="17"/>
          <w:b w:val="1"/>
          <w:bCs w:val="1"/>
          <w:color w:val="auto"/>
        </w:rPr>
        <w:t>B Converted Class A Share</w:t>
      </w:r>
      <w:r>
        <w:rPr>
          <w:rFonts w:ascii="Times New Roman" w:cs="Times New Roman" w:eastAsia="Times New Roman" w:hAnsi="Times New Roman"/>
          <w:sz w:val="17"/>
          <w:szCs w:val="17"/>
          <w:color w:val="auto"/>
        </w:rPr>
        <w:t>”); and</w:t>
      </w:r>
    </w:p>
    <w:p>
      <w:pPr>
        <w:spacing w:after="0" w:line="73" w:lineRule="exact"/>
        <w:rPr>
          <w:rFonts w:ascii="Times New Roman" w:cs="Times New Roman" w:eastAsia="Times New Roman" w:hAnsi="Times New Roman"/>
          <w:sz w:val="17"/>
          <w:szCs w:val="17"/>
          <w:color w:val="auto"/>
        </w:rPr>
      </w:pPr>
    </w:p>
    <w:p>
      <w:pPr>
        <w:ind w:left="960" w:right="100" w:hanging="424"/>
        <w:spacing w:after="0" w:line="258" w:lineRule="auto"/>
        <w:tabs>
          <w:tab w:leader="none" w:pos="9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15,999,965 Class A Shares to be represented by American depositary shares and to be issued upon the conversion or redemption of the previously registered class C-1 ordinary shares of the Company of nominal value $0.10 each (each, a “</w:t>
      </w:r>
      <w:r>
        <w:rPr>
          <w:rFonts w:ascii="Times New Roman" w:cs="Times New Roman" w:eastAsia="Times New Roman" w:hAnsi="Times New Roman"/>
          <w:sz w:val="18"/>
          <w:szCs w:val="18"/>
          <w:b w:val="1"/>
          <w:bCs w:val="1"/>
          <w:color w:val="auto"/>
        </w:rPr>
        <w:t>Class C-1 Share</w:t>
      </w:r>
      <w:r>
        <w:rPr>
          <w:rFonts w:ascii="Times New Roman" w:cs="Times New Roman" w:eastAsia="Times New Roman" w:hAnsi="Times New Roman"/>
          <w:sz w:val="18"/>
          <w:szCs w:val="18"/>
          <w:color w:val="auto"/>
        </w:rPr>
        <w:t>,” and together with the Class C-2 Shares, the “</w:t>
      </w:r>
      <w:r>
        <w:rPr>
          <w:rFonts w:ascii="Times New Roman" w:cs="Times New Roman" w:eastAsia="Times New Roman" w:hAnsi="Times New Roman"/>
          <w:sz w:val="18"/>
          <w:szCs w:val="18"/>
          <w:b w:val="1"/>
          <w:bCs w:val="1"/>
          <w:color w:val="auto"/>
        </w:rPr>
        <w:t>Class C Shares</w:t>
      </w:r>
      <w:r>
        <w:rPr>
          <w:rFonts w:ascii="Times New Roman" w:cs="Times New Roman" w:eastAsia="Times New Roman" w:hAnsi="Times New Roman"/>
          <w:sz w:val="18"/>
          <w:szCs w:val="18"/>
          <w:color w:val="auto"/>
        </w:rPr>
        <w:t>”), with each such Class C-1 Share represented by American depositary shares (each such Class A Share, a “</w:t>
      </w:r>
      <w:r>
        <w:rPr>
          <w:rFonts w:ascii="Times New Roman" w:cs="Times New Roman" w:eastAsia="Times New Roman" w:hAnsi="Times New Roman"/>
          <w:sz w:val="18"/>
          <w:szCs w:val="18"/>
          <w:b w:val="1"/>
          <w:bCs w:val="1"/>
          <w:color w:val="auto"/>
        </w:rPr>
        <w:t>C-1 Converted Class A Share</w:t>
      </w:r>
      <w:r>
        <w:rPr>
          <w:rFonts w:ascii="Times New Roman" w:cs="Times New Roman" w:eastAsia="Times New Roman" w:hAnsi="Times New Roman"/>
          <w:sz w:val="18"/>
          <w:szCs w:val="18"/>
          <w:color w:val="auto"/>
        </w:rPr>
        <w:t>,” and together with the C-2 Converted Class A Shares and the B Converted Class A Shares, the “</w:t>
      </w:r>
      <w:r>
        <w:rPr>
          <w:rFonts w:ascii="Times New Roman" w:cs="Times New Roman" w:eastAsia="Times New Roman" w:hAnsi="Times New Roman"/>
          <w:sz w:val="18"/>
          <w:szCs w:val="18"/>
          <w:b w:val="1"/>
          <w:bCs w:val="1"/>
          <w:color w:val="auto"/>
        </w:rPr>
        <w:t>Converted Class A Shares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20"/>
        <w:spacing w:after="0" w:line="236" w:lineRule="auto"/>
        <w:rPr>
          <w:sz w:val="20"/>
          <w:szCs w:val="20"/>
          <w:color w:val="auto"/>
        </w:rPr>
      </w:pPr>
      <w:r>
        <w:rPr>
          <w:rFonts w:ascii="Times New Roman" w:cs="Times New Roman" w:eastAsia="Times New Roman" w:hAnsi="Times New Roman"/>
          <w:sz w:val="14"/>
          <w:szCs w:val="14"/>
          <w:color w:val="auto"/>
        </w:rPr>
        <w:t>KIRKLAND &amp; ELLIS INTERNATIONAL LLP IS A MULTINATIONAL PRACTICE, THE PARTNERS OF WHICH ARE SOLICITORS OR REGISTERED FOREIGN LAWYERS (ADMITTED IN THE U.S. AND OTHER JURISDICTIONS), AND IS AUTHORIZED AND REGULATED BY THE SOLICITORS REGULATION AUTHORITY (SRA NUMBER 349107). A LIST OF THE PARTNERS, GIVING EACH PARTNER’S PROFESSIONAL QUALIFICATION AND JURISDICTION OF QUALIFICATION IS OPEN TO INSPECTION AT THE ADDRESS ABOVE.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ASSOCIATED OFFICES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Austin Bay Area Beijing Boston Brussels Chicago Dallas Hong Kong Houston Los Angeles Munich New York Paris Shanghai Washington, D.C.</w:t>
      </w:r>
    </w:p>
    <w:p>
      <w:pPr>
        <w:sectPr>
          <w:pgSz w:w="11900" w:h="16838" w:orient="portrait"/>
          <w:cols w:equalWidth="0" w:num="1">
            <w:col w:w="11020"/>
          </w:cols>
          <w:pgMar w:left="440" w:top="117" w:right="439" w:bottom="1440" w:gutter="0" w:footer="0" w:header="0"/>
        </w:sectPr>
      </w:pPr>
    </w:p>
    <w:bookmarkStart w:id="391" w:name="page392"/>
    <w:bookmarkEnd w:id="3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2</w:t>
      </w:r>
    </w:p>
    <w:p>
      <w:pPr>
        <w:spacing w:after="0" w:line="154" w:lineRule="exact"/>
        <w:rPr>
          <w:sz w:val="20"/>
          <w:szCs w:val="20"/>
          <w:color w:val="auto"/>
        </w:rPr>
      </w:pPr>
    </w:p>
    <w:p>
      <w:pPr>
        <w:ind w:left="424" w:hanging="424"/>
        <w:spacing w:after="0"/>
        <w:tabs>
          <w:tab w:leader="none" w:pos="42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and purpose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This letter is being furnished in accordance with the requirements of Item 601(b)(5) of Regulation S-K promulgated under the Securities Act.</w:t>
      </w:r>
    </w:p>
    <w:p>
      <w:pPr>
        <w:spacing w:after="0" w:line="131" w:lineRule="exact"/>
        <w:rPr>
          <w:sz w:val="20"/>
          <w:szCs w:val="20"/>
          <w:color w:val="auto"/>
        </w:rPr>
      </w:pPr>
    </w:p>
    <w:p>
      <w:pPr>
        <w:ind w:left="424" w:right="3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This letter is limited to English law in force at the date of this letter as currently applied and interpreted by the English courts. You should read references to “</w:t>
      </w:r>
      <w:r>
        <w:rPr>
          <w:rFonts w:ascii="Times New Roman" w:cs="Times New Roman" w:eastAsia="Times New Roman" w:hAnsi="Times New Roman"/>
          <w:sz w:val="18"/>
          <w:szCs w:val="18"/>
          <w:b w:val="1"/>
          <w:bCs w:val="1"/>
          <w:color w:val="auto"/>
        </w:rPr>
        <w:t>English law</w:t>
      </w:r>
      <w:r>
        <w:rPr>
          <w:rFonts w:ascii="Times New Roman" w:cs="Times New Roman" w:eastAsia="Times New Roman" w:hAnsi="Times New Roman"/>
          <w:sz w:val="18"/>
          <w:szCs w:val="18"/>
          <w:color w:val="auto"/>
        </w:rPr>
        <w:t>” and to the “</w:t>
      </w:r>
      <w:r>
        <w:rPr>
          <w:rFonts w:ascii="Times New Roman" w:cs="Times New Roman" w:eastAsia="Times New Roman" w:hAnsi="Times New Roman"/>
          <w:sz w:val="18"/>
          <w:szCs w:val="18"/>
          <w:b w:val="1"/>
          <w:bCs w:val="1"/>
          <w:color w:val="auto"/>
        </w:rPr>
        <w:t>laws of England</w:t>
      </w:r>
      <w:r>
        <w:rPr>
          <w:rFonts w:ascii="Times New Roman" w:cs="Times New Roman" w:eastAsia="Times New Roman" w:hAnsi="Times New Roman"/>
          <w:sz w:val="18"/>
          <w:szCs w:val="18"/>
          <w:color w:val="auto"/>
        </w:rPr>
        <w:t>” accordingly.</w:t>
      </w:r>
    </w:p>
    <w:p>
      <w:pPr>
        <w:spacing w:after="0" w:line="63" w:lineRule="exact"/>
        <w:rPr>
          <w:sz w:val="20"/>
          <w:szCs w:val="20"/>
          <w:color w:val="auto"/>
        </w:rPr>
      </w:pPr>
    </w:p>
    <w:p>
      <w:pPr>
        <w:ind w:left="424" w:right="10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1.3</w:t>
        <w:tab/>
        <w:t>This letter, each opinion expressed in it (each an “</w:t>
      </w:r>
      <w:r>
        <w:rPr>
          <w:rFonts w:ascii="Times New Roman" w:cs="Times New Roman" w:eastAsia="Times New Roman" w:hAnsi="Times New Roman"/>
          <w:sz w:val="18"/>
          <w:szCs w:val="18"/>
          <w:b w:val="1"/>
          <w:bCs w:val="1"/>
          <w:color w:val="auto"/>
        </w:rPr>
        <w:t>opinion statement</w:t>
      </w:r>
      <w:r>
        <w:rPr>
          <w:rFonts w:ascii="Times New Roman" w:cs="Times New Roman" w:eastAsia="Times New Roman" w:hAnsi="Times New Roman"/>
          <w:sz w:val="18"/>
          <w:szCs w:val="18"/>
          <w:color w:val="auto"/>
        </w:rPr>
        <w:t>”) and any non-contractual obligations arising out of or in connection with it (and/or any opinion statement) is governed by and construed in accordance with English law.</w:t>
      </w:r>
    </w:p>
    <w:p>
      <w:pPr>
        <w:spacing w:after="0" w:line="6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We have not investigated the laws of any country or jurisdiction other than England (or, as regards taxation matters, United Kingdom law) (a</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jurisdiction</w:t>
      </w:r>
      <w:r>
        <w:rPr>
          <w:rFonts w:ascii="Times New Roman" w:cs="Times New Roman" w:eastAsia="Times New Roman" w:hAnsi="Times New Roman"/>
          <w:sz w:val="18"/>
          <w:szCs w:val="18"/>
          <w:color w:val="auto"/>
        </w:rPr>
        <w:t>”). We assume that no law or regulation of a foreign jurisdiction (a “</w:t>
      </w:r>
      <w:r>
        <w:rPr>
          <w:rFonts w:ascii="Times New Roman" w:cs="Times New Roman" w:eastAsia="Times New Roman" w:hAnsi="Times New Roman"/>
          <w:sz w:val="18"/>
          <w:szCs w:val="18"/>
          <w:b w:val="1"/>
          <w:bCs w:val="1"/>
          <w:color w:val="auto"/>
        </w:rPr>
        <w:t>foreign law</w:t>
      </w:r>
      <w:r>
        <w:rPr>
          <w:rFonts w:ascii="Times New Roman" w:cs="Times New Roman" w:eastAsia="Times New Roman" w:hAnsi="Times New Roman"/>
          <w:sz w:val="18"/>
          <w:szCs w:val="18"/>
          <w:color w:val="auto"/>
        </w:rPr>
        <w:t>”) affects any of the opinion statements. We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make no opinion statement in relation to any foreign law (including to the extent it may affect matters of English law) or the application or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interpretation of English law or any foreign law by any court of a foreign jurisdiction (a “</w:t>
      </w:r>
      <w:r>
        <w:rPr>
          <w:rFonts w:ascii="Times New Roman" w:cs="Times New Roman" w:eastAsia="Times New Roman" w:hAnsi="Times New Roman"/>
          <w:sz w:val="18"/>
          <w:szCs w:val="18"/>
          <w:b w:val="1"/>
          <w:bCs w:val="1"/>
          <w:color w:val="auto"/>
        </w:rPr>
        <w:t>foreign court</w:t>
      </w:r>
      <w:r>
        <w:rPr>
          <w:rFonts w:ascii="Times New Roman" w:cs="Times New Roman" w:eastAsia="Times New Roman" w:hAnsi="Times New Roman"/>
          <w:sz w:val="18"/>
          <w:szCs w:val="18"/>
          <w:color w:val="auto"/>
        </w:rPr>
        <w:t>”). We make no opinion statement in</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relation to the enforceability of any judgement of a foreign court. In relation to any agreement governed by a foreign law referred to in this letter,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to the extent relevant to any of our opinion statements, we assume that words and phrases in that agreement have the same meaning they would</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have if the agreement was governed by English law.</w:t>
      </w:r>
    </w:p>
    <w:p>
      <w:pPr>
        <w:spacing w:after="0" w:line="112" w:lineRule="exact"/>
        <w:rPr>
          <w:sz w:val="20"/>
          <w:szCs w:val="20"/>
          <w:color w:val="auto"/>
        </w:rPr>
      </w:pPr>
    </w:p>
    <w:p>
      <w:pPr>
        <w:ind w:left="424" w:right="20"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This letter only applies to those facts and circumstances which exist at the date of this letter. You expressly agree and acknowledge that we do not have and do not assume any obligation to provide you with any opinion or advice, or to update this letter in any respect, after the date of this letter.</w:t>
      </w:r>
    </w:p>
    <w:p>
      <w:pPr>
        <w:spacing w:after="0" w:line="45"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1.6</w:t>
        <w:tab/>
        <w:t>The opinion statements are based on the documents and records that we have examined (each as described in this letter) and are subject to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the qualifications and reservations set out in Schedule 2 (</w:t>
      </w: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and to any matters not disclosed to us. Each opinion statement is strictly limited to the matters stated below and does not extend, by implication or otherwise, to any other matters. Each provision in this letter which has the effect of limiting an opinion statement is independent of any other such provision and is not to be read or implied as restricted by it.</w:t>
      </w:r>
    </w:p>
    <w:p>
      <w:pPr>
        <w:sectPr>
          <w:pgSz w:w="11900" w:h="16838" w:orient="portrait"/>
          <w:cols w:equalWidth="0" w:num="1">
            <w:col w:w="11004"/>
          </w:cols>
          <w:pgMar w:left="436" w:top="877" w:right="459" w:bottom="1440" w:gutter="0" w:footer="0" w:header="0"/>
        </w:sectPr>
      </w:pPr>
    </w:p>
    <w:bookmarkStart w:id="392" w:name="page393"/>
    <w:bookmarkEnd w:id="3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3</w:t>
      </w:r>
    </w:p>
    <w:p>
      <w:pPr>
        <w:spacing w:after="0" w:line="154" w:lineRule="exact"/>
        <w:rPr>
          <w:sz w:val="20"/>
          <w:szCs w:val="20"/>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 and headings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this letter:</w:t>
      </w:r>
    </w:p>
    <w:p>
      <w:pPr>
        <w:spacing w:after="0" w:line="127" w:lineRule="exact"/>
        <w:rPr>
          <w:sz w:val="20"/>
          <w:szCs w:val="20"/>
          <w:color w:val="auto"/>
        </w:rPr>
      </w:pPr>
    </w:p>
    <w:p>
      <w:pPr>
        <w:ind w:left="964" w:hanging="532"/>
        <w:spacing w:after="0"/>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UK Companies Act 2006;</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Search</w:t>
      </w:r>
      <w:r>
        <w:rPr>
          <w:rFonts w:ascii="Times New Roman" w:cs="Times New Roman" w:eastAsia="Times New Roman" w:hAnsi="Times New Roman"/>
          <w:sz w:val="18"/>
          <w:szCs w:val="18"/>
          <w:color w:val="auto"/>
        </w:rPr>
        <w:t>” means a Company Search or a Winding-Up Enquiry;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means the Class C Warrant Amendment;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Party</w:t>
      </w:r>
      <w:r>
        <w:rPr>
          <w:rFonts w:ascii="Times New Roman" w:cs="Times New Roman" w:eastAsia="Times New Roman" w:hAnsi="Times New Roman"/>
          <w:sz w:val="18"/>
          <w:szCs w:val="18"/>
          <w:color w:val="auto"/>
        </w:rPr>
        <w:t>” means any party to a Transaction Document that is not the Company; and</w:t>
      </w:r>
    </w:p>
    <w:p>
      <w:pPr>
        <w:spacing w:after="0" w:line="130" w:lineRule="exact"/>
        <w:rPr>
          <w:rFonts w:ascii="Times New Roman" w:cs="Times New Roman" w:eastAsia="Times New Roman" w:hAnsi="Times New Roman"/>
          <w:sz w:val="18"/>
          <w:szCs w:val="18"/>
          <w:color w:val="auto"/>
        </w:rPr>
      </w:pPr>
    </w:p>
    <w:p>
      <w:pPr>
        <w:ind w:left="964" w:right="80" w:hanging="532"/>
        <w:spacing w:after="0" w:line="256" w:lineRule="auto"/>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C Warrant Amendment</w:t>
      </w:r>
      <w:r>
        <w:rPr>
          <w:rFonts w:ascii="Times New Roman" w:cs="Times New Roman" w:eastAsia="Times New Roman" w:hAnsi="Times New Roman"/>
          <w:sz w:val="18"/>
          <w:szCs w:val="18"/>
          <w:color w:val="auto"/>
        </w:rPr>
        <w:t>” means the amendment, dated 23 June 2022, to the Warrant Agreement, dated 22 March 2021 by and between Gores Guggenheim, Inc. (“</w:t>
      </w:r>
      <w:r>
        <w:rPr>
          <w:rFonts w:ascii="Times New Roman" w:cs="Times New Roman" w:eastAsia="Times New Roman" w:hAnsi="Times New Roman"/>
          <w:sz w:val="18"/>
          <w:szCs w:val="18"/>
          <w:b w:val="1"/>
          <w:bCs w:val="1"/>
          <w:color w:val="auto"/>
        </w:rPr>
        <w:t>GGI</w:t>
      </w:r>
      <w:r>
        <w:rPr>
          <w:rFonts w:ascii="Times New Roman" w:cs="Times New Roman" w:eastAsia="Times New Roman" w:hAnsi="Times New Roman"/>
          <w:sz w:val="18"/>
          <w:szCs w:val="18"/>
          <w:color w:val="auto"/>
        </w:rPr>
        <w:t>”), Computershare Inc., a Delaware corporation, and Computershare Trust Company, N.A., a federally chartered trust company, pursuant to which, among other things, each public warrant of GGI converted into a Class C-1 Share represented by an American depositary share and each private placement warrant of GGI converted into a Class C-2 Share represented by an American depositary share, each of which is exercisable for a Converted Class A Share and subject to substantially the same terms as were applicable to the public warrants and private placement warrants of GGI, a copy of which is filed as an exhibit to the Registration Statement.</w:t>
      </w:r>
    </w:p>
    <w:p>
      <w:pPr>
        <w:spacing w:after="0" w:line="90" w:lineRule="exact"/>
        <w:rPr>
          <w:sz w:val="20"/>
          <w:szCs w:val="20"/>
          <w:color w:val="auto"/>
        </w:rPr>
      </w:pPr>
    </w:p>
    <w:p>
      <w:pPr>
        <w:jc w:val="both"/>
        <w:ind w:left="424" w:right="520" w:hanging="431"/>
        <w:spacing w:after="0" w:line="267" w:lineRule="auto"/>
        <w:tabs>
          <w:tab w:leader="none" w:pos="404" w:val="left"/>
        </w:tabs>
        <w:rPr>
          <w:sz w:val="20"/>
          <w:szCs w:val="20"/>
          <w:color w:val="auto"/>
        </w:rPr>
      </w:pPr>
      <w:r>
        <w:rPr>
          <w:rFonts w:ascii="Times New Roman" w:cs="Times New Roman" w:eastAsia="Times New Roman" w:hAnsi="Times New Roman"/>
          <w:sz w:val="18"/>
          <w:szCs w:val="18"/>
          <w:color w:val="auto"/>
        </w:rPr>
        <w:t>2.2</w:t>
        <w:tab/>
        <w:t>The headings in this letter do not affect its interpretation. In particular, headings are included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Schedule 2 (</w:t>
      </w: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for convenience only and should not be read or construed as limiting the applicability of the assumptions, qualifications or reservations set out in those schedules to a particular opinion statement unless expressly noted therein.</w:t>
      </w:r>
    </w:p>
    <w:p>
      <w:pPr>
        <w:spacing w:after="0" w:line="320" w:lineRule="exact"/>
        <w:rPr>
          <w:sz w:val="20"/>
          <w:szCs w:val="20"/>
          <w:color w:val="auto"/>
        </w:rPr>
      </w:pPr>
    </w:p>
    <w:p>
      <w:pPr>
        <w:ind w:left="424" w:hanging="424"/>
        <w:spacing w:after="0"/>
        <w:tabs>
          <w:tab w:leader="none" w:pos="42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review</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For the purposes of issuing this letter, we have reviewed the following documents:</w:t>
      </w:r>
    </w:p>
    <w:p>
      <w:pPr>
        <w:spacing w:after="0" w:line="131" w:lineRule="exact"/>
        <w:rPr>
          <w:sz w:val="20"/>
          <w:szCs w:val="20"/>
          <w:color w:val="auto"/>
        </w:rPr>
      </w:pPr>
    </w:p>
    <w:p>
      <w:pPr>
        <w:ind w:left="964" w:hanging="532"/>
        <w:spacing w:after="0"/>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Class C Warrant Amendment;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adopted by the Company;</w:t>
      </w:r>
    </w:p>
    <w:p>
      <w:pPr>
        <w:spacing w:after="0" w:line="128" w:lineRule="exact"/>
        <w:rPr>
          <w:rFonts w:ascii="Times New Roman" w:cs="Times New Roman" w:eastAsia="Times New Roman" w:hAnsi="Times New Roman"/>
          <w:sz w:val="18"/>
          <w:szCs w:val="18"/>
          <w:color w:val="auto"/>
        </w:rPr>
      </w:pPr>
    </w:p>
    <w:p>
      <w:pPr>
        <w:ind w:left="964" w:right="120" w:hanging="532"/>
        <w:spacing w:after="0" w:line="284" w:lineRule="auto"/>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 meeting of the Company’s directors resolving</w:t>
      </w:r>
      <w:r>
        <w:rPr>
          <w:rFonts w:ascii="Times New Roman" w:cs="Times New Roman" w:eastAsia="Times New Roman" w:hAnsi="Times New Roman"/>
          <w:sz w:val="18"/>
          <w:szCs w:val="18"/>
          <w:i w:val="1"/>
          <w:iCs w:val="1"/>
          <w:color w:val="auto"/>
        </w:rPr>
        <w:t>, inter alia,</w:t>
      </w:r>
      <w:r>
        <w:rPr>
          <w:rFonts w:ascii="Times New Roman" w:cs="Times New Roman" w:eastAsia="Times New Roman" w:hAnsi="Times New Roman"/>
          <w:sz w:val="18"/>
          <w:szCs w:val="18"/>
          <w:color w:val="auto"/>
        </w:rPr>
        <w:t xml:space="preserve"> to allot the Class A Shares, Class B Shares, the Class C Shares and the Converted Class A Shares (the “</w:t>
      </w:r>
      <w:r>
        <w:rPr>
          <w:rFonts w:ascii="Times New Roman" w:cs="Times New Roman" w:eastAsia="Times New Roman" w:hAnsi="Times New Roman"/>
          <w:sz w:val="18"/>
          <w:szCs w:val="18"/>
          <w:b w:val="1"/>
          <w:bCs w:val="1"/>
          <w:color w:val="auto"/>
        </w:rPr>
        <w:t>Board Approval</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4" w:hanging="532"/>
        <w:spacing w:after="0" w:line="267" w:lineRule="auto"/>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resolutions of the Company’s member(s) approving,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to authorise the directors of the Company to allot the Class A Shares, Class B Shares, the Class C Shares and the Converted Class A Shares (as may be required) (the “</w:t>
      </w:r>
      <w:r>
        <w:rPr>
          <w:rFonts w:ascii="Times New Roman" w:cs="Times New Roman" w:eastAsia="Times New Roman" w:hAnsi="Times New Roman"/>
          <w:sz w:val="18"/>
          <w:szCs w:val="18"/>
          <w:b w:val="1"/>
          <w:bCs w:val="1"/>
          <w:color w:val="auto"/>
        </w:rPr>
        <w:t>Member Approval</w:t>
      </w:r>
      <w:r>
        <w:rPr>
          <w:rFonts w:ascii="Times New Roman" w:cs="Times New Roman" w:eastAsia="Times New Roman" w:hAnsi="Times New Roman"/>
          <w:sz w:val="18"/>
          <w:szCs w:val="18"/>
          <w:color w:val="auto"/>
        </w:rPr>
        <w:t>” and together with the Board Approval, the “</w:t>
      </w:r>
      <w:r>
        <w:rPr>
          <w:rFonts w:ascii="Times New Roman" w:cs="Times New Roman" w:eastAsia="Times New Roman" w:hAnsi="Times New Roman"/>
          <w:sz w:val="18"/>
          <w:szCs w:val="18"/>
          <w:b w:val="1"/>
          <w:bCs w:val="1"/>
          <w:color w:val="auto"/>
        </w:rPr>
        <w:t>Corporate Approvals</w:t>
      </w:r>
      <w:r>
        <w:rPr>
          <w:rFonts w:ascii="Times New Roman" w:cs="Times New Roman" w:eastAsia="Times New Roman" w:hAnsi="Times New Roman"/>
          <w:sz w:val="18"/>
          <w:szCs w:val="18"/>
          <w:color w:val="auto"/>
        </w:rPr>
        <w:t>”); and</w:t>
      </w:r>
    </w:p>
    <w:p>
      <w:pPr>
        <w:sectPr>
          <w:pgSz w:w="11900" w:h="16838" w:orient="portrait"/>
          <w:cols w:equalWidth="0" w:num="1">
            <w:col w:w="10964"/>
          </w:cols>
          <w:pgMar w:left="436" w:top="877" w:right="499" w:bottom="1440" w:gutter="0" w:footer="0" w:header="0"/>
        </w:sectPr>
      </w:pPr>
    </w:p>
    <w:bookmarkStart w:id="393" w:name="page394"/>
    <w:bookmarkEnd w:id="39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4</w:t>
      </w:r>
    </w:p>
    <w:p>
      <w:pPr>
        <w:spacing w:after="0" w:line="158" w:lineRule="exact"/>
        <w:rPr>
          <w:sz w:val="20"/>
          <w:szCs w:val="20"/>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Registration Statement.</w:t>
      </w:r>
    </w:p>
    <w:p>
      <w:pPr>
        <w:spacing w:after="0" w:line="131" w:lineRule="exact"/>
        <w:rPr>
          <w:sz w:val="20"/>
          <w:szCs w:val="20"/>
          <w:color w:val="auto"/>
        </w:rPr>
      </w:pPr>
    </w:p>
    <w:p>
      <w:pPr>
        <w:ind w:left="424" w:right="5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3.2</w:t>
        <w:tab/>
        <w:t>We have also reviewed the results of searches made by CRO Info on 12 July 2022, in respect of the Company at (i) the Central Registry of Winding-up Petitions at the Insolvency and Companies List (formerly known as the Companies Court) in London, (ii) the Gazette, and (iii) Companies House (each a “</w:t>
      </w: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24" w:right="6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3.3</w:t>
        <w:tab/>
        <w:t>We have not reviewed or examined any other document or record, or made any other enquiry, in connection with the giving of this letter. We have assumed that the documents described in this paragraph 3 are in full force and effect without any amendment (however described) and contain all the relevant information which is material for the purposes of the opinion statements and that there is no other document, agreement, instrument, undertaking, obligation, representation or warranty (oral or written) and no other arrangement (whether legally binding or not) made by or between all or any of the Transaction Parties or any other matter which renders such information inaccurate, incomplete or misleading or which affects the conclusions stated in this letter.</w:t>
      </w:r>
    </w:p>
    <w:p>
      <w:pPr>
        <w:spacing w:after="0" w:line="332" w:lineRule="exact"/>
        <w:rPr>
          <w:sz w:val="20"/>
          <w:szCs w:val="20"/>
          <w:color w:val="auto"/>
        </w:rPr>
      </w:pPr>
    </w:p>
    <w:p>
      <w:pPr>
        <w:ind w:left="424" w:hanging="424"/>
        <w:spacing w:after="0"/>
        <w:tabs>
          <w:tab w:leader="none" w:pos="42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 statements</w:t>
      </w:r>
    </w:p>
    <w:p>
      <w:pPr>
        <w:spacing w:after="0" w:line="135"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The Company has the power to allot, issue and deliver the Class A Shares, Class B Shares and the Converted Class A Shares, as contemplated by the Registration Statement.</w:t>
      </w:r>
    </w:p>
    <w:p>
      <w:pPr>
        <w:spacing w:after="0" w:line="67"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Company has taken all necessary corporate action to allot, issue and deliver the Class A Shares, the Class B Shares and the Converted Class A Shares, as contemplated by the Registration Statement.</w:t>
      </w:r>
    </w:p>
    <w:p>
      <w:pPr>
        <w:spacing w:after="0" w:line="67"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4.3</w:t>
        <w:tab/>
        <w:t>It is our opinion that, when the Registration Statement becomes effective under the Act, the Class A Shares, the Converted Class A Shares and the Class C-2 Shares to be offered and sold as contemplated by the Registration Statement have been or will be, subject to their allotment and issuance, registration in the name of the depositary in the register of members of the Company and delivery or conversion in accordance with their terms and as described in the Registration Statement, duly and validly authorised and issued, fully paid or credited as fully paid (subject to receipt of valid consideration by the Company for the issuance or conversion thereof as contemplated by the Registration Statement) and will not be subject to any call for payment of further capital.</w:t>
      </w:r>
    </w:p>
    <w:p>
      <w:pPr>
        <w:sectPr>
          <w:pgSz w:w="11900" w:h="16838" w:orient="portrait"/>
          <w:cols w:equalWidth="0" w:num="1">
            <w:col w:w="10984"/>
          </w:cols>
          <w:pgMar w:left="436" w:top="877" w:right="479" w:bottom="1440" w:gutter="0" w:footer="0" w:header="0"/>
        </w:sectPr>
      </w:pPr>
    </w:p>
    <w:bookmarkStart w:id="394" w:name="page395"/>
    <w:bookmarkEnd w:id="39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5</w:t>
      </w:r>
    </w:p>
    <w:p>
      <w:pPr>
        <w:spacing w:after="0" w:line="154" w:lineRule="exact"/>
        <w:rPr>
          <w:sz w:val="20"/>
          <w:szCs w:val="20"/>
          <w:color w:val="auto"/>
        </w:rPr>
      </w:pPr>
    </w:p>
    <w:p>
      <w:pPr>
        <w:ind w:left="424" w:hanging="424"/>
        <w:spacing w:after="0"/>
        <w:tabs>
          <w:tab w:leader="none" w:pos="42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w:t>
      </w:r>
    </w:p>
    <w:p>
      <w:pPr>
        <w:spacing w:after="0" w:line="135"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5.1</w:t>
        <w:tab/>
        <w:t xml:space="preserve">This letter is addressed to you solely for your benefit in connection with the Registration Statement. We consent to the filing of this letter as </w:t>
      </w:r>
      <w:r>
        <w:rPr>
          <w:rFonts w:ascii="Times New Roman" w:cs="Times New Roman" w:eastAsia="Times New Roman" w:hAnsi="Times New Roman"/>
          <w:sz w:val="18"/>
          <w:szCs w:val="18"/>
          <w:u w:val="single" w:color="auto"/>
          <w:color w:val="auto"/>
        </w:rPr>
        <w:t>Exhibit 5.1</w:t>
      </w:r>
      <w:r>
        <w:rPr>
          <w:rFonts w:ascii="Times New Roman" w:cs="Times New Roman" w:eastAsia="Times New Roman" w:hAnsi="Times New Roman"/>
          <w:sz w:val="18"/>
          <w:szCs w:val="18"/>
          <w:color w:val="auto"/>
        </w:rPr>
        <w:t xml:space="preserve"> to the Registration Statement. In giving such consent, we do not thereby admit that we are in the category of persons whose consent is required under Section 7 of the Securities Act or the rules and regulations thereunder.</w:t>
      </w:r>
    </w:p>
    <w:p>
      <w:pPr>
        <w:spacing w:after="0" w:line="81" w:lineRule="exact"/>
        <w:rPr>
          <w:sz w:val="20"/>
          <w:szCs w:val="20"/>
          <w:color w:val="auto"/>
        </w:rPr>
      </w:pPr>
    </w:p>
    <w:p>
      <w:pPr>
        <w:ind w:left="424" w:right="40"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6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/s/ Kirkland &amp; Ellis International LLP</w:t>
      </w:r>
    </w:p>
    <w:p>
      <w:pPr>
        <w:sectPr>
          <w:pgSz w:w="11900" w:h="16838" w:orient="portrait"/>
          <w:cols w:equalWidth="0" w:num="1">
            <w:col w:w="10924"/>
          </w:cols>
          <w:pgMar w:left="436" w:top="877" w:right="539" w:bottom="1440" w:gutter="0" w:footer="0" w:header="0"/>
        </w:sectPr>
      </w:pPr>
    </w:p>
    <w:bookmarkStart w:id="395" w:name="page396"/>
    <w:bookmarkEnd w:id="3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6</w:t>
      </w:r>
    </w:p>
    <w:p>
      <w:pPr>
        <w:spacing w:after="0" w:line="1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Status</w:t>
      </w:r>
    </w:p>
    <w:p>
      <w:pPr>
        <w:spacing w:after="0" w:line="133" w:lineRule="exact"/>
        <w:rPr>
          <w:sz w:val="20"/>
          <w:szCs w:val="20"/>
          <w:color w:val="auto"/>
        </w:rPr>
      </w:pPr>
    </w:p>
    <w:p>
      <w:pPr>
        <w:ind w:left="424" w:hanging="424"/>
        <w:spacing w:after="0" w:line="266" w:lineRule="auto"/>
        <w:tabs>
          <w:tab w:leader="none" w:pos="4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Transaction Party has not taken any corporate or other action nor have any steps been taken or legal proceedings been started against it for its administration, liquidation, winding-up, dissolution, reorganisation or bankruptcy or for the appointment of a liquidator, receiver, trustee, administrator, administrative receiver or similar officer in respect of it or all or any part of its undertaking, property or assets a</w:t>
      </w:r>
    </w:p>
    <w:p>
      <w:pPr>
        <w:spacing w:after="0" w:line="81" w:lineRule="exact"/>
        <w:rPr>
          <w:sz w:val="20"/>
          <w:szCs w:val="20"/>
          <w:color w:val="auto"/>
        </w:rPr>
      </w:pPr>
    </w:p>
    <w:p>
      <w:pPr>
        <w:ind w:left="424" w:right="20" w:hanging="424"/>
        <w:spacing w:after="0" w:line="282" w:lineRule="auto"/>
        <w:tabs>
          <w:tab w:leader="none" w:pos="4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nothing has occurred in relation to a Transaction Party which corresponds to the matters described in paragraph 1 above in any jurisdiction in which it is incorporated or formed or in any jurisdiction to which it or any of its assets is subject.</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Capacity, power and authority</w:t>
      </w:r>
    </w:p>
    <w:p>
      <w:pPr>
        <w:spacing w:after="0" w:line="133" w:lineRule="exact"/>
        <w:rPr>
          <w:sz w:val="20"/>
          <w:szCs w:val="20"/>
          <w:color w:val="auto"/>
        </w:rPr>
      </w:pPr>
    </w:p>
    <w:p>
      <w:pPr>
        <w:ind w:left="424" w:hanging="424"/>
        <w:spacing w:after="0"/>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Transaction Party:</w:t>
      </w:r>
    </w:p>
    <w:p>
      <w:pPr>
        <w:spacing w:after="0" w:line="130" w:lineRule="exact"/>
        <w:rPr>
          <w:rFonts w:ascii="Times New Roman" w:cs="Times New Roman" w:eastAsia="Times New Roman" w:hAnsi="Times New Roman"/>
          <w:sz w:val="18"/>
          <w:szCs w:val="18"/>
          <w:color w:val="auto"/>
        </w:rPr>
      </w:pPr>
    </w:p>
    <w:p>
      <w:pPr>
        <w:ind w:left="964" w:right="580" w:hanging="532"/>
        <w:spacing w:after="0" w:line="282" w:lineRule="auto"/>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duly incorporated or organised, validly existing and in good standing (where the concept is legally relevant) under the laws of its jurisdiction of incorporation;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capacity, power and authority to enter into, deliver and perform the terms of the Transaction Document to which it is a party;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all necessary action to authorise its entry into, delivery and performance of the Transaction Document to which it is a party;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duly executed Transaction Document to which it is a party.</w:t>
      </w:r>
    </w:p>
    <w:p>
      <w:pPr>
        <w:spacing w:after="0" w:line="131" w:lineRule="exact"/>
        <w:rPr>
          <w:sz w:val="20"/>
          <w:szCs w:val="20"/>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person who signed the Transaction Document was the person authorised to do so by appropriate corporate action.</w:t>
      </w:r>
    </w:p>
    <w:p>
      <w:pPr>
        <w:spacing w:after="0" w:line="131" w:lineRule="exact"/>
        <w:rPr>
          <w:sz w:val="20"/>
          <w:szCs w:val="20"/>
          <w:color w:val="auto"/>
        </w:rPr>
      </w:pPr>
    </w:p>
    <w:p>
      <w:pPr>
        <w:ind w:left="424" w:right="100" w:hanging="424"/>
        <w:spacing w:after="0" w:line="312" w:lineRule="auto"/>
        <w:tabs>
          <w:tab w:leader="none" w:pos="42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entry into the Class C Warrant Amendment, and the issuance of Class A Shares, Class B Shares, Converted Class A Shares and Class C Shares, as contemplated by the Registration Statement, has been or is in the best interests of and has or will promote the success of the Company.</w:t>
      </w:r>
    </w:p>
    <w:p>
      <w:pPr>
        <w:spacing w:after="0" w:line="45" w:lineRule="exact"/>
        <w:rPr>
          <w:sz w:val="20"/>
          <w:szCs w:val="20"/>
          <w:color w:val="auto"/>
        </w:rPr>
      </w:pPr>
    </w:p>
    <w:p>
      <w:pPr>
        <w:ind w:left="424" w:right="140" w:hanging="424"/>
        <w:spacing w:after="0" w:line="266" w:lineRule="auto"/>
        <w:tabs>
          <w:tab w:leader="none" w:pos="4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neither the Company nor Transaction Party had actual, constructive or implied notice of any prohibition or restriction on the Transaction Parties entering into (or authorising the entry into of) the Transaction Document or performing its obligations thereunder (nor did any such party deliberately refrain from making enquiries in circumstances where it had any suspicion of such matters).</w:t>
      </w:r>
    </w:p>
    <w:p>
      <w:pPr>
        <w:sectPr>
          <w:pgSz w:w="11900" w:h="16838" w:orient="portrait"/>
          <w:cols w:equalWidth="0" w:num="1">
            <w:col w:w="10984"/>
          </w:cols>
          <w:pgMar w:left="436" w:top="877" w:right="479" w:bottom="1440" w:gutter="0" w:footer="0" w:header="0"/>
        </w:sectPr>
      </w:pPr>
    </w:p>
    <w:bookmarkStart w:id="396" w:name="page397"/>
    <w:bookmarkEnd w:id="39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7</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Documents</w:t>
      </w:r>
    </w:p>
    <w:p>
      <w:pPr>
        <w:spacing w:after="0" w:line="133" w:lineRule="exact"/>
        <w:rPr>
          <w:sz w:val="20"/>
          <w:szCs w:val="20"/>
          <w:color w:val="auto"/>
        </w:rPr>
      </w:pPr>
    </w:p>
    <w:p>
      <w:pPr>
        <w:ind w:left="424" w:right="160" w:hanging="424"/>
        <w:spacing w:after="0" w:line="261" w:lineRule="auto"/>
        <w:tabs>
          <w:tab w:leader="none" w:pos="42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signatures, stamps, seals and markings on all documents submitted to us are genuine and were applied to a complete and final version of the relevant document, that those documents are authentic and complete and remain accurate and up-to-date at the date of this letter, that all signatures which purport to have been attested were made in the presence of the purported witness and that all factual statements contained in those documents (including any factual matter represented by a party to a document) are correct, complete and fair.</w:t>
      </w:r>
    </w:p>
    <w:p>
      <w:pPr>
        <w:spacing w:after="0" w:line="85" w:lineRule="exact"/>
        <w:rPr>
          <w:sz w:val="20"/>
          <w:szCs w:val="20"/>
          <w:color w:val="auto"/>
        </w:rPr>
      </w:pPr>
    </w:p>
    <w:p>
      <w:pPr>
        <w:ind w:left="424" w:hanging="424"/>
        <w:spacing w:after="0" w:line="282" w:lineRule="auto"/>
        <w:tabs>
          <w:tab w:leader="none" w:pos="4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document submitted to us as a certified, electronic, photostatic or facsimile copy conforms to the original of that document and the same assumptions made in the previous paragraph are correct in respect of the original.</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Other assumptions</w:t>
      </w:r>
    </w:p>
    <w:p>
      <w:pPr>
        <w:spacing w:after="0" w:line="133" w:lineRule="exact"/>
        <w:rPr>
          <w:sz w:val="20"/>
          <w:szCs w:val="20"/>
          <w:color w:val="auto"/>
        </w:rPr>
      </w:pPr>
    </w:p>
    <w:p>
      <w:pPr>
        <w:ind w:left="424" w:right="20" w:hanging="424"/>
        <w:spacing w:after="0" w:line="256" w:lineRule="auto"/>
        <w:tabs>
          <w:tab w:leader="none" w:pos="42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absence of bad faith, fraud, coercion, duress, misrepresentation, mistake of fact or law and undue influence on the part of the Company or any Transaction Party and its respective directors, employees, officers, agents and advisors, that neither the Company nor any Transaction Party held a belief that the Transaction Document was fundamentally different in substance or in kind from what it actually was, that the Transaction Document has not been entered into in connection with money laundering or any other unlawful activity, that there has been no breach of, or default under, the Transaction Document and that the Transaction Document has been entered into, and will be carried out, by each Transaction Party thereto in good faith,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commercial reasons, for the benefit of each of them respectively and on arm’s length commercial terms.</w:t>
      </w:r>
    </w:p>
    <w:p>
      <w:pPr>
        <w:spacing w:after="0" w:line="93" w:lineRule="exact"/>
        <w:rPr>
          <w:sz w:val="20"/>
          <w:szCs w:val="20"/>
          <w:color w:val="auto"/>
        </w:rPr>
      </w:pPr>
    </w:p>
    <w:p>
      <w:pPr>
        <w:ind w:left="424" w:right="160" w:hanging="424"/>
        <w:spacing w:after="0" w:line="282" w:lineRule="auto"/>
        <w:tabs>
          <w:tab w:leader="none" w:pos="4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proceedings have been instituted or injunction granted against any Transaction Party to refrain it from enforcing any of its rights or from performing any of its obligations under the Transaction Document to which it is a party.</w:t>
      </w:r>
    </w:p>
    <w:p>
      <w:pPr>
        <w:sectPr>
          <w:pgSz w:w="11900" w:h="16838" w:orient="portrait"/>
          <w:cols w:equalWidth="0" w:num="1">
            <w:col w:w="11004"/>
          </w:cols>
          <w:pgMar w:left="436" w:top="877" w:right="459" w:bottom="1440" w:gutter="0" w:footer="0" w:header="0"/>
        </w:sectPr>
      </w:pPr>
    </w:p>
    <w:bookmarkStart w:id="397" w:name="page398"/>
    <w:bookmarkEnd w:id="39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183515</wp:posOffset>
            </wp:positionV>
            <wp:extent cx="3025775" cy="2489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48920"/>
                    </a:xfrm>
                    <a:prstGeom prst="rect">
                      <a:avLst/>
                    </a:prstGeom>
                    <a:noFill/>
                  </pic:spPr>
                </pic:pic>
              </a:graphicData>
            </a:graphic>
          </wp:anchor>
        </w:drawing>
        <w:t>Page 8</w:t>
      </w:r>
    </w:p>
    <w:p>
      <w:pPr>
        <w:spacing w:after="0" w:line="1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General qualifications</w:t>
      </w:r>
    </w:p>
    <w:p>
      <w:pPr>
        <w:spacing w:after="0" w:line="133" w:lineRule="exact"/>
        <w:rPr>
          <w:sz w:val="20"/>
          <w:szCs w:val="20"/>
          <w:color w:val="auto"/>
        </w:rPr>
      </w:pPr>
    </w:p>
    <w:p>
      <w:pPr>
        <w:ind w:left="424" w:hanging="424"/>
        <w:spacing w:after="0"/>
        <w:tabs>
          <w:tab w:leader="none" w:pos="4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opinion statement is expressed as to matters of fact.</w:t>
      </w:r>
    </w:p>
    <w:p>
      <w:pPr>
        <w:spacing w:after="0" w:line="131" w:lineRule="exact"/>
        <w:rPr>
          <w:sz w:val="20"/>
          <w:szCs w:val="20"/>
          <w:color w:val="auto"/>
        </w:rPr>
      </w:pPr>
    </w:p>
    <w:p>
      <w:pPr>
        <w:ind w:left="424" w:hanging="424"/>
        <w:spacing w:after="0" w:line="261" w:lineRule="auto"/>
        <w:tabs>
          <w:tab w:leader="none" w:pos="4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making any opinion statement as to any taxation matters or consequences which will or may arise as a result of any transaction effected as contemplated by the Registration Statement or the rights or remedies of any taxation authority in respect of non-payment of taxes or the failure to comply with applicable laws and regulations relating to taxation. For these purposes “taxation” and “taxes” shall be deemed to include stamp duties, stamp duty reserve tax and value added tax (or similar indirect taxes).</w:t>
      </w:r>
    </w:p>
    <w:p>
      <w:pPr>
        <w:sectPr>
          <w:pgSz w:w="11900" w:h="16838" w:orient="portrait"/>
          <w:cols w:equalWidth="0" w:num="1">
            <w:col w:w="11004"/>
          </w:cols>
          <w:pgMar w:left="436" w:top="877" w:right="45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8"/>
          <w:szCs w:val="18"/>
          <w:b w:val="1"/>
          <w:bCs w:val="1"/>
          <w:color w:val="auto"/>
        </w:rPr>
        <w:t>Exhibit 10.91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105664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6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Frame Agreement</w:t>
      </w:r>
    </w:p>
    <w:p>
      <w:pPr>
        <w:sectPr>
          <w:pgSz w:w="11900" w:h="16838" w:orient="portrait"/>
          <w:cols w:equalWidth="0" w:num="1">
            <w:col w:w="11020"/>
          </w:cols>
          <w:pgMar w:left="440" w:top="117" w:right="4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copy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tc>
        <w:tc>
          <w:tcPr>
            <w:tcW w:w="1700" w:type="dxa"/>
            <w:vAlign w:val="bottom"/>
          </w:tcPr>
          <w:p>
            <w:pPr>
              <w:spacing w:after="0"/>
              <w:rPr>
                <w:sz w:val="20"/>
                <w:szCs w:val="20"/>
                <w:color w:val="auto"/>
              </w:rPr>
            </w:pPr>
          </w:p>
        </w:tc>
      </w:tr>
      <w:tr>
        <w:trPr>
          <w:trHeight w:val="45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RECITALS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III. COVENANTS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R&amp;D ACTIVITIES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DELIVERY TO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RELATIONSHIP BETWEEN THE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LICENSE IN COMPANY BACKGROUND IP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RIGHTS IN WORK PRODUCTS AND ASSIGNMENT OF INTELLECTUAL PROPERTY RIGHTS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OWNERSHIP OF AND LICENSE IN DEVELOPER BACKGROUND IP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BRAND NAME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8"/>
              </w:rPr>
              <w:t>8.1 </w:t>
            </w:r>
          </w:p>
        </w:tc>
        <w:tc>
          <w:tcPr>
            <w:tcW w:w="8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Polestar brand name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8"/>
              </w:rPr>
              <w:t>8.2 </w:t>
            </w:r>
          </w:p>
        </w:tc>
        <w:tc>
          <w:tcPr>
            <w:tcW w:w="8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CEVT brand name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SUB-CONTRACTING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VALIDITY – EFFECTIVE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OBLIGATIONS OF THE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11.1   Assistance to Developer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11.2   Adequacy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11.3   Obligations of Developer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11.4   Obligations of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CONSIDERATION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12.1   R&amp;D Fee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12.2   Hourly Rates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12.3   Taxes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12.4   Invoicing and Payment of the R&amp;D Fee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12.5   Record Keeping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12.6   Audit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12.7   Transferability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SECRETS AND CONFIDENTIALITY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REPRESENTATION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14.1   Company’s Representations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60" w:type="dxa"/>
            <w:vAlign w:val="bottom"/>
          </w:tcPr>
          <w:p>
            <w:pPr>
              <w:spacing w:after="0"/>
              <w:rPr>
                <w:sz w:val="24"/>
                <w:szCs w:val="24"/>
                <w:color w:val="auto"/>
              </w:rPr>
            </w:pPr>
          </w:p>
        </w:tc>
        <w:tc>
          <w:tcPr>
            <w:tcW w:w="9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14.2   Developer’s Representations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0960"/>
          </w:cols>
          <w:pgMar w:left="440" w:top="270" w:right="499" w:bottom="1440" w:gutter="0" w:footer="0" w:header="0"/>
        </w:sectPr>
      </w:pPr>
    </w:p>
    <w:bookmarkStart w:id="400" w:name="page401"/>
    <w:bookmarkEnd w:id="4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Execution copy</w:t>
            </w:r>
          </w:p>
        </w:tc>
        <w:tc>
          <w:tcPr>
            <w:tcW w:w="2720" w:type="dxa"/>
            <w:vAlign w:val="bottom"/>
          </w:tcPr>
          <w:p>
            <w:pPr>
              <w:spacing w:after="0"/>
              <w:rPr>
                <w:sz w:val="20"/>
                <w:szCs w:val="20"/>
                <w:color w:val="auto"/>
              </w:rPr>
            </w:pPr>
          </w:p>
        </w:tc>
      </w:tr>
      <w:tr>
        <w:trPr>
          <w:trHeight w:val="36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OF LIABILITY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20" w:type="dxa"/>
            <w:vAlign w:val="bottom"/>
          </w:tcPr>
          <w:p>
            <w:pPr>
              <w:spacing w:after="0"/>
              <w:rPr>
                <w:sz w:val="24"/>
                <w:szCs w:val="24"/>
                <w:color w:val="auto"/>
              </w:rPr>
            </w:pP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15.1   Responsibility/Liability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20" w:type="dxa"/>
            <w:vAlign w:val="bottom"/>
          </w:tcPr>
          <w:p>
            <w:pPr>
              <w:spacing w:after="0"/>
              <w:rPr>
                <w:sz w:val="24"/>
                <w:szCs w:val="24"/>
                <w:color w:val="auto"/>
              </w:rPr>
            </w:pP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16.1   Ordinary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20" w:type="dxa"/>
            <w:vAlign w:val="bottom"/>
          </w:tcPr>
          <w:p>
            <w:pPr>
              <w:spacing w:after="0"/>
              <w:rPr>
                <w:sz w:val="24"/>
                <w:szCs w:val="24"/>
                <w:color w:val="auto"/>
              </w:rPr>
            </w:pP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16.2   Extraordinary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ON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CONTRACTUAL RELATIONSHIPS BETWEEN THE PARTIES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AND ASSIGNEES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NON-WAIVER AND CUMULATIVE RIGHTS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DISPUTE RESULUTION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SIGNING OF THIS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APPENDICES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APPENDIX A – WORK ASSIGNMENT SHEET TEMPLATE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APPENDIX B – NON DISCLOSURE AGREEMENT (NDA)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960"/>
          </w:cols>
          <w:pgMar w:left="440" w:top="270" w:right="499" w:bottom="1440" w:gutter="0" w:footer="0" w:header="0"/>
        </w:sectPr>
      </w:pPr>
    </w:p>
    <w:bookmarkStart w:id="401" w:name="page402"/>
    <w:bookmarkEnd w:id="40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I.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one side</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Polestar Performance AB</w:t>
      </w:r>
      <w:r>
        <w:rPr>
          <w:rFonts w:ascii="Times New Roman" w:cs="Times New Roman" w:eastAsia="Times New Roman" w:hAnsi="Times New Roman"/>
          <w:sz w:val="18"/>
          <w:szCs w:val="18"/>
          <w:color w:val="auto"/>
        </w:rPr>
        <w:t>, a limited liability company incorporated and registered under the laws of Sweden, with its reg. no 556653-3096 and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registered address at Assar Gabrielssons väg 9, 405 31 Göteborg, Sweden.</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on the other side</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China Euro Vehicle Technology AB</w:t>
      </w:r>
      <w:r>
        <w:rPr>
          <w:rFonts w:ascii="Times New Roman" w:cs="Times New Roman" w:eastAsia="Times New Roman" w:hAnsi="Times New Roman"/>
          <w:sz w:val="18"/>
          <w:szCs w:val="18"/>
          <w:color w:val="auto"/>
        </w:rPr>
        <w:t>, a company duly incorporated and existing under the laws of Sweden, with registered offices at Pumpgatan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SE-417 55 Göteborg, Sweden with the Reg. No. 556922-7639.</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i w:val="1"/>
          <w:iCs w:val="1"/>
          <w:color w:val="auto"/>
        </w:rPr>
        <w:t>Developer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Company and Developer hereinafter jointly referred to as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individually as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 RECITALS</w:t>
      </w:r>
    </w:p>
    <w:p>
      <w:pPr>
        <w:spacing w:after="0" w:line="225"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Developer belongs to a multinational group of companies (hereinafter the “</w:t>
      </w:r>
      <w:r>
        <w:rPr>
          <w:rFonts w:ascii="Times New Roman" w:cs="Times New Roman" w:eastAsia="Times New Roman" w:hAnsi="Times New Roman"/>
          <w:sz w:val="17"/>
          <w:szCs w:val="17"/>
          <w:i w:val="1"/>
          <w:iCs w:val="1"/>
          <w:color w:val="auto"/>
        </w:rPr>
        <w:t>Geely Group</w:t>
      </w:r>
      <w:r>
        <w:rPr>
          <w:rFonts w:ascii="Times New Roman" w:cs="Times New Roman" w:eastAsia="Times New Roman" w:hAnsi="Times New Roman"/>
          <w:sz w:val="17"/>
          <w:szCs w:val="17"/>
          <w:color w:val="auto"/>
        </w:rPr>
        <w:t>”), which is operative in the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manufacturing and distribution of automotive goods such as passenger cars, auto components and parts and service parts (hereinafter the “</w:t>
      </w:r>
      <w:r>
        <w:rPr>
          <w:rFonts w:ascii="Times New Roman" w:cs="Times New Roman" w:eastAsia="Times New Roman" w:hAnsi="Times New Roman"/>
          <w:sz w:val="17"/>
          <w:szCs w:val="17"/>
          <w:i w:val="1"/>
          <w:iCs w:val="1"/>
          <w:color w:val="auto"/>
        </w:rPr>
        <w:t>Products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Developer has available facilities, skills, material and human resources as well as capacity for conducting activities of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in connection with the Products.</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Company is in the business of developing, producing and distributing premium electrical automotive vehicles. Company is a related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Developer.</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Developer is prepared to render to Company research and development services in connection with the Products for Company’s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Company is interested in being provided such services in the area of research and development related to the Products.</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hereinafter contained, the Parties covenant and agree each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to enter into this Research and Development Agreement (hereinafter,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which shall be governed by the following: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860" w:right="439" w:bottom="1440" w:gutter="0" w:footer="0" w:header="0"/>
        </w:sectPr>
      </w:pPr>
    </w:p>
    <w:bookmarkStart w:id="402" w:name="page403"/>
    <w:bookmarkEnd w:id="4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III.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APPOINTMENT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Company hereby appoints Developer, and Developer hereby accepts such appointment, to perform research and development activities in connection with the Products for Company (hereinafter referred to as the “</w:t>
      </w:r>
      <w:r>
        <w:rPr>
          <w:rFonts w:ascii="Times New Roman" w:cs="Times New Roman" w:eastAsia="Times New Roman" w:hAnsi="Times New Roman"/>
          <w:sz w:val="18"/>
          <w:szCs w:val="18"/>
          <w:i w:val="1"/>
          <w:iCs w:val="1"/>
          <w:color w:val="auto"/>
        </w:rPr>
        <w:t>R&amp;D Activities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 made herein shall be governed by the terms and conditions set forth in this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R&amp;D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The R&amp;D Activities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R&amp;D Activities shall be all activities tending to the research and development of the Products and any other auxiliary products, including but not limited to consulting in terms of project management or other administrative and/ or organizational matters related to Research and Development, which shall be provided by Developer as a service to Company under this Agreement.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initiate a R&amp;D Activity under this Agreement, Company shall submit a request to Developer according to the established request process between the Parties, and Developer shall within reasonable time answer to such request. Any by Developer accepted requests shall be quoted to Company via the Work Assignment Sheet (defined below).</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 Work Assignments</w:t>
      </w:r>
    </w:p>
    <w:p>
      <w:pPr>
        <w:spacing w:after="0" w:line="11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For the performance of the R&amp;D Activities under this Agreement the Parties will agree on individual work assignment for each single project specifying, inter alia, the scope and technical content of the respective R&amp;D Activity to be performed, the Company’s objectives and the estimated fees to be paid (the “Work Assignment Sheets” or “</w:t>
      </w:r>
      <w:r>
        <w:rPr>
          <w:rFonts w:ascii="Times New Roman" w:cs="Times New Roman" w:eastAsia="Times New Roman" w:hAnsi="Times New Roman"/>
          <w:sz w:val="17"/>
          <w:szCs w:val="17"/>
          <w:i w:val="1"/>
          <w:iCs w:val="1"/>
          <w:color w:val="auto"/>
        </w:rPr>
        <w:t>WAS</w:t>
      </w:r>
      <w:r>
        <w:rPr>
          <w:rFonts w:ascii="Times New Roman" w:cs="Times New Roman" w:eastAsia="Times New Roman" w:hAnsi="Times New Roman"/>
          <w:sz w:val="17"/>
          <w:szCs w:val="17"/>
          <w:color w:val="auto"/>
        </w:rPr>
        <w:t xml:space="preserve">”) substantially in the form set out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Such WAS shall be binding upon the Parties.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 Requirements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Developer shall use its best endeavours, with professional, skilled and reasonably experienced personnel, to perform the R&amp;D Activities and develop the Products or provide the services. Developer agrees that it will at all times adhere to the guidance of Company regarding the R&amp;D Activities and in particular to the guidelines provided by the Company for the respective R&amp;D Activities set out in each respective WAS.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860" w:right="439" w:bottom="1440" w:gutter="0" w:footer="0" w:header="0"/>
        </w:sectPr>
      </w:pPr>
    </w:p>
    <w:bookmarkStart w:id="403" w:name="page404"/>
    <w:bookmarkEnd w:id="403"/>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Developer acknowledges that time is of essence and Developer agrees to respect and adhere to the deadlines set out in the WAS, such as time limits, milestones and gates. In the event Developer risks not to meet an agreed deadline or is otherwise in delay with the performance of the R&amp;D Activities, Developer shall appoint additional resources in order to avoid the effects of the anticipated delay or the delay (as the case may be).</w:t>
      </w:r>
    </w:p>
    <w:p>
      <w:pPr>
        <w:spacing w:after="0" w:line="2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2.4 Change Management</w:t>
      </w:r>
    </w:p>
    <w:p>
      <w:pPr>
        <w:spacing w:after="0" w:line="117"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Parties acknowledge and agree that it may be necessary to make changes to an agreed WAS due to changed technical requirements or other similar reasons. Minor changes are to be agreed in simple text form – e.g., e-mail in between the Parties. Any material changes – having an impact on the estimated R&amp;D Fee or the delivery times agreed under the relevant WAS are subject to a formal request in writing between the Parties. After such formal request for change the Parties shall agree on any updates to the WAS- to be signed by authorised representatives in order to be binding on the Parties.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DELIVERY TO COMPANY</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deliverable(s) of the services may be work products, including but not limited to presentations, 3D data, CAE models, 2D and other drawings, simulation reports, test reports, calculation and analysis reports, prototypes, procedures, software, meeting minutes, technical documents, quality documents, graphics, designs, diagrams, pictures, texts, configurations, ideas, flowcharts, layouts, databases, source code, object code, algorithms, inventions, developments, manuals, formulae, research, marketing material and documentation, created by Developer as a result of or in connection with providing the R&amp;D Activities (“Work Product”)</w:t>
      </w:r>
    </w:p>
    <w:p>
      <w:pPr>
        <w:spacing w:after="0" w:line="183"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Once a Work Product (as defined above) has been finalized, Developer will inform Company of the respective Work Product and hand over to Company the respective Work Product, either in writing, electronically and/or verbally, at Company’s entire and sole discretion.</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Unless otherwise directed by Company or set out in the relevant WAS, upon the completion of the R&amp;D Activities or the termination of this Agreement, whichever occurs earlier, Developer shall immediately hand over to Company all Work Products, either in writing, electronically and/or verbally, at Company’s entire and sole discretion.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RELATIONSHIP BETWEEN THE PARTIES</w:t>
      </w:r>
    </w:p>
    <w:p>
      <w:pPr>
        <w:spacing w:after="0" w:line="121" w:lineRule="exact"/>
        <w:rPr>
          <w:sz w:val="20"/>
          <w:szCs w:val="20"/>
          <w:color w:val="auto"/>
        </w:rPr>
      </w:pPr>
    </w:p>
    <w:p>
      <w:pPr>
        <w:ind w:left="4" w:right="120"/>
        <w:spacing w:after="0" w:line="276" w:lineRule="auto"/>
        <w:rPr>
          <w:sz w:val="20"/>
          <w:szCs w:val="20"/>
          <w:color w:val="auto"/>
        </w:rPr>
      </w:pPr>
      <w:r>
        <w:rPr>
          <w:rFonts w:ascii="Times New Roman" w:cs="Times New Roman" w:eastAsia="Times New Roman" w:hAnsi="Times New Roman"/>
          <w:sz w:val="17"/>
          <w:szCs w:val="17"/>
          <w:color w:val="auto"/>
        </w:rPr>
        <w:t>Developer will act as an independent contractor under the terms of this Agreement and not as a legal representative of Company for any purpose whatsoever. Nothing in this Agreement shall be construed: (i) to give either Party the power to direct or control the daily activities of the other Party, or</w:t>
      </w:r>
    </w:p>
    <w:p>
      <w:pPr>
        <w:spacing w:after="0" w:line="1" w:lineRule="exact"/>
        <w:rPr>
          <w:sz w:val="20"/>
          <w:szCs w:val="20"/>
          <w:color w:val="auto"/>
        </w:rPr>
      </w:pPr>
    </w:p>
    <w:p>
      <w:pPr>
        <w:ind w:left="4" w:hanging="4"/>
        <w:spacing w:after="0" w:line="260" w:lineRule="auto"/>
        <w:tabs>
          <w:tab w:leader="none" w:pos="26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constitute the Parties as principal and agent, employer and employee, franchiser and franchisee, partners, joint ventures, co-owners or otherwise as participants in a joint undertaking.</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864" w:right="4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5 LICENSE IN COMPANY BACKGROUND IP</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Company hereby grants to Developer a non-exclusive, royalty-free license in any intellectual property rights, other than Foreground IP (defined below), held by Company (“</w:t>
      </w:r>
      <w:r>
        <w:rPr>
          <w:rFonts w:ascii="Times New Roman" w:cs="Times New Roman" w:eastAsia="Times New Roman" w:hAnsi="Times New Roman"/>
          <w:sz w:val="18"/>
          <w:szCs w:val="18"/>
          <w:i w:val="1"/>
          <w:iCs w:val="1"/>
          <w:color w:val="auto"/>
        </w:rPr>
        <w:t>Company Background IP”)</w:t>
      </w:r>
      <w:r>
        <w:rPr>
          <w:rFonts w:ascii="Times New Roman" w:cs="Times New Roman" w:eastAsia="Times New Roman" w:hAnsi="Times New Roman"/>
          <w:sz w:val="18"/>
          <w:szCs w:val="18"/>
          <w:color w:val="auto"/>
        </w:rPr>
        <w:t xml:space="preserve"> only to the extent necessary and only for the purpose of providing the R&amp;D Activities according to and/or performing the obligations under this Agreement. This limitation of the scope of the license shall also apply to the use of the Company Background IP with regard to territory and time. Developer may not grant any sub-licenses or transfer the aforementioned licence to any third party without Company’s prior written consent.</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aforementioned licence shall terminate automatically upon completion of all R&amp;D Activities or the termination of this Agreement, whichever occurs earlier.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Developer has none and does not acquire by means of this Agreement or the performance of the R&amp;D Activities or the obligations under this Agreement any right of ownership or title in or to the Company Background IP or any goodwill associated with the Company Background 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RIGHTS IN WORK PRODUCTS AND ASSIGNMENT OF INTELLECTUAL PROPERTY RIGHTS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Developer hereby assigns any and all intellectual property rights in and to the Work Products Foreground IP, including but not limited to copyrights and ancillary rights, designs, patents, utility models, trade secret, know-how and similar exclusivity rights (together “Foreground IP”) to Company, including the right to alter and further transfer according to section 7. Company herewith accepts this assignment. The assignment of each right will become effective once the respective right comes into existence. Company may, but is under no obligation to, file for protection of the IP Rights anywhere in the world.</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the right to use the Developers Background IP to the extent necessary for being able to use the Work Products, as defined in section 7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development projects the Parties will agree separately on the IP Rights.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860"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7 OWNERSHIP OF AND LICENSE IN DEVELOPER BACKGROUND 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Ownership</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Developer retains all rights, title and interest in any intellectual property rights which are owned or otherwise held by Developer prior to the Effective Date or developed outside and independently of the R&amp;D Activities (“Developer Background IP”).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License</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Developer hereby grants to Company a non-exclusive, irrevocable, perpetual, (at least 50 years) worldwide, royalty-free, non-transferable (with the exception of Section 7.3), non-sub-licensable (with the exceptions of Section 7.4) right to use the Developer Background IP to the extent necessary for being able to use the Work Products for the intended application specified in the WAS of the subject R&amp;D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Exception to non-transferable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Section 7.2, the Company may transfer the right to an Affiliate of the Company after written notification to the Developer.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Exceptions to non-sublicensable</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Section 7.2, the Company may use the Developer Background IP together with a supplier or third-party service provider in order to exercise the right granted under section 6, but only for the intended application specified in the WAS of the subject R&amp;D Activities. Further, the Company has the right to sublicense the Developer Background IP in order to have the Products (incorporating the Work Products and the Developer Background IP) manufactured or assembled for the Company, or its Affiliates by a third party or contract manufacturer. Furthermore, Developer may grant, the Company a right to sub-license Developer Background IP related to the Work Product to third parties, other than Affiliates, on favorable terms and conditions to be specified in a separate license agreement. Such separate license agreement should not be unreasonably withheld or denied by the Developer.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BRAND NAME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 Polestar brand name</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Agreement includes the right to use the Polestar brand name or Trademarks or refer to Polestar for the limited purpose of what is needed to perform a R&amp;D Activity under this Agreement. When using the Polestar Trademark or Polestar brand name, Developer shall comply with any instructions or guidelines provided by Company. For the avoidance of doubt, Developer’s right to use the Polestar brand name or Trademark when performing a specific R&amp;D Activity does not constitute a right to use the Polestar brand name or Trademarks for any other activities and or assignments for a third party outside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860" w:right="459" w:bottom="1440" w:gutter="0" w:footer="0" w:header="0"/>
        </w:sectPr>
      </w:pPr>
    </w:p>
    <w:bookmarkStart w:id="406" w:name="page407"/>
    <w:bookmarkEnd w:id="406"/>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 xml:space="preserve">For the avoidance of doubt, this Agreement does not include any other rights to directly or indirectly use the Polestar brand name or Polestar Trademarks, on or for any products outside the scope of this Agreement, or when marketing, promoting and/or selling such products, or in any other contacts with third parties,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 presentations, business cards and correspondence, unless with the prior written consent of Company.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sake of clarity, “Trademark”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8.2 CEVT brand name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especially noted that this Agreement does not include any right to use the CEVT brand name or Trademarks or refer to CEVT in communications or official documents of whatever kind.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This means that this Agreement does not include any rights to directly or indirectly use the CEVT brand name or CEVT Trademarks, on or for any products or when marketing, promoting and/or selling such products, or in any other contacts with third parties,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 presentations, business cards and correspondence.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 “Trademark” shall have the same meaning as stated above under section 8.1 Polestar brand name.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SUB-CONTRACTING</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Developer shall have the right to sub-contract any of the R&amp;D Activities to third parties provided that Developer informs Company thereof or unless Company has clearly stated otherwise in the applicable WAS with an express reference to the relevant R&amp;D Activities.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Developer shall however remain responsible for the performance, and any omission to perform or comply with the provisions of this Agreement, to the same extent as if such performance or omittance was made by Developer itself. Developer shall also remain Company’s sole point of contact unless otherwise agreed.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VALIDITY – EFFECTIVE DATE</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Agreement shall be deemed effective as from the date the last Party signs this Agreement (hereinafter referred to as “the Effective Date”) and shall have an initial term of two (2) years (“Initial Term”) unless the Agreement is terminated in accordance with Article 15 hereunder. After the Initial Term the Agreement shall be automatically renewed on an annual basis unless the Agreement is terminated in accordance with Article 15.</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864" w:right="47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11 OBLIGATIONS OF THE PARTIES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Assistance to Developer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provide to Developer all reasonable assistance to enable it to fulfil its obligations under this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Adequacy</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Company shall make available to Developer guidance and the Company Background IP, if any, in such a form which are objectively adequate for Developer’s fulfilment of its obligations under this Agreement.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Obligations of Developer</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shall be the duty of Developer to provide upon Company’s request, but not more than quarterly, a written report on the status of its R&amp;D Activities to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Obligations of Company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Company shall be responsible for all governmental licenses, permits, governmental authorizations, consents, approvals and registrations required to carry out the technology import and export activities and overseas research and development activities conducted by Company in compliance with the governing law of this Agreement, including but not limited to the technology import license required to be obtained if any technologies for which import are restricted under the governing laws of this, and the contract registration required to be completed if any technologies for which import are unrestricted under the laws of this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R&amp;D Fee</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consideration of the work and service to be provided by Developer, Company shall remunerate Developer for the R&amp;D Activities carried out under this Agreement and each respective WAS (hereinafter referred to as the “</w:t>
      </w:r>
      <w:r>
        <w:rPr>
          <w:rFonts w:ascii="Times New Roman" w:cs="Times New Roman" w:eastAsia="Times New Roman" w:hAnsi="Times New Roman"/>
          <w:sz w:val="18"/>
          <w:szCs w:val="18"/>
          <w:i w:val="1"/>
          <w:iCs w:val="1"/>
          <w:color w:val="auto"/>
        </w:rPr>
        <w:t>R&amp;D Fee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2184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85">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Hourly Rates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hourly rates that are used and as set forth in the WAS to calculate the Incurred Costs shall be determined by Developer on an annual basis in compliance with applicable tax legislation, including but not limited to the principle of “arm’s length distance” between the Parties.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860"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12.3 Taxes</w:t>
      </w:r>
    </w:p>
    <w:p>
      <w:pPr>
        <w:spacing w:after="0" w:line="1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All sums payable according to this Section 11 shall be exclusive of taxes, duties and charges including VAT which will be charged in addition if applicable or legally required.</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event that the payments are subject to income tax withholding, such amounts may be withheld from the payments payable to Developer in accordance with any applicable laws. Company or its designee shall remit such withheld sums to the applicable taxing authority and upon request shall provide Developer with official tax receipts or other appropriate documentation issued by the appropriate taxing authority (or such other evidence as is reasonably requested by Developer) to establish that any such withholding taxes have been paid. For the avoidance of doubt, the reimbursement amount shall not include any income taxes or any taxes, however designated. Any applicable taxes must appear instead as separate items, without mark-up, on the statement from Developer and will be paid to Developer by Company, subject to Developer’s right to require a tax invoice complying with any legislation under which the applicable taxes are imposed.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Developer will cooperate with and provide reasonable assistance to Company with respect to recovery, if possible, of any applicable taxes.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 Invoicing and Payment of the R&amp;D Fee</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Invoicing will be made by Developer on a quarterly basis unless other periods of invoicing have been agreed among the parties set forth in the WAS. The estimated R&amp;D Fee for each project shall be set out in the respective WAS, however the invoice shall constitute actual costs (Incurred Costs, Disbursement Costs and Other Costs) and Mark-up based on actual Incurred Costs. The invoice shall be denominated in SEK.</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Developer shall provide all relevant information for the calculation of the R&amp;D Fee as well as relevant information of work performed. Payment of invoices will be made by Company 30 days after the issuance of invoice, unless other periods of invoicing have been agreed among the parties and set forth in the WAS.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Payments shall be made by Company by transfer to such bank account as Developer may from time to time notify in writing to Company. If any payment made under this Agreement is not completed in full within the payment period as set forth earlier in this clause, Developer have the right to request Company to pay interest, which is charged based on STIBOR plus 2 percentage points.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payments made under this Agreement shall be completed in full without any set-off, counter claim or deduction whatsoever, except for withholding tax or other taxes as required by any applicable laws subject to Clause 11.2.</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1188" w:right="479" w:bottom="1440" w:gutter="0" w:footer="0" w:header="0"/>
        </w:sectPr>
      </w:pPr>
    </w:p>
    <w:bookmarkStart w:id="409" w:name="page410"/>
    <w:bookmarkEnd w:id="409"/>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In the event of any disagreement between the Parties with respect to any invoice or any amounts owed thereunder, the Parties hereto agree to negotiate in good faith to resolve such dispute.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Record Keeping</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Developer shall keep or cause to be kept true and proper accounts and records of all transaction materials for the purpose of calculation of its costs. Developer shall furthermore retain all vouchers, contracts, instructions issued for inclusion and allocation of costs, accounting records and other information relevant for the determination of the costs. These accounts and records, or parts thereof as necessary for validating the R&amp;D Fee, might be requested by the Company for review to the extent permissible under applicable law. The duty of record keeping shall extend for a period of ten years as from the end of the relevant financial year. No records and documents which are relevant for the cost-calculation shall within that time period be destroyed without prior notification to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 Audit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terms of this Agreement, Company shall at its on expenses have the right to, upon reasonable notice to Developer, inspect Developer’s books and records related to the R&amp;D Activities and the premises where the activities are performed, in order to conduct quality controls and otherwise verify the statements rendered under this Agreement.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Audits shall be made during regular business hours and be conducted by Company or by an independent auditor, who may not have any conflict of interest with or be a competitor to the Developer, appointed by Company. Should Company during any inspection find that Developer or the R&amp;D Activities does/do not fulfil the requirements set forth herein, Company is entitled to comment on the identified deviations. Developer shall, upon notice from Company, take reasonable efforts to take the actions required in order to fulfil the requirements. In the event the Parties cannot agree upon measures to be taken in respect of the audit, each Party shall be entitled to escalate such issue to management representatives of Developer and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Transferability</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Agreement and all rights and obligations arising here from shall not be transferred by either Party to a third party. Such transfer can only be made by either Party if approval has been obtained from the other Party.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TRADE SECRETS AND CONFIDENTIALITY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Parties will sign the non-disclosure agreement attached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864" w:right="47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14 REPRESENTATION AND WARRANTIES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 Company’s Representations and Warranties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represents and warrants hereby to Developer that it has the legal right to enter into this Agreement under the laws of Sweden.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Developer’s Representations and Warranties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Developer represents and warrants, by way of an independent warranty in the sense of the laws of Sweden hereby to Company that:</w:t>
      </w:r>
    </w:p>
    <w:p>
      <w:pPr>
        <w:spacing w:after="0" w:line="131" w:lineRule="exact"/>
        <w:rPr>
          <w:sz w:val="20"/>
          <w:szCs w:val="20"/>
          <w:color w:val="auto"/>
        </w:rPr>
      </w:pPr>
    </w:p>
    <w:p>
      <w:pPr>
        <w:ind w:left="960" w:hanging="532"/>
        <w:spacing w:after="0"/>
        <w:tabs>
          <w:tab w:leader="none" w:pos="9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legal right and capacity to enter into this Agreement under the laws of Sweden.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to perform the R&amp;D Activities as set forth in this Agreement.</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event the R&amp;D Activities or any part thereof, more than insignificantly deviate from the requirements set forth in the WAS, or if Developer otherwise does not meet or ceases to meet the requirements set forth in this Agreement (except for minor faults and defects, which do not affect the provision of the R&amp;D Activities), Developer shall remedy such incompliance, fault or defect as soon as reasonably possible.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LIMITATION OF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Responsibility/Liability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for all decisions related to Company’s business remain solely with the Company.</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Neither Party shall be responsible for any indirect, incidental or consequential damage or any losses of production or profit caused by it under this Agreement or failure to comply with the Developer´s instructions.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Party’s aggregate liability for any direct damage arising out of or in connection with this Agreement shall be limited to 30 % of the total R&amp;D Fee of each separate R&amp;D Activity payable by Company to Developer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limitations of liability set forth in this Section 15 shall not apply in respect of:</w:t>
      </w:r>
    </w:p>
    <w:p>
      <w:pPr>
        <w:spacing w:after="0" w:line="131" w:lineRule="exact"/>
        <w:rPr>
          <w:sz w:val="20"/>
          <w:szCs w:val="20"/>
          <w:color w:val="auto"/>
        </w:rPr>
      </w:pPr>
    </w:p>
    <w:p>
      <w:pPr>
        <w:ind w:left="960" w:hanging="532"/>
        <w:spacing w:after="0"/>
        <w:tabs>
          <w:tab w:leader="none" w:pos="9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related to death, bodily or health injury where such Party has been acting culpable:</w:t>
      </w:r>
    </w:p>
    <w:p>
      <w:pPr>
        <w:spacing w:after="0" w:line="2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wilful misconduct or gross negligence;</w:t>
      </w:r>
    </w:p>
    <w:p>
      <w:pPr>
        <w:spacing w:after="0" w:line="9"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a Party’s breach of the confidentiality undertakings in Section 13 above.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40" w:top="860" w:right="5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16 TERMINATION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 Ordinary Termination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Party may at any time and in its sole discretion terminate this Agreement by serving a prior written termination notice of 6 (six) months to the end of a calendar month to the other Party.</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Company shall in addition be entitled to cancel any individual R&amp;D Activity/WAS under this R&amp;D Agreement for convenience by serving a written notice to Developer. If not agreed separately in the associated WAS, the cancellation notice period shall be 30 days.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 Extraordinary Termination</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Without prejudice to the foregoing provisions, any Party may terminate this Agreement for good cause. A good cause shall include but not be limited to a transfer of majority of shares or votes of Company to a third party which is not directly or indirectly controlled by an affiliate of the Developer.</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event either Party defaults on its obligations as provided for in this Agreement, the other Party shall give the defaulting Party written notice of said default. If the defaulting Party does not cure said default and notify in writing such other Party of such cure within 30 (thirty) calendar days after receipt of the notice of default, then the Party having given notice of default may terminate this Agreement. This termination shall then be effective immediately upon written notification of termination.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paragraph, either Party shall be deemed to be in default under this Agreement and the other Party shall have the right to terminate this Agreement with immediate effect without notice or prior opportunity to cure the default if an application or order is made, proceedings are commenced, a resolution is passed or an application to court is made or whatsoever steps are taken which might lead to that Party’s winding-up, dissolution, declaration of bankruptcy or insolvency, appointment of an administrator or controller or custodian or similar officer over all or any of its assets (including any undertaking of the affected Party or any step preliminary to such appointment), assignment for the benefit of creditors or the appointment of a receiver or trustee for the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OBLIGATIONS ON TERMINATION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Upon the proper termination of this Agreement for any reason whatsoever, Developer shall immediately cease to perform any R&amp;D Activity under this Agreement. The Company shall reimburse and hold harmless the Developer for all reasonable proven costs and expenses which incurred until the termination.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event Company cancels a R&amp;D Activity, the Developer is entitled to demand the agreed remuneration; however, the Developer must allow set-off of the expenses the Developer has saved as a result of cancelling the R&amp;D Activity or acquires or wilfully fails to acquire from other use of his labour. Subject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860" w:right="459" w:bottom="1440" w:gutter="0" w:footer="0" w:header="0"/>
        </w:sectPr>
      </w:pPr>
    </w:p>
    <w:bookmarkStart w:id="412" w:name="page413"/>
    <w:bookmarkEnd w:id="412"/>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to payment of the Service Fee, Developer shall deliver to Company all Work Products relating to this Agreement or the relevant WAS whether or not then complete and return all Company IP relating to this Agreement or the relevant WAS. Until they have been delivered or returned, the Developer shall be solely responsible for their safekeeping and will not use them for any purpose not connected with this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ENTIRE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and its Appendices hereto constitute the entire agreement between the Parties in connection to the subject matter hereof and supersedes, if applicable, all prior agreements, understandings, negotiations and discussions with respect to the subject matter hereof whether written or oral. Except as provided in this Agreement and its Appendices, there are no conditions, representations, warranties, undertakings, promises, inducements or agreements whether direct or indirect, collateral, expressed or implied made by the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supplement, modification or waiver of this Agreement shall be binding unless executed in writing by authorised officers of Company and Developer.</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SEVERABILITY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invalidity or unenforceability of any provision or any covenant of this Agreement in any jurisdiction shall not affect the validity or enforceability of such provision or covenant in any other jurisdiction or of any other provision or covenant hereof or herein contained and any invalid provision or covenant shall be deemed to be severable. The Parties shall negotiate in good faith in order to replace the provision declared invalid or unenforceable with a new provision, valid and enforceable, which preserves the original intention of the 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CONTRACTUAL RELATIONSHIPS BETWEEN THE PARTIES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Parties hereto acknowledge that they have or may have in the future other contractual relationships between them. It is both Parties’ interest and intention that the different contractual relationships between the Parties are kept separated from each other and that the matters regulated in this Agreement shall in no way be affected by any term or condition other than those set forth in this Agreement.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term of this Agreement and for the period of six (6) months thereafter, without the prior written consent of the other Party, neither Party shall either directly or indirectly solicit or entice away (or seek or attempt to entice away) from the employment of the other Party any person employed (or any person who has been employed in the preceding six (6) months) by such other Party in the provision or receipt of the Services under this Agreement. For the avoidance of doubt, this Clause shall not apply to unsolicited responses by employees to general recruitment advertising.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864" w:right="4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97">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21 SUCCESSOR AND ASSIGNEES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Agreement shall endure to the benefit of and be binding upon Company and Developer and their respective legal representatives, successors and permitted assignees.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COSTS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costs related to the preparation and execution of this Agreement and the execution of any actions therefore shall be borne by the Party that has directly incurred such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FORCE MAJEURE</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Neither Party shall be liable, or shall be subject to termination of this Agreement by the other Party, for any delay or default in performing any obligation hereunder attributable to acts, events or causes (including, but not limited to, war, riot, rebellion, civil disturbances, pandemic, power failures, flood, storm, fire and earthquake or other acts of God or conditions or events of nature, or any law, order, proclamation, regulation, ordinance, demand or requirement of any Governmental Authority) beyond its reasonable control and without fault or negligence of that Party that prevent in whole or in part performance by such party hereunder (“Force Majeure”). The affected provisions and/or other requirements of this Agreement shall be suspended during the period of such disability. The affected Party shall issue a written notice to the other Party specifying, amongst other things, the anticipated duration of the delay, within ten (10) days from the occurrence of the event of Force Majeure. For clarification, Force Majeure shall be deemed to be present if Developer is not allowed to perform delivery of Products or services under applicable export control regulation of the United Nations, the EU, or Sweden or if necessary, travel is not permitted, e.g. due to a pandemic or epidemic. The same shall apply if the Developer does not receive a license for delivery of Products or services if such license is required under the export control regulation of the United Nations, the EU, or Sweden.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NON-WAIVER AND CUMULATIVE RIGHTS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failure of either Party to exercise any right, power or option given hereunder or to insist upon the compliance with the terms and conditions hereof by the other Party shall not constitute a waiver of the terms and conditions of this Agreement with respect to that or any other or subsequent breach thereof nor a waiver by the non-exercising Party of its rights at any time thereafter to require strict compliance with all terms and conditions hereof including the terms or conditions with respect to which non-complying Party has failed to exercise such right or option. The rights of each Party hereunder are cumulative.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860"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25 NOTICES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notices, consents and approvals permitted or required to be given hereunder shall be deemed to be sufficiently and duly given if written and delivered personally or sent by courier or transmitted by e-mail or other form of recorded communication tested prior to transmission, to the addresses set at the beginning of this Agreement.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notice so given shall be deemed to have been received on the date of delivery if sent by courier, facsimile transmission or other form of recorded communication, as the case may be. Either Party may from time to time by notice change its address for the purposes of this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APPLICABLE LAW</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and construed in accordance with the laws of Sweden to the exclusion of the Vienna UN Convention on the International Sale of Goods of 1980 (CISG) and without the conflict of law principles.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DISPUTE RESULUTION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Before entering into settlement of arbitration, the Parties agree to seek advice from management representatives of Developer and Company to find an amicable solution for the dispute. Should the dispute not have been resolved by the management representatives within 30 days counting from when the dispute was referred to them, the Parties shall enter into arbitration.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The arbitral tribunal shall be composed of three arbitrators. Arbitration shall take place in Gothenburg, Sweden. Arbitration language shall be English. Judgement upon award rendered by the arbitrators may be entered in any court having jurisdiction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SIGNING OF THIS AGREEMENT</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Agreement has been entered into by secured electronic signatures (for example with DocuSign). The Parties agree that the validity of this Agreement will be fully regarded for all legal purposes and as fully enforceable as possible by applicable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FURTHER ASSURANCES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Parties hereto agree to do or cause to be done all acts or things necessary to implement and carry into effect this Agreement to its full extent, including any kind of public or official document or registration which could be required according to applicable law.</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Agreement and all appendixes, annexes, schedules, supplements and related contracts contain all agreements of the Parties in connection with the Research and Development or related services; all other related contracts and agreements are replaced by this Agreement.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860" w:right="51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30 APPENDICES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Appendices are part of this Agreement:</w:t>
      </w:r>
    </w:p>
    <w:p>
      <w:pPr>
        <w:spacing w:after="0" w:line="131" w:lineRule="exact"/>
        <w:rPr>
          <w:sz w:val="20"/>
          <w:szCs w:val="20"/>
          <w:color w:val="auto"/>
        </w:rPr>
      </w:pPr>
    </w:p>
    <w:p>
      <w:pPr>
        <w:ind w:left="960" w:hanging="532"/>
        <w:spacing w:after="0"/>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 WAS (Work Assignment Sheet) template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B – NDA</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Follow]</w:t>
      </w:r>
    </w:p>
    <w:p>
      <w:pPr>
        <w:spacing w:after="0" w:line="17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19"/>
          </w:cols>
          <w:pgMar w:left="440" w:top="860" w:right="1440" w:bottom="1440" w:gutter="0" w:footer="0" w:header="0"/>
        </w:sectPr>
      </w:pPr>
    </w:p>
    <w:bookmarkStart w:id="416" w:name="page417"/>
    <w:bookmarkEnd w:id="416"/>
    <w:p>
      <w:pPr>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 xml:space="preserve">IN WITNESS THEREOF </w:t>
      </w:r>
      <w:r>
        <w:rPr>
          <w:rFonts w:ascii="Times New Roman" w:cs="Times New Roman" w:eastAsia="Times New Roman" w:hAnsi="Times New Roman"/>
          <w:sz w:val="18"/>
          <w:szCs w:val="18"/>
          <w:color w:val="auto"/>
        </w:rPr>
        <w:t>the Parties hereto have entered into this Research and Development Agreement on the date set hereunder and the Parties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their respective authorized representatives to sign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Performance AB</w:t>
      </w:r>
    </w:p>
    <w:p>
      <w:pPr>
        <w:sectPr>
          <w:pgSz w:w="11900" w:h="16838" w:orient="portrait"/>
          <w:cols w:equalWidth="0" w:num="1">
            <w:col w:w="10860"/>
          </w:cols>
          <w:pgMar w:left="440" w:top="862" w:right="59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Dennis Nobelius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Anna Rudenjö</w:t>
      </w:r>
    </w:p>
    <w:p>
      <w:pPr>
        <w:spacing w:after="0" w:line="200"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Dennis Nobelius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Anna Rudensjö</w:t>
      </w:r>
    </w:p>
    <w:p>
      <w:pPr>
        <w:spacing w:after="0" w:line="200"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COO</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 Gothenburg</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 Gothenburg</w:t>
      </w:r>
    </w:p>
    <w:p>
      <w:pPr>
        <w:spacing w:after="0" w:line="200"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2022-07-05</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2022-07-04</w:t>
      </w:r>
    </w:p>
    <w:p>
      <w:pPr>
        <w:spacing w:after="0" w:line="211"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Developer: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 Euro Vehicle Technology AB</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Mats Fägerhag</w:t>
      </w:r>
    </w:p>
    <w:p>
      <w:pPr>
        <w:sectPr>
          <w:pgSz w:w="11900" w:h="16838" w:orient="portrait"/>
          <w:cols w:equalWidth="0" w:num="1">
            <w:col w:w="10860"/>
          </w:cols>
          <w:pgMar w:left="440" w:top="862" w:right="5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Mats Fägerhag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w:t>
      </w:r>
    </w:p>
    <w:p>
      <w:pPr>
        <w:spacing w:after="0" w:line="211"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0"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83" w:lineRule="exact"/>
        <w:rPr>
          <w:sz w:val="20"/>
          <w:szCs w:val="20"/>
          <w:color w:val="auto"/>
        </w:rPr>
      </w:pPr>
    </w:p>
    <w:p>
      <w:pPr>
        <w:sectPr>
          <w:pgSz w:w="11900" w:h="16838" w:orient="portrait"/>
          <w:cols w:equalWidth="0" w:num="2">
            <w:col w:w="5020" w:space="720"/>
            <w:col w:w="5120"/>
          </w:cols>
          <w:pgMar w:left="440" w:top="862" w:right="5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440" w:top="862" w:right="599" w:bottom="1440" w:gutter="0" w:footer="0" w:header="0"/>
          <w:type w:val="continuous"/>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APPENDIX A – WORK ASSIGNMENT SHEET TEMPLATE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WORK ASSIGNMENT SHEET (WAS)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Polestar Performance AB</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hereinafter “Company”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China Euro Vehicle Technology AB</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hereinafter “Developer” –</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Company and Developer each a “Party” and collectively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Company is in need of additional resources to conduct appropriate research and development activities for PROJECT NAME and is therefore interested in being provided with services related to the investigation, research and development of the technology to produce Products, which requires specialized personnel and resources. Developer has available facilities, skills, material and human resources as well as capacity for conducting activities of research and development in connection with Company needs. Developer intends to provide to Company, and Company agrees to purchase from Developer research and development services to support this project.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Developer have entered into an Agreement regarding the provision of Research and Development Services dated ____________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With this Work Assignment Sheet (“WAS”) the Parties agree on a specific research and development project and the respective R&amp;D Activities to be performed by Developer.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860" w:right="4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607">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1 R&amp;D PROJECT</w:t>
      </w:r>
    </w:p>
    <w:p>
      <w:pPr>
        <w:sectPr>
          <w:pgSz w:w="11900" w:h="16838" w:orient="portrait"/>
          <w:cols w:equalWidth="0" w:num="1">
            <w:col w:w="10960"/>
          </w:cols>
          <w:pgMar w:left="440" w:top="860" w:right="49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Program Background &amp;</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 ([ Description of Program content] Development of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(Project Name) captures [Description of the background and purpose of the program]</w:t>
      </w:r>
    </w:p>
    <w:p>
      <w:pPr>
        <w:spacing w:after="0" w:line="43" w:lineRule="exact"/>
        <w:rPr>
          <w:sz w:val="20"/>
          <w:szCs w:val="20"/>
          <w:color w:val="auto"/>
        </w:rPr>
      </w:pPr>
    </w:p>
    <w:p>
      <w:pPr>
        <w:sectPr>
          <w:pgSz w:w="11900" w:h="16838" w:orient="portrait"/>
          <w:cols w:equalWidth="0" w:num="2">
            <w:col w:w="1860" w:space="360"/>
            <w:col w:w="8740"/>
          </w:cols>
          <w:pgMar w:left="440" w:top="8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ectPr>
          <w:pgSz w:w="11900" w:h="16838" w:orient="portrait"/>
          <w:cols w:equalWidth="0" w:num="1">
            <w:col w:w="10960"/>
          </w:cols>
          <w:pgMar w:left="440" w:top="860" w:right="49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Plan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Appendix “</w:t>
      </w:r>
      <w:r>
        <w:rPr>
          <w:rFonts w:ascii="Times New Roman" w:cs="Times New Roman" w:eastAsia="Times New Roman" w:hAnsi="Times New Roman"/>
          <w:sz w:val="17"/>
          <w:szCs w:val="17"/>
          <w:b w:val="1"/>
          <w:bCs w:val="1"/>
          <w:color w:val="auto"/>
        </w:rPr>
        <w:t>______________</w:t>
      </w:r>
      <w:r>
        <w:rPr>
          <w:rFonts w:ascii="Times New Roman" w:cs="Times New Roman" w:eastAsia="Times New Roman" w:hAnsi="Times New Roman"/>
          <w:sz w:val="17"/>
          <w:szCs w:val="17"/>
          <w:color w:val="auto"/>
        </w:rPr>
        <w:t>” (Milestones)</w:t>
      </w:r>
    </w:p>
    <w:p>
      <w:pPr>
        <w:spacing w:after="0" w:line="129" w:lineRule="exact"/>
        <w:rPr>
          <w:sz w:val="20"/>
          <w:szCs w:val="20"/>
          <w:color w:val="auto"/>
        </w:rPr>
      </w:pPr>
    </w:p>
    <w:p>
      <w:pPr>
        <w:sectPr>
          <w:pgSz w:w="11900" w:h="16838" w:orient="portrait"/>
          <w:cols w:equalWidth="0" w:num="2">
            <w:col w:w="1500" w:space="720"/>
            <w:col w:w="8740"/>
          </w:cols>
          <w:pgMar w:left="440" w:top="8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Program Leading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Company and/or its Affiliated Company</w:t>
      </w:r>
    </w:p>
    <w:p>
      <w:pPr>
        <w:spacing w:after="0" w:line="125" w:lineRule="exact"/>
        <w:rPr>
          <w:sz w:val="20"/>
          <w:szCs w:val="20"/>
          <w:color w:val="auto"/>
        </w:rPr>
      </w:pPr>
    </w:p>
    <w:p>
      <w:pPr>
        <w:sectPr>
          <w:pgSz w:w="11900" w:h="16838" w:orient="portrait"/>
          <w:cols w:equalWidth="0" w:num="2">
            <w:col w:w="1840" w:space="380"/>
            <w:col w:w="8740"/>
          </w:cols>
          <w:pgMar w:left="440" w:top="8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Main Activities During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Appendix “</w:t>
      </w:r>
      <w:r>
        <w:rPr>
          <w:rFonts w:ascii="Times New Roman" w:cs="Times New Roman" w:eastAsia="Times New Roman" w:hAnsi="Times New Roman"/>
          <w:sz w:val="17"/>
          <w:szCs w:val="17"/>
          <w:b w:val="1"/>
          <w:bCs w:val="1"/>
          <w:color w:val="auto"/>
        </w:rPr>
        <w:t>______________</w:t>
      </w:r>
      <w:r>
        <w:rPr>
          <w:rFonts w:ascii="Times New Roman" w:cs="Times New Roman" w:eastAsia="Times New Roman" w:hAnsi="Times New Roman"/>
          <w:sz w:val="17"/>
          <w:szCs w:val="17"/>
          <w:color w:val="auto"/>
        </w:rPr>
        <w:t>” [List of activities] Development</w:t>
      </w:r>
    </w:p>
    <w:p>
      <w:pPr>
        <w:spacing w:after="0" w:line="43" w:lineRule="exact"/>
        <w:rPr>
          <w:sz w:val="20"/>
          <w:szCs w:val="20"/>
          <w:color w:val="auto"/>
        </w:rPr>
      </w:pPr>
    </w:p>
    <w:p>
      <w:pPr>
        <w:sectPr>
          <w:pgSz w:w="11900" w:h="16838" w:orient="portrait"/>
          <w:cols w:equalWidth="0" w:num="2">
            <w:col w:w="1760" w:space="460"/>
            <w:col w:w="8740"/>
          </w:cols>
          <w:pgMar w:left="440" w:top="8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[Year]</w:t>
      </w:r>
    </w:p>
    <w:p>
      <w:pPr>
        <w:sectPr>
          <w:pgSz w:w="11900" w:h="16838" w:orient="portrait"/>
          <w:cols w:equalWidth="0" w:num="1">
            <w:col w:w="10960"/>
          </w:cols>
          <w:pgMar w:left="440" w:top="860" w:right="499"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SCOPE AND TECHNICAL CONTENT OF R&amp;D ACTIVITIES</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Developer shall perform the R&amp;D Activities as described in relevant sections in Clause 1 above.</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color w:val="auto"/>
        </w:rPr>
        <w:t>The R&amp;D Activities shall be ready for acceptance by Company within the timeframe as understood between the parties.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Estimated R&amp;D FEE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Incurred Costs amount related to project </w:t>
      </w:r>
      <w:r>
        <w:rPr>
          <w:rFonts w:ascii="Times New Roman" w:cs="Times New Roman" w:eastAsia="Times New Roman" w:hAnsi="Times New Roman"/>
          <w:sz w:val="17"/>
          <w:szCs w:val="17"/>
          <w:b w:val="1"/>
          <w:bCs w:val="1"/>
          <w:color w:val="auto"/>
        </w:rPr>
        <w:t>______________</w:t>
      </w:r>
      <w:r>
        <w:rPr>
          <w:rFonts w:ascii="Times New Roman" w:cs="Times New Roman" w:eastAsia="Times New Roman" w:hAnsi="Times New Roman"/>
          <w:sz w:val="17"/>
          <w:szCs w:val="17"/>
          <w:color w:val="auto"/>
        </w:rPr>
        <w:t xml:space="preserve"> for the period from </w:t>
      </w:r>
      <w:r>
        <w:rPr>
          <w:rFonts w:ascii="Times New Roman" w:cs="Times New Roman" w:eastAsia="Times New Roman" w:hAnsi="Times New Roman"/>
          <w:sz w:val="17"/>
          <w:szCs w:val="17"/>
          <w:b w:val="1"/>
          <w:bCs w:val="1"/>
          <w:color w:val="auto"/>
        </w:rPr>
        <w:t>______________</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______________</w:t>
      </w:r>
      <w:r>
        <w:rPr>
          <w:rFonts w:ascii="Times New Roman" w:cs="Times New Roman" w:eastAsia="Times New Roman" w:hAnsi="Times New Roman"/>
          <w:sz w:val="17"/>
          <w:szCs w:val="17"/>
          <w:color w:val="auto"/>
        </w:rPr>
        <w:t xml:space="preserve"> (the “Period”) are based on an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estimated required amount of ____ working hours and an hourly rate of </w:t>
      </w:r>
      <w:r>
        <w:rPr>
          <w:rFonts w:ascii="Times New Roman" w:cs="Times New Roman" w:eastAsia="Times New Roman" w:hAnsi="Times New Roman"/>
          <w:sz w:val="18"/>
          <w:szCs w:val="18"/>
          <w:b w:val="1"/>
          <w:bCs w:val="1"/>
          <w:color w:val="auto"/>
        </w:rPr>
        <w:t>___</w:t>
      </w:r>
      <w:r>
        <w:rPr>
          <w:rFonts w:ascii="Times New Roman" w:cs="Times New Roman" w:eastAsia="Times New Roman" w:hAnsi="Times New Roman"/>
          <w:sz w:val="18"/>
          <w:szCs w:val="18"/>
          <w:color w:val="auto"/>
        </w:rPr>
        <w:t xml:space="preserve"> SEK. It amounts to </w:t>
      </w:r>
      <w:r>
        <w:rPr>
          <w:rFonts w:ascii="Times New Roman" w:cs="Times New Roman" w:eastAsia="Times New Roman" w:hAnsi="Times New Roman"/>
          <w:sz w:val="18"/>
          <w:szCs w:val="18"/>
          <w:b w:val="1"/>
          <w:bCs w:val="1"/>
          <w:color w:val="auto"/>
        </w:rPr>
        <w:t>___________</w:t>
      </w:r>
      <w:r>
        <w:rPr>
          <w:rFonts w:ascii="Times New Roman" w:cs="Times New Roman" w:eastAsia="Times New Roman" w:hAnsi="Times New Roman"/>
          <w:sz w:val="18"/>
          <w:szCs w:val="18"/>
          <w:color w:val="auto"/>
        </w:rPr>
        <w:t xml:space="preserve"> SEK and is subject to a Mark-up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w:t>
      </w: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Costs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___________ </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EK</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Mark-up</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___________ </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EK</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Disbursement Costs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___________ </w:t>
            </w:r>
            <w:r>
              <w:rPr>
                <w:rFonts w:ascii="Times New Roman" w:cs="Times New Roman" w:eastAsia="Times New Roman" w:hAnsi="Times New Roman"/>
                <w:sz w:val="18"/>
                <w:szCs w:val="18"/>
                <w:color w:val="auto"/>
              </w:rPr>
              <w:t>SEK</w:t>
            </w:r>
          </w:p>
        </w:tc>
      </w:tr>
      <w:tr>
        <w:trPr>
          <w:trHeight w:val="365"/>
        </w:trPr>
        <w:tc>
          <w:tcPr>
            <w:tcW w:w="2560" w:type="dxa"/>
            <w:vAlign w:val="bottom"/>
          </w:tcPr>
          <w:p>
            <w:pPr>
              <w:spacing w:after="0"/>
              <w:rPr>
                <w:sz w:val="24"/>
                <w:szCs w:val="24"/>
                <w:color w:val="auto"/>
              </w:rPr>
            </w:pPr>
          </w:p>
        </w:tc>
        <w:tc>
          <w:tcPr>
            <w:tcW w:w="492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0960"/>
          </w:cols>
          <w:pgMar w:left="440" w:top="860" w:right="499" w:bottom="1440" w:gutter="0" w:footer="0" w:header="0"/>
          <w:type w:val="continuous"/>
        </w:sectPr>
      </w:pPr>
    </w:p>
    <w:bookmarkStart w:id="419" w:name="page420"/>
    <w:bookmarkEnd w:id="4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54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___________ </w:t>
            </w:r>
            <w:r>
              <w:rPr>
                <w:rFonts w:ascii="Times New Roman" w:cs="Times New Roman" w:eastAsia="Times New Roman" w:hAnsi="Times New Roman"/>
                <w:sz w:val="18"/>
                <w:szCs w:val="18"/>
                <w:color w:val="auto"/>
              </w:rPr>
              <w:t>SEK</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R&amp;D Fee</w:t>
            </w:r>
          </w:p>
        </w:tc>
        <w:tc>
          <w:tcPr>
            <w:tcW w:w="3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___________ SEK</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PAYMENT TERMS AND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Developer will invoice and Company shall remunerate the actual R&amp;D Fee according to Clause 12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shall be made by Company by transfer. Developer’s Bank information is currently as follows: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49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China Euro Vehicle Technology AB</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account</w:t>
            </w:r>
          </w:p>
        </w:tc>
        <w:tc>
          <w:tcPr>
            <w:tcW w:w="49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49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Swift code</w:t>
            </w:r>
          </w:p>
        </w:tc>
        <w:tc>
          <w:tcPr>
            <w:tcW w:w="49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 address</w:t>
            </w:r>
          </w:p>
        </w:tc>
        <w:tc>
          <w:tcPr>
            <w:tcW w:w="49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FINAL PROVISIONS</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terms and conditions of the Agreement shall apply to this Work Assignment Sheet unless explicitly stated otherwise.</w:t>
      </w:r>
    </w:p>
    <w:p>
      <w:pPr>
        <w:spacing w:after="0" w:line="131" w:lineRule="exact"/>
        <w:rPr>
          <w:sz w:val="20"/>
          <w:szCs w:val="20"/>
          <w:color w:val="auto"/>
        </w:rPr>
      </w:pPr>
    </w:p>
    <w:p>
      <w:pPr>
        <w:ind w:left="4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5.2</w:t>
        <w:tab/>
        <w:t>Should any provision of the Work Assignment Sheet be invalid, wholly or in part, this shall not affect the validity of the other provisions of the Work Assignment Sheet. Invalid provisions shall be replaced by valid provisions which accord most closely with the intended purpose of the provisions to be replaced.</w:t>
      </w:r>
    </w:p>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440" w:top="882" w:right="73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For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Polestar Performance AB</w:t>
      </w:r>
    </w:p>
    <w:p>
      <w:pPr>
        <w:sectPr>
          <w:pgSz w:w="11900" w:h="16838" w:orient="portrait"/>
          <w:cols w:equalWidth="0" w:num="1">
            <w:col w:w="10019"/>
          </w:cols>
          <w:pgMar w:left="440" w:top="864" w:right="1440"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[Name]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[Place]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[Name]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[Place]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5020" w:space="720"/>
            <w:col w:w="4279"/>
          </w:cols>
          <w:pgMar w:left="440" w:top="864" w:right="1440"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Developer: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 Euro Vehicle Technology AB</w:t>
      </w:r>
    </w:p>
    <w:p>
      <w:pPr>
        <w:sectPr>
          <w:pgSz w:w="11900" w:h="16838" w:orient="portrait"/>
          <w:cols w:equalWidth="0" w:num="1">
            <w:col w:w="10019"/>
          </w:cols>
          <w:pgMar w:left="440" w:top="864" w:right="1440"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[Name]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Gothenburg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[Name]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Gothenburg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71" w:lineRule="exact"/>
        <w:rPr>
          <w:sz w:val="20"/>
          <w:szCs w:val="20"/>
          <w:color w:val="auto"/>
        </w:rPr>
      </w:pPr>
    </w:p>
    <w:p>
      <w:pPr>
        <w:sectPr>
          <w:pgSz w:w="11900" w:h="16838" w:orient="portrait"/>
          <w:cols w:equalWidth="0" w:num="2">
            <w:col w:w="5020" w:space="720"/>
            <w:col w:w="4279"/>
          </w:cols>
          <w:pgMar w:left="440" w:top="864" w:right="1440" w:bottom="1440" w:gutter="0" w:footer="0" w:header="0"/>
          <w:type w:val="continuous"/>
        </w:sect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19"/>
          </w:cols>
          <w:pgMar w:left="440" w:top="864" w:right="1440" w:bottom="1440" w:gutter="0" w:footer="0" w:header="0"/>
          <w:type w:val="continuous"/>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183515</wp:posOffset>
            </wp:positionV>
            <wp:extent cx="1106170" cy="283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83210"/>
                    </a:xfrm>
                    <a:prstGeom prst="rect">
                      <a:avLst/>
                    </a:prstGeom>
                    <a:noFill/>
                  </pic:spPr>
                </pic:pic>
              </a:graphicData>
            </a:graphic>
          </wp:anchor>
        </w:drawing>
        <w:t>APPENDIX B – NON DISCLOSURE AGREEMENT (NDA)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19"/>
          </w:cols>
          <w:pgMar w:left="440" w:top="860" w:right="1440" w:bottom="1440" w:gutter="0" w:footer="0" w:header="0"/>
        </w:sectPr>
      </w:pPr>
    </w:p>
    <w:bookmarkStart w:id="422" w:name="page423"/>
    <w:bookmarkEnd w:id="422"/>
    <w:p>
      <w:pPr>
        <w:ind w:left="10004"/>
        <w:spacing w:after="0"/>
        <w:rPr>
          <w:sz w:val="20"/>
          <w:szCs w:val="20"/>
          <w:color w:val="auto"/>
        </w:rPr>
      </w:pPr>
      <w:r>
        <w:rPr>
          <w:rFonts w:ascii="Times New Roman" w:cs="Times New Roman" w:eastAsia="Times New Roman" w:hAnsi="Times New Roman"/>
          <w:sz w:val="17"/>
          <w:szCs w:val="17"/>
          <w:b w:val="1"/>
          <w:bCs w:val="1"/>
          <w:color w:val="auto"/>
        </w:rPr>
        <w:t>Exhibit 10.92</w:t>
      </w:r>
    </w:p>
    <w:p>
      <w:pPr>
        <w:spacing w:after="0" w:line="241"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SERVICE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MAIN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Project: PS2 Running Change Support</w:t>
      </w:r>
    </w:p>
    <w:p>
      <w:pPr>
        <w:spacing w:after="0" w:line="117" w:lineRule="exact"/>
        <w:rPr>
          <w:sz w:val="20"/>
          <w:szCs w:val="20"/>
          <w:color w:val="auto"/>
        </w:rPr>
      </w:pPr>
    </w:p>
    <w:p>
      <w:pPr>
        <w:ind w:left="4" w:right="920"/>
        <w:spacing w:after="0" w:line="282" w:lineRule="auto"/>
        <w:rPr>
          <w:sz w:val="20"/>
          <w:szCs w:val="20"/>
          <w:color w:val="auto"/>
        </w:rPr>
      </w:pPr>
      <w:r>
        <w:rPr>
          <w:rFonts w:ascii="Times New Roman" w:cs="Times New Roman" w:eastAsia="Times New Roman" w:hAnsi="Times New Roman"/>
          <w:sz w:val="18"/>
          <w:szCs w:val="18"/>
          <w:color w:val="auto"/>
        </w:rPr>
        <w:t>Short description of activities under this Service Agreement: The Service Provider is requested to support the Purchaser with Manufacturing Engineering services for Running Change Program upgrades of the Polestar 2 vehicle.</w:t>
      </w:r>
    </w:p>
    <w:p>
      <w:pPr>
        <w:spacing w:after="0" w:line="162"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This Service Agreement is between Zhongjia Automobile Manufacturing (Chengdu) CO., Ltd., Reg. No. 1510112562005858U, a corporation organized and existing under the laws of China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and Polestar Automotive China Distribution Co. Ltd., Reg. No. 91331001MA2DYEJ4XH, a corporation organized and existing under the laws of China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Service Provider and Purchaser is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jointly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35" w:lineRule="exact"/>
        <w:rPr>
          <w:sz w:val="20"/>
          <w:szCs w:val="20"/>
          <w:color w:val="auto"/>
        </w:rPr>
      </w:pPr>
    </w:p>
    <w:p>
      <w:pPr>
        <w:ind w:left="884" w:right="100" w:hanging="884"/>
        <w:spacing w:after="0" w:line="266" w:lineRule="auto"/>
        <w:tabs>
          <w:tab w:leader="none" w:pos="8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884" w:right="60" w:hanging="884"/>
        <w:spacing w:after="0" w:line="282" w:lineRule="auto"/>
        <w:tabs>
          <w:tab w:leader="none" w:pos="8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now wishes to enter into this Service Agreement for the purpose of receiving the Services and Service Provider wishes to provide the Services in accordance with the terms set forth in this Service Agreement.</w:t>
      </w:r>
    </w:p>
    <w:p>
      <w:pPr>
        <w:spacing w:after="0" w:line="67"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foregoing, the Parties have agreed to execute this Service Agreement.</w:t>
      </w:r>
    </w:p>
    <w:p>
      <w:pPr>
        <w:spacing w:after="0" w:line="32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31" w:lineRule="exact"/>
        <w:rPr>
          <w:sz w:val="20"/>
          <w:szCs w:val="20"/>
          <w:color w:val="auto"/>
        </w:rPr>
      </w:pPr>
    </w:p>
    <w:p>
      <w:pPr>
        <w:ind w:left="884" w:hanging="884"/>
        <w:spacing w:after="0"/>
        <w:tabs>
          <w:tab w:leader="none" w:pos="884"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1.1</w:t>
            </w:r>
          </w:p>
        </w:tc>
        <w:tc>
          <w:tcPr>
            <w:tcW w:w="10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This Service Agreement consists of this main document (the “</w:t>
            </w:r>
            <w:r>
              <w:rPr>
                <w:rFonts w:ascii="Times New Roman" w:cs="Times New Roman" w:eastAsia="Times New Roman" w:hAnsi="Times New Roman"/>
                <w:sz w:val="18"/>
                <w:szCs w:val="18"/>
                <w:b w:val="1"/>
                <w:bCs w:val="1"/>
                <w:color w:val="auto"/>
              </w:rPr>
              <w:t>Main Document</w:t>
            </w:r>
            <w:r>
              <w:rPr>
                <w:rFonts w:ascii="Times New Roman" w:cs="Times New Roman" w:eastAsia="Times New Roman" w:hAnsi="Times New Roman"/>
                <w:sz w:val="18"/>
                <w:szCs w:val="18"/>
                <w:color w:val="auto"/>
              </w:rPr>
              <w:t>”) and its appendices. This Main Document sets out the</w:t>
            </w:r>
          </w:p>
        </w:tc>
      </w:tr>
      <w:tr>
        <w:trPr>
          <w:trHeight w:val="194"/>
        </w:trPr>
        <w:tc>
          <w:tcPr>
            <w:tcW w:w="540" w:type="dxa"/>
            <w:vAlign w:val="bottom"/>
          </w:tcPr>
          <w:p>
            <w:pPr>
              <w:spacing w:after="0"/>
              <w:rPr>
                <w:sz w:val="16"/>
                <w:szCs w:val="16"/>
                <w:color w:val="auto"/>
              </w:rPr>
            </w:pPr>
          </w:p>
        </w:tc>
        <w:tc>
          <w:tcPr>
            <w:tcW w:w="1042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auto"/>
                <w:w w:val="99"/>
              </w:rPr>
              <w:t>specific terms in respect of the provision of the Services, whereas Appendix 2 sets out certain general terms and conditions applicable to the</w:t>
            </w:r>
          </w:p>
        </w:tc>
      </w:tr>
      <w:tr>
        <w:trPr>
          <w:trHeight w:val="20"/>
        </w:trPr>
        <w:tc>
          <w:tcPr>
            <w:tcW w:w="5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0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Parties’ rights, obligations and the performance of the Parties’ activities hereunder (the “</w:t>
            </w:r>
            <w:r>
              <w:rPr>
                <w:rFonts w:ascii="Times New Roman" w:cs="Times New Roman" w:eastAsia="Times New Roman" w:hAnsi="Times New Roman"/>
                <w:sz w:val="18"/>
                <w:szCs w:val="18"/>
                <w:b w:val="1"/>
                <w:bCs w:val="1"/>
                <w:color w:val="auto"/>
              </w:rPr>
              <w:t>General Terms</w:t>
            </w:r>
            <w:r>
              <w:rPr>
                <w:rFonts w:ascii="Times New Roman" w:cs="Times New Roman" w:eastAsia="Times New Roman" w:hAnsi="Times New Roman"/>
                <w:sz w:val="18"/>
                <w:szCs w:val="18"/>
                <w:color w:val="auto"/>
              </w:rPr>
              <w: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1.2</w:t>
            </w:r>
          </w:p>
        </w:tc>
        <w:tc>
          <w:tcPr>
            <w:tcW w:w="10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 capitalized terms used, but not specifically defined in this Main Document, shall have the meaning ascribed to them in the General</w:t>
            </w:r>
          </w:p>
        </w:tc>
      </w:tr>
      <w:tr>
        <w:trPr>
          <w:trHeight w:val="234"/>
        </w:trPr>
        <w:tc>
          <w:tcPr>
            <w:tcW w:w="540" w:type="dxa"/>
            <w:vAlign w:val="bottom"/>
          </w:tcPr>
          <w:p>
            <w:pPr>
              <w:spacing w:after="0"/>
              <w:rPr>
                <w:sz w:val="20"/>
                <w:szCs w:val="20"/>
                <w:color w:val="auto"/>
              </w:rPr>
            </w:pPr>
          </w:p>
        </w:tc>
        <w:tc>
          <w:tcPr>
            <w:tcW w:w="10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Terms.</w:t>
            </w:r>
          </w:p>
        </w:tc>
      </w:tr>
      <w:tr>
        <w:trPr>
          <w:trHeight w:val="365"/>
        </w:trPr>
        <w:tc>
          <w:tcPr>
            <w:tcW w:w="540" w:type="dxa"/>
            <w:vAlign w:val="bottom"/>
          </w:tcPr>
          <w:p>
            <w:pPr>
              <w:spacing w:after="0"/>
              <w:rPr>
                <w:sz w:val="24"/>
                <w:szCs w:val="24"/>
                <w:color w:val="auto"/>
              </w:rPr>
            </w:pPr>
          </w:p>
        </w:tc>
        <w:tc>
          <w:tcPr>
            <w:tcW w:w="51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024"/>
          </w:cols>
          <w:pgMar w:left="436" w:top="117" w:right="439" w:bottom="1440" w:gutter="0" w:footer="0" w:header="0"/>
        </w:sectPr>
      </w:pPr>
    </w:p>
    <w:bookmarkStart w:id="423" w:name="page424"/>
    <w:bookmarkEnd w:id="423"/>
    <w:p>
      <w:pPr>
        <w:ind w:left="884" w:hanging="884"/>
        <w:spacing w:after="0"/>
        <w:tabs>
          <w:tab w:leader="none" w:pos="88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SPECIFICATION</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 xml:space="preserve">The Parties have agreed upon the scope and specification for the Services as specified in the Service Specification in </w:t>
      </w:r>
      <w:r>
        <w:rPr>
          <w:rFonts w:ascii="Times New Roman" w:cs="Times New Roman" w:eastAsia="Times New Roman" w:hAnsi="Times New Roman"/>
          <w:sz w:val="17"/>
          <w:szCs w:val="17"/>
          <w:u w:val="single" w:color="auto"/>
          <w:color w:val="auto"/>
        </w:rPr>
        <w:t>Appendix 1</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ind w:left="884" w:hanging="884"/>
        <w:spacing w:after="0"/>
        <w:tabs>
          <w:tab w:leader="none" w:pos="884"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AFFILIATE</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Affiliate shall for the purpose of this Service Agreement have the following meaning:</w:t>
      </w:r>
    </w:p>
    <w:p>
      <w:pPr>
        <w:spacing w:after="0" w:line="113" w:lineRule="exact"/>
        <w:rPr>
          <w:sz w:val="20"/>
          <w:szCs w:val="20"/>
          <w:color w:val="auto"/>
        </w:rPr>
      </w:pPr>
    </w:p>
    <w:p>
      <w:pPr>
        <w:ind w:left="884" w:right="1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other legal entity that, directly or indirectly, is controlled by or is under common control with Zhongjia Automobile Manufacturing (Chengdu) Co., Ltd. or Polestar Automotive China Distribution Co. Ltd.;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w:t>
      </w:r>
    </w:p>
    <w:p>
      <w:pPr>
        <w:spacing w:after="0" w:line="328" w:lineRule="exact"/>
        <w:rPr>
          <w:sz w:val="20"/>
          <w:szCs w:val="20"/>
          <w:color w:val="auto"/>
        </w:rPr>
      </w:pPr>
    </w:p>
    <w:p>
      <w:pPr>
        <w:ind w:left="884" w:hanging="884"/>
        <w:spacing w:after="0"/>
        <w:tabs>
          <w:tab w:leader="none" w:pos="884"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Parties agree that the Service Provider shall be the exclusive owner of all Results (as defined in the General Terms in Appendix 2)</w:t>
            </w:r>
          </w:p>
        </w:tc>
      </w:tr>
      <w:tr>
        <w:trPr>
          <w:trHeight w:val="216"/>
        </w:trPr>
        <w:tc>
          <w:tcPr>
            <w:tcW w:w="5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developed through the performance of the Services in accordance with what is set forth in Section 4.2.1 in the General Terms and shall thus</w:t>
            </w:r>
          </w:p>
        </w:tc>
      </w:tr>
      <w:tr>
        <w:trPr>
          <w:trHeight w:val="234"/>
        </w:trPr>
        <w:tc>
          <w:tcPr>
            <w:tcW w:w="5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 deemed the Results Owner (as defined in the General Terms in Appendix 2).</w:t>
            </w:r>
          </w:p>
        </w:tc>
      </w:tr>
    </w:tbl>
    <w:p>
      <w:pPr>
        <w:spacing w:after="0" w:line="342" w:lineRule="exact"/>
        <w:rPr>
          <w:sz w:val="20"/>
          <w:szCs w:val="20"/>
          <w:color w:val="auto"/>
        </w:rPr>
      </w:pPr>
    </w:p>
    <w:p>
      <w:pPr>
        <w:ind w:left="884" w:hanging="884"/>
        <w:spacing w:after="0"/>
        <w:tabs>
          <w:tab w:leader="none" w:pos="884"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CHARGES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5.1</w:t>
            </w: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 consideration of Service Provider’s performance of the Services under this Service Agreement, Purchaser shall pay to Service Provider</w:t>
            </w:r>
          </w:p>
        </w:tc>
      </w:tr>
      <w:tr>
        <w:trPr>
          <w:trHeight w:val="238"/>
        </w:trPr>
        <w:tc>
          <w:tcPr>
            <w:tcW w:w="540" w:type="dxa"/>
            <w:vAlign w:val="bottom"/>
          </w:tcPr>
          <w:p>
            <w:pPr>
              <w:spacing w:after="0"/>
              <w:rPr>
                <w:sz w:val="20"/>
                <w:szCs w:val="20"/>
                <w:color w:val="auto"/>
              </w:rPr>
            </w:pP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service charges as further described below (the “</w:t>
            </w:r>
            <w:r>
              <w:rPr>
                <w:rFonts w:ascii="Times New Roman" w:cs="Times New Roman" w:eastAsia="Times New Roman" w:hAnsi="Times New Roman"/>
                <w:sz w:val="18"/>
                <w:szCs w:val="18"/>
                <w:b w:val="1"/>
                <w:bCs w:val="1"/>
                <w:color w:val="auto"/>
              </w:rPr>
              <w:t>Service Charges</w:t>
            </w:r>
            <w:r>
              <w:rPr>
                <w:rFonts w:ascii="Times New Roman" w:cs="Times New Roman" w:eastAsia="Times New Roman" w:hAnsi="Times New Roman"/>
                <w:sz w:val="18"/>
                <w:szCs w:val="18"/>
                <w:color w:val="auto"/>
              </w:rPr>
              <w: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5.2</w:t>
            </w: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Service Charges for the Services will be based on the actual hours required for the Services to be performed by Service Provider as set</w:t>
            </w:r>
          </w:p>
        </w:tc>
      </w:tr>
      <w:tr>
        <w:trPr>
          <w:trHeight w:val="194"/>
        </w:trPr>
        <w:tc>
          <w:tcPr>
            <w:tcW w:w="540" w:type="dxa"/>
            <w:vAlign w:val="bottom"/>
          </w:tcPr>
          <w:p>
            <w:pPr>
              <w:spacing w:after="0"/>
              <w:rPr>
                <w:sz w:val="16"/>
                <w:szCs w:val="16"/>
                <w:color w:val="auto"/>
              </w:rPr>
            </w:pPr>
          </w:p>
        </w:tc>
        <w:tc>
          <w:tcPr>
            <w:tcW w:w="1038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auto"/>
                <w:w w:val="99"/>
              </w:rPr>
              <w:t>forth in the Service Specification in Appendix 1 and the hourly rates as set forth in Appendix 3. The Parties acknowledge that the estimated</w:t>
            </w:r>
          </w:p>
        </w:tc>
      </w:tr>
      <w:tr>
        <w:trPr>
          <w:trHeight w:val="20"/>
        </w:trPr>
        <w:tc>
          <w:tcPr>
            <w:tcW w:w="5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18"/>
        </w:trPr>
        <w:tc>
          <w:tcPr>
            <w:tcW w:w="54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Service Charges set forth in the Service Specification in Appendix 1 are based on an estimation of the amount of hours required for the</w:t>
            </w:r>
          </w:p>
        </w:tc>
      </w:tr>
      <w:tr>
        <w:trPr>
          <w:trHeight w:val="216"/>
        </w:trPr>
        <w:tc>
          <w:tcPr>
            <w:tcW w:w="54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performance of the Services and that this estimation may differ from the final actual number of hours charged by Service Provider. Hence,</w:t>
            </w:r>
          </w:p>
        </w:tc>
      </w:tr>
      <w:tr>
        <w:trPr>
          <w:trHeight w:val="234"/>
        </w:trPr>
        <w:tc>
          <w:tcPr>
            <w:tcW w:w="540" w:type="dxa"/>
            <w:vAlign w:val="bottom"/>
          </w:tcPr>
          <w:p>
            <w:pPr>
              <w:spacing w:after="0"/>
              <w:rPr>
                <w:sz w:val="20"/>
                <w:szCs w:val="20"/>
                <w:color w:val="auto"/>
              </w:rPr>
            </w:pP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Service Charges will ultimately be invoiced based on actual hours, not on estimated hours.</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5.3</w:t>
            </w: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Service Charges shall be paid in the currency: CNY.</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5.4</w:t>
            </w: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hourly rates that are used to calculate the Service Charges shall be determined by Service Provider on an annual basis in compliance</w:t>
            </w:r>
          </w:p>
        </w:tc>
      </w:tr>
      <w:tr>
        <w:trPr>
          <w:trHeight w:val="234"/>
        </w:trPr>
        <w:tc>
          <w:tcPr>
            <w:tcW w:w="540" w:type="dxa"/>
            <w:vAlign w:val="bottom"/>
          </w:tcPr>
          <w:p>
            <w:pPr>
              <w:spacing w:after="0"/>
              <w:rPr>
                <w:sz w:val="20"/>
                <w:szCs w:val="20"/>
                <w:color w:val="auto"/>
              </w:rPr>
            </w:pP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with applicable tax legislation, including but not limited to the principle of “arm’s length distance” between the Parties. The hourly rates</w:t>
            </w:r>
          </w:p>
        </w:tc>
      </w:tr>
    </w:tbl>
    <w:p>
      <w:pPr>
        <w:ind w:left="884"/>
        <w:spacing w:after="0" w:line="260" w:lineRule="auto"/>
        <w:rPr>
          <w:sz w:val="20"/>
          <w:szCs w:val="20"/>
          <w:color w:val="auto"/>
        </w:rPr>
      </w:pPr>
      <w:r>
        <w:rPr>
          <w:rFonts w:ascii="Times New Roman" w:cs="Times New Roman" w:eastAsia="Times New Roman" w:hAnsi="Times New Roman"/>
          <w:sz w:val="18"/>
          <w:szCs w:val="18"/>
          <w:color w:val="auto"/>
        </w:rPr>
        <w:t xml:space="preserve">shall be calculated using the cost plus method,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full cost incurred plus an arm´s length mark-up. All costs Service Provider has in order to perform the Services shall be reimbursed by Purchaser.</w:t>
      </w:r>
    </w:p>
    <w:p>
      <w:pPr>
        <w:spacing w:after="0" w:line="326" w:lineRule="exact"/>
        <w:rPr>
          <w:sz w:val="20"/>
          <w:szCs w:val="20"/>
          <w:color w:val="auto"/>
        </w:rPr>
      </w:pPr>
    </w:p>
    <w:p>
      <w:pPr>
        <w:ind w:left="884" w:hanging="884"/>
        <w:spacing w:after="0"/>
        <w:tabs>
          <w:tab w:leader="none" w:pos="884"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6.1</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If Service Provider, pursuant to the General Terms, appoints its Affiliates and/or subcontractors to perform the Services under this Service</w:t>
            </w:r>
          </w:p>
        </w:tc>
      </w:tr>
      <w:tr>
        <w:trPr>
          <w:trHeight w:val="234"/>
        </w:trPr>
        <w:tc>
          <w:tcPr>
            <w:tcW w:w="5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Service Provider shall include the costs relating to such work in the invoices to Purchaser.</w:t>
            </w:r>
          </w:p>
        </w:tc>
      </w:tr>
      <w:tr>
        <w:trPr>
          <w:trHeight w:val="365"/>
        </w:trPr>
        <w:tc>
          <w:tcPr>
            <w:tcW w:w="540" w:type="dxa"/>
            <w:vAlign w:val="bottom"/>
          </w:tcPr>
          <w:p>
            <w:pPr>
              <w:spacing w:after="0"/>
              <w:rPr>
                <w:sz w:val="24"/>
                <w:szCs w:val="24"/>
                <w:color w:val="auto"/>
              </w:rPr>
            </w:pPr>
          </w:p>
        </w:tc>
        <w:tc>
          <w:tcPr>
            <w:tcW w:w="10260" w:type="dxa"/>
            <w:vAlign w:val="bottom"/>
          </w:tcPr>
          <w:p>
            <w:pPr>
              <w:jc w:val="right"/>
              <w:ind w:right="517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64"/>
          </w:cols>
          <w:pgMar w:left="436" w:top="266" w:right="499" w:bottom="1440" w:gutter="0" w:footer="0" w:header="0"/>
        </w:sectPr>
      </w:pPr>
    </w:p>
    <w:bookmarkStart w:id="424" w:name="page425"/>
    <w:bookmarkEnd w:id="4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actual Service Charges shall be invoiced on a monthly basis at the end of each month and paid by Purchaser in accordance with what is</w:t>
            </w:r>
          </w:p>
        </w:tc>
      </w:tr>
      <w:tr>
        <w:trPr>
          <w:trHeight w:val="234"/>
        </w:trPr>
        <w:tc>
          <w:tcPr>
            <w:tcW w:w="5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 out in the General Terms.</w:t>
            </w:r>
          </w:p>
        </w:tc>
      </w:tr>
    </w:tbl>
    <w:p>
      <w:pPr>
        <w:spacing w:after="0" w:line="342" w:lineRule="exact"/>
        <w:rPr>
          <w:sz w:val="20"/>
          <w:szCs w:val="20"/>
          <w:color w:val="auto"/>
        </w:rPr>
      </w:pPr>
    </w:p>
    <w:p>
      <w:pPr>
        <w:ind w:left="884" w:hanging="884"/>
        <w:spacing w:after="0"/>
        <w:tabs>
          <w:tab w:leader="none" w:pos="884"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FORUM</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Parties agree that governance in respect of this Service Agreement shall be handled in accordance with what is set out in the General</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in Appendix 2. When reference is made to a relevant governance forum, it shall for the purpose of this Service Agreement have the</w:t>
            </w:r>
          </w:p>
        </w:tc>
      </w:tr>
      <w:tr>
        <w:trPr>
          <w:trHeight w:val="234"/>
        </w:trPr>
        <w:tc>
          <w:tcPr>
            <w:tcW w:w="54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meaning set out below in this Section 7.</w:t>
            </w:r>
          </w:p>
        </w:tc>
      </w:tr>
      <w:tr>
        <w:trPr>
          <w:trHeight w:val="31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first level of governance forum for handling the co-operation between the Parties in various matters, handling management,</w:t>
            </w:r>
          </w:p>
        </w:tc>
      </w:tr>
      <w:tr>
        <w:trPr>
          <w:trHeight w:val="220"/>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prioritisation of development activities etc. under the Service Agreement shall be the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which regarding cooperation</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between Service Provider and Purchaser is the so called Volvo Polestar Executive M&amp;L Steering Committee. The Steering Committee shall</w:t>
            </w:r>
          </w:p>
        </w:tc>
      </w:tr>
      <w:tr>
        <w:trPr>
          <w:trHeight w:val="234"/>
        </w:trPr>
        <w:tc>
          <w:tcPr>
            <w:tcW w:w="54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 the first level of governance forum established by the Parties for handling the cooperation between them in respect of various matters.</w:t>
            </w:r>
          </w:p>
        </w:tc>
      </w:tr>
      <w:tr>
        <w:trPr>
          <w:trHeight w:val="31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higher level of governance forum, to which an issue shall be escalated if the Steering Committee fails to agree upon a solution shall be</w:t>
            </w:r>
          </w:p>
        </w:tc>
      </w:tr>
      <w:tr>
        <w:trPr>
          <w:trHeight w:val="220"/>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Strategic Board</w:t>
            </w:r>
            <w:r>
              <w:rPr>
                <w:rFonts w:ascii="Times New Roman" w:cs="Times New Roman" w:eastAsia="Times New Roman" w:hAnsi="Times New Roman"/>
                <w:sz w:val="18"/>
                <w:szCs w:val="18"/>
                <w:color w:val="auto"/>
              </w:rPr>
              <w:t>”, which regarding cooperation between Service Provider and Purchaser is the so called Volvo Polestar Executive</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Meeting. The Strategic Board shall be the highest level of governance forum established by the Parties for handling the cooperation between</w:t>
            </w:r>
          </w:p>
        </w:tc>
      </w:tr>
      <w:tr>
        <w:trPr>
          <w:trHeight w:val="234"/>
        </w:trPr>
        <w:tc>
          <w:tcPr>
            <w:tcW w:w="54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them in respect of various matters.</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TERRITORY</w:t>
            </w: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purposes of this Service Agreement, the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shall mean all countries in the world.</w:t>
            </w:r>
          </w:p>
        </w:tc>
      </w:tr>
    </w:tbl>
    <w:p>
      <w:pPr>
        <w:spacing w:after="0" w:line="342" w:lineRule="exact"/>
        <w:rPr>
          <w:sz w:val="20"/>
          <w:szCs w:val="20"/>
          <w:color w:val="auto"/>
        </w:rPr>
      </w:pPr>
    </w:p>
    <w:p>
      <w:pPr>
        <w:ind w:left="884" w:hanging="884"/>
        <w:spacing w:after="0"/>
        <w:tabs>
          <w:tab w:leader="none" w:pos="884"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TEMPLATE FINANCIAL REPORTING</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9.1</w:t>
            </w:r>
          </w:p>
        </w:tc>
        <w:tc>
          <w:tcPr>
            <w:tcW w:w="10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The Parties agree that the basis for calculating the Service Charges shall be transparent and auditable to Purchaser and be done based on the</w:t>
            </w:r>
          </w:p>
        </w:tc>
      </w:tr>
      <w:tr>
        <w:trPr>
          <w:trHeight w:val="194"/>
        </w:trPr>
        <w:tc>
          <w:tcPr>
            <w:tcW w:w="540" w:type="dxa"/>
            <w:vAlign w:val="bottom"/>
          </w:tcPr>
          <w:p>
            <w:pPr>
              <w:spacing w:after="0"/>
              <w:rPr>
                <w:sz w:val="16"/>
                <w:szCs w:val="16"/>
                <w:color w:val="auto"/>
              </w:rPr>
            </w:pPr>
          </w:p>
        </w:tc>
        <w:tc>
          <w:tcPr>
            <w:tcW w:w="1038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auto"/>
              </w:rPr>
              <w:t>template attached as Appendix 4.</w:t>
            </w:r>
          </w:p>
        </w:tc>
      </w:tr>
      <w:tr>
        <w:trPr>
          <w:trHeight w:val="20"/>
        </w:trPr>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369" w:lineRule="exact"/>
        <w:rPr>
          <w:sz w:val="20"/>
          <w:szCs w:val="20"/>
          <w:color w:val="auto"/>
        </w:rPr>
      </w:pPr>
    </w:p>
    <w:p>
      <w:pPr>
        <w:ind w:left="884" w:hanging="884"/>
        <w:spacing w:after="0"/>
        <w:tabs>
          <w:tab w:leader="none" w:pos="884"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ORDER OF PRIORITY</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In the event there are any contradictions or inconsistencies between the terms of this Main Document and any of the Appendices hereto, the</w:t>
      </w:r>
    </w:p>
    <w:p>
      <w:pPr>
        <w:spacing w:after="0" w:line="2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Parties agree that the following order of priority shall apply:</w:t>
      </w:r>
    </w:p>
    <w:p>
      <w:pPr>
        <w:spacing w:after="0" w:line="112" w:lineRule="exact"/>
        <w:rPr>
          <w:sz w:val="20"/>
          <w:szCs w:val="20"/>
          <w:color w:val="auto"/>
        </w:rPr>
      </w:pPr>
    </w:p>
    <w:p>
      <w:pPr>
        <w:ind w:left="1964" w:hanging="655"/>
        <w:spacing w:after="0"/>
        <w:tabs>
          <w:tab w:leader="none" w:pos="1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Main Document</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2, General Terms – Service Agreement</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1, Service Specification</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3, Hourly Rates</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4, Template Financial Reporting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25" w:name="page426"/>
    <w:bookmarkEnd w:id="425"/>
    <w:p>
      <w:pPr>
        <w:ind w:left="884" w:hanging="884"/>
        <w:spacing w:after="0"/>
        <w:tabs>
          <w:tab w:leader="none" w:pos="884"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All notices, demands, requests and other communications to any Party as set forth in, or in any way relating to the subject matter of, this</w:t>
      </w:r>
    </w:p>
    <w:p>
      <w:pPr>
        <w:spacing w:after="0" w:line="2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7"/>
          <w:szCs w:val="17"/>
          <w:color w:val="auto"/>
        </w:rPr>
        <w:t>Service Agreement shall be sent to the following addresses and shall otherwise be sent in accordance with the terms in the General Terms:</w:t>
      </w:r>
    </w:p>
    <w:p>
      <w:pPr>
        <w:spacing w:after="0" w:line="124" w:lineRule="exact"/>
        <w:rPr>
          <w:sz w:val="20"/>
          <w:szCs w:val="20"/>
          <w:color w:val="auto"/>
        </w:rPr>
      </w:pPr>
    </w:p>
    <w:p>
      <w:pPr>
        <w:ind w:left="1964" w:hanging="655"/>
        <w:spacing w:after="0"/>
        <w:tabs>
          <w:tab w:leader="none" w:pos="1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Provider:</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Dept. 50090 HBS3</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405 31 Gothenburg, Sweden</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w:t>
      </w:r>
    </w:p>
    <w:p>
      <w:pPr>
        <w:spacing w:after="0" w:line="112" w:lineRule="exact"/>
        <w:rPr>
          <w:sz w:val="20"/>
          <w:szCs w:val="20"/>
          <w:color w:val="auto"/>
        </w:rPr>
      </w:pPr>
    </w:p>
    <w:p>
      <w:pPr>
        <w:ind w:left="1964" w:hanging="655"/>
        <w:spacing w:after="0"/>
        <w:tabs>
          <w:tab w:leader="none" w:pos="1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Polestar Automotive China Distribution Co. Ltd.</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1280 Tiangong Avenue</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Xinxing Neighborhood</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Tianfu New District</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610000g</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Polestar Performance AB</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405 31 Gothenburg Sweden</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228600</wp:posOffset>
            </wp:positionV>
            <wp:extent cx="168021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1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4"/>
          </w:cols>
          <w:pgMar w:left="436" w:top="266" w:right="6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Service Agreement has been signed in 2 originals, of which the Parties have received 1 each.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ZHONGJIA AUTOMOBILE MANUFACTURING (CHENGDU)</w:t>
            </w:r>
          </w:p>
        </w:tc>
        <w:tc>
          <w:tcPr>
            <w:tcW w:w="5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POLESTAR AUTOMOTIVE CHINA DISTRIBUTION CO. LTD.</w:t>
            </w:r>
          </w:p>
        </w:tc>
      </w:tr>
      <w:tr>
        <w:trPr>
          <w:trHeight w:val="391"/>
        </w:trPr>
        <w:tc>
          <w:tcPr>
            <w:tcW w:w="5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Yuan Xiaolin</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5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Printed Name: Yuan Xiaolin</w:t>
            </w:r>
          </w:p>
        </w:tc>
        <w:tc>
          <w:tcPr>
            <w:tcW w:w="54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Printed Name: Nathan Forshaw</w:t>
            </w:r>
          </w:p>
        </w:tc>
      </w:tr>
      <w:tr>
        <w:trPr>
          <w:trHeight w:val="194"/>
        </w:trPr>
        <w:tc>
          <w:tcPr>
            <w:tcW w:w="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3380" w:type="dxa"/>
            <w:vAlign w:val="bottom"/>
            <w:tcBorders>
              <w:bottom w:val="single" w:sz="8" w:color="auto"/>
            </w:tcBorders>
            <w:gridSpan w:val="5"/>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5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2022-7-4</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2022-7-4</w:t>
            </w:r>
          </w:p>
        </w:tc>
        <w:tc>
          <w:tcPr>
            <w:tcW w:w="460" w:type="dxa"/>
            <w:vAlign w:val="bottom"/>
          </w:tcPr>
          <w:p>
            <w:pPr>
              <w:spacing w:after="0"/>
              <w:rPr>
                <w:sz w:val="20"/>
                <w:szCs w:val="20"/>
                <w:color w:val="auto"/>
              </w:rPr>
            </w:pPr>
          </w:p>
        </w:tc>
      </w:tr>
      <w:tr>
        <w:trPr>
          <w:trHeight w:val="391"/>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Borders>
              <w:bottom w:val="single" w:sz="8" w:color="auto"/>
            </w:tcBorders>
            <w:gridSpan w:val="2"/>
          </w:tcPr>
          <w:p>
            <w:pPr>
              <w:spacing w:after="0"/>
              <w:rPr>
                <w:sz w:val="24"/>
                <w:szCs w:val="24"/>
                <w:color w:val="auto"/>
              </w:rPr>
            </w:pPr>
          </w:p>
        </w:tc>
        <w:tc>
          <w:tcPr>
            <w:tcW w:w="1480" w:type="dxa"/>
            <w:vAlign w:val="bottom"/>
            <w:gridSpan w:val="3"/>
          </w:tcPr>
          <w:p>
            <w:pPr>
              <w:spacing w:after="0"/>
              <w:rPr>
                <w:sz w:val="24"/>
                <w:szCs w:val="24"/>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Printed Name:</w:t>
            </w:r>
          </w:p>
        </w:tc>
        <w:tc>
          <w:tcPr>
            <w:tcW w:w="2700" w:type="dxa"/>
            <w:vAlign w:val="bottom"/>
            <w:tcBorders>
              <w:bottom w:val="single" w:sz="8" w:color="auto"/>
            </w:tcBorders>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480" w:type="dxa"/>
            <w:vAlign w:val="bottom"/>
            <w:gridSpan w:val="3"/>
          </w:tcPr>
          <w:p>
            <w:pPr>
              <w:ind w:left="380"/>
              <w:spacing w:after="0" w:line="196" w:lineRule="exact"/>
              <w:rPr>
                <w:sz w:val="20"/>
                <w:szCs w:val="20"/>
                <w:color w:val="auto"/>
              </w:rPr>
            </w:pPr>
            <w:r>
              <w:rPr>
                <w:rFonts w:ascii="Times New Roman" w:cs="Times New Roman" w:eastAsia="Times New Roman" w:hAnsi="Times New Roman"/>
                <w:sz w:val="18"/>
                <w:szCs w:val="18"/>
                <w:color w:val="auto"/>
              </w:rPr>
              <w:t>Printed Name:</w:t>
            </w:r>
          </w:p>
        </w:tc>
        <w:tc>
          <w:tcPr>
            <w:tcW w:w="35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3200" w:type="dxa"/>
            <w:vAlign w:val="bottom"/>
            <w:tcBorders>
              <w:bottom w:val="single" w:sz="8" w:color="auto"/>
            </w:tcBorders>
            <w:gridSpan w:val="2"/>
          </w:tcPr>
          <w:p>
            <w:pPr>
              <w:spacing w:after="0"/>
              <w:rPr>
                <w:sz w:val="17"/>
                <w:szCs w:val="17"/>
                <w:color w:val="auto"/>
              </w:rPr>
            </w:pPr>
          </w:p>
        </w:tc>
        <w:tc>
          <w:tcPr>
            <w:tcW w:w="1480" w:type="dxa"/>
            <w:vAlign w:val="bottom"/>
            <w:gridSpan w:val="3"/>
          </w:tcPr>
          <w:p>
            <w:pPr>
              <w:spacing w:after="0"/>
              <w:rPr>
                <w:sz w:val="17"/>
                <w:szCs w:val="17"/>
                <w:color w:val="auto"/>
              </w:rPr>
            </w:pPr>
          </w:p>
        </w:tc>
        <w:tc>
          <w:tcPr>
            <w:tcW w:w="86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5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86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85"/>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720"/>
          </w:cols>
          <w:pgMar w:left="440" w:top="270" w:right="739" w:bottom="1440" w:gutter="0" w:footer="0" w:header="0"/>
        </w:sectPr>
      </w:pPr>
    </w:p>
    <w:bookmarkStart w:id="427" w:name="page428"/>
    <w:bookmarkEnd w:id="42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SERVICE SPECIFICATION</w:t>
      </w:r>
    </w:p>
    <w:p>
      <w:pPr>
        <w:spacing w:after="0" w:line="230" w:lineRule="exact"/>
        <w:rPr>
          <w:sz w:val="20"/>
          <w:szCs w:val="20"/>
          <w:color w:val="auto"/>
        </w:rPr>
      </w:pPr>
    </w:p>
    <w:p>
      <w:pPr>
        <w:ind w:left="884" w:hanging="884"/>
        <w:spacing w:after="0"/>
        <w:tabs>
          <w:tab w:leader="none" w:pos="88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1.1</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Service Specification is a part of the Service Agreement executed between Service Provider and Purchaser. This Service Specification</w:t>
            </w:r>
          </w:p>
        </w:tc>
      </w:tr>
      <w:tr>
        <w:trPr>
          <w:trHeight w:val="216"/>
        </w:trPr>
        <w:tc>
          <w:tcPr>
            <w:tcW w:w="5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sets out the scope and the specification of the activities that shall be performed under the Service Agreement, the division of responsibilities</w:t>
            </w:r>
          </w:p>
        </w:tc>
      </w:tr>
      <w:tr>
        <w:trPr>
          <w:trHeight w:val="234"/>
        </w:trPr>
        <w:tc>
          <w:tcPr>
            <w:tcW w:w="54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between Service Provider and Purchaser and the applicable time plan for the performance of the activities.</w:t>
            </w:r>
          </w:p>
        </w:tc>
      </w:tr>
    </w:tbl>
    <w:p>
      <w:pPr>
        <w:spacing w:after="0" w:line="342" w:lineRule="exact"/>
        <w:rPr>
          <w:sz w:val="20"/>
          <w:szCs w:val="20"/>
          <w:color w:val="auto"/>
        </w:rPr>
      </w:pPr>
    </w:p>
    <w:p>
      <w:pPr>
        <w:ind w:left="884" w:hanging="884"/>
        <w:spacing w:after="0"/>
        <w:tabs>
          <w:tab w:leader="none" w:pos="884"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2.1</w:t>
            </w:r>
          </w:p>
        </w:tc>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Any capitalised terms used but not specifically defined herein shall have the meanings set out for such terms in the Main Document. In</w:t>
            </w:r>
          </w:p>
        </w:tc>
      </w:tr>
      <w:tr>
        <w:trPr>
          <w:trHeight w:val="216"/>
        </w:trPr>
        <w:tc>
          <w:tcPr>
            <w:tcW w:w="540" w:type="dxa"/>
            <w:vAlign w:val="bottom"/>
          </w:tcPr>
          <w:p>
            <w:pPr>
              <w:spacing w:after="0"/>
              <w:rPr>
                <w:sz w:val="18"/>
                <w:szCs w:val="18"/>
                <w:color w:val="auto"/>
              </w:rPr>
            </w:pPr>
          </w:p>
        </w:tc>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 the capitalised terms set out below in this Section 2 shall for the purposes of this Service Specification have the meanings</w:t>
            </w:r>
          </w:p>
        </w:tc>
      </w:tr>
      <w:tr>
        <w:trPr>
          <w:trHeight w:val="234"/>
        </w:trPr>
        <w:tc>
          <w:tcPr>
            <w:tcW w:w="540" w:type="dxa"/>
            <w:vAlign w:val="bottom"/>
          </w:tcPr>
          <w:p>
            <w:pPr>
              <w:spacing w:after="0"/>
              <w:rPr>
                <w:sz w:val="20"/>
                <w:szCs w:val="20"/>
                <w:color w:val="auto"/>
              </w:rPr>
            </w:pPr>
          </w:p>
        </w:tc>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described herein. All capitalised terms in singular in the list of definitions shall have the same meaning in plural and vice versa.</w:t>
            </w:r>
          </w:p>
        </w:tc>
      </w:tr>
    </w:tbl>
    <w:p>
      <w:pPr>
        <w:spacing w:after="0" w:line="342" w:lineRule="exact"/>
        <w:rPr>
          <w:sz w:val="20"/>
          <w:szCs w:val="20"/>
          <w:color w:val="auto"/>
        </w:rPr>
      </w:pPr>
    </w:p>
    <w:p>
      <w:pPr>
        <w:ind w:left="884" w:hanging="884"/>
        <w:spacing w:after="0"/>
        <w:tabs>
          <w:tab w:leader="none" w:pos="884"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DESCRIPTION</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Service Provider is requested to support the Purchaser with Manufacturing Engineering services for Running Change Program upgrades</w:t>
            </w:r>
          </w:p>
        </w:tc>
      </w:tr>
      <w:tr>
        <w:trPr>
          <w:trHeight w:val="234"/>
        </w:trPr>
        <w:tc>
          <w:tcPr>
            <w:tcW w:w="54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Polestar 2 vehicle.</w:t>
            </w: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Parties have agreed to that the services will be performed as part of the corresponding Running Change Programs.</w:t>
            </w: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overall objectives of the activities are to safeguard a seamless introduction of updated parts and processes.</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Assumptions/Pre-Requisites</w:t>
            </w: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support is limited to parts having a corresponding usage in the Service Provider´s platforms.</w:t>
            </w:r>
          </w:p>
        </w:tc>
      </w:tr>
      <w:tr>
        <w:trPr>
          <w:trHeight w:val="581"/>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 OF THE SERVICE ACTIVITIES</w:t>
            </w: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Volvo Car Manufacturing Engineering will provide the following services:</w:t>
            </w:r>
          </w:p>
        </w:tc>
      </w:tr>
    </w:tbl>
    <w:p>
      <w:pPr>
        <w:spacing w:after="0" w:line="103" w:lineRule="exact"/>
        <w:rPr>
          <w:sz w:val="20"/>
          <w:szCs w:val="20"/>
          <w:color w:val="auto"/>
        </w:rPr>
      </w:pPr>
    </w:p>
    <w:p>
      <w:pPr>
        <w:ind w:left="1964" w:hanging="655"/>
        <w:spacing w:after="0"/>
        <w:tabs>
          <w:tab w:leader="none" w:pos="196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related activities, in the areas of Stamping, Body in White, Paint Shop, Final Plant &amp; Geometry.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Process Inspection Instructions and script updates for the Hardware and Software intros.</w:t>
      </w:r>
    </w:p>
    <w:p>
      <w:pPr>
        <w:spacing w:after="0" w:line="130" w:lineRule="exact"/>
        <w:rPr>
          <w:rFonts w:ascii="Times New Roman" w:cs="Times New Roman" w:eastAsia="Times New Roman" w:hAnsi="Times New Roman"/>
          <w:sz w:val="18"/>
          <w:szCs w:val="18"/>
          <w:color w:val="auto"/>
        </w:rPr>
      </w:pPr>
    </w:p>
    <w:p>
      <w:pPr>
        <w:ind w:left="1964" w:right="220" w:hanging="655"/>
        <w:spacing w:after="0" w:line="282" w:lineRule="auto"/>
        <w:tabs>
          <w:tab w:leader="none" w:pos="196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product, process and logistics engineering work according to the Volvo Product Development System (VPDS) pre-requisites. This for all running changes that affects the Polestar 2 vehicle.</w:t>
      </w:r>
    </w:p>
    <w:p>
      <w:pPr>
        <w:spacing w:after="0" w:line="306" w:lineRule="exact"/>
        <w:rPr>
          <w:sz w:val="20"/>
          <w:szCs w:val="20"/>
          <w:color w:val="auto"/>
        </w:rPr>
      </w:pPr>
    </w:p>
    <w:p>
      <w:pPr>
        <w:ind w:left="884" w:hanging="884"/>
        <w:spacing w:after="0"/>
        <w:tabs>
          <w:tab w:leader="none" w:pos="884"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TIMing AND DELIVERAbLeS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6.1</w:t>
            </w: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activities shall commence in [***] until end of production of the Polestar 2 car.</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6.2</w:t>
            </w: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Deliveries will be according to Running Change Programs time schedule.</w:t>
            </w:r>
          </w:p>
        </w:tc>
      </w:tr>
    </w:tbl>
    <w:p>
      <w:pPr>
        <w:spacing w:after="0" w:line="342" w:lineRule="exact"/>
        <w:rPr>
          <w:sz w:val="20"/>
          <w:szCs w:val="20"/>
          <w:color w:val="auto"/>
        </w:rPr>
      </w:pPr>
    </w:p>
    <w:p>
      <w:pPr>
        <w:ind w:left="884" w:hanging="884"/>
        <w:spacing w:after="0"/>
        <w:tabs>
          <w:tab w:leader="none" w:pos="884"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HOURS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7.1</w:t>
            </w:r>
          </w:p>
        </w:tc>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Parties estimate that the number of hours that are required to perform the Services in are [***]. It is both Parties understanding that</w:t>
            </w:r>
          </w:p>
        </w:tc>
      </w:tr>
      <w:tr>
        <w:trPr>
          <w:trHeight w:val="234"/>
        </w:trPr>
        <w:tc>
          <w:tcPr>
            <w:tcW w:w="540" w:type="dxa"/>
            <w:vAlign w:val="bottom"/>
          </w:tcPr>
          <w:p>
            <w:pPr>
              <w:spacing w:after="0"/>
              <w:rPr>
                <w:sz w:val="20"/>
                <w:szCs w:val="20"/>
                <w:color w:val="auto"/>
              </w:rPr>
            </w:pPr>
          </w:p>
        </w:tc>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eight hours constitute one working day.</w:t>
            </w:r>
          </w:p>
        </w:tc>
      </w:tr>
    </w:tbl>
    <w:p>
      <w:pPr>
        <w:spacing w:after="0" w:line="342" w:lineRule="exact"/>
        <w:rPr>
          <w:sz w:val="20"/>
          <w:szCs w:val="20"/>
          <w:color w:val="auto"/>
        </w:rPr>
      </w:pPr>
    </w:p>
    <w:p>
      <w:pPr>
        <w:ind w:left="884" w:hanging="884"/>
        <w:spacing w:after="0"/>
        <w:tabs>
          <w:tab w:leader="none" w:pos="884"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 RESPONSIBILITIES</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 xml:space="preserve">General. </w:t>
      </w:r>
      <w:r>
        <w:rPr>
          <w:rFonts w:ascii="Times New Roman" w:cs="Times New Roman" w:eastAsia="Times New Roman" w:hAnsi="Times New Roman"/>
          <w:sz w:val="17"/>
          <w:szCs w:val="17"/>
          <w:color w:val="auto"/>
        </w:rPr>
        <w:t>The division of the responsibilities between the Parties can be described as follows in this Section 8.</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428" w:name="page429"/>
    <w:bookmarkEnd w:id="428"/>
    <w:p>
      <w:pPr>
        <w:spacing w:after="0"/>
        <w:tabs>
          <w:tab w:leader="none" w:pos="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b w:val="1"/>
          <w:bCs w:val="1"/>
          <w:color w:val="auto"/>
        </w:rPr>
        <w:t xml:space="preserve">Service Provider’s responsibilities. </w:t>
      </w:r>
      <w:r>
        <w:rPr>
          <w:rFonts w:ascii="Times New Roman" w:cs="Times New Roman" w:eastAsia="Times New Roman" w:hAnsi="Times New Roman"/>
          <w:sz w:val="17"/>
          <w:szCs w:val="17"/>
          <w:color w:val="auto"/>
        </w:rPr>
        <w:t>Service Provider is responsible for the following activities:</w:t>
      </w:r>
    </w:p>
    <w:p>
      <w:pPr>
        <w:spacing w:after="0" w:line="135" w:lineRule="exact"/>
        <w:rPr>
          <w:sz w:val="20"/>
          <w:szCs w:val="20"/>
          <w:color w:val="auto"/>
        </w:rPr>
      </w:pPr>
    </w:p>
    <w:p>
      <w:pPr>
        <w:ind w:left="1960" w:hanging="655"/>
        <w:spacing w:after="0"/>
        <w:tabs>
          <w:tab w:leader="none" w:pos="1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ME support as defined with the Volvo Cars Program management system.</w:t>
      </w:r>
    </w:p>
    <w:p>
      <w:pPr>
        <w:spacing w:after="0" w:line="1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 xml:space="preserve">Purchaser’s responsibilities. </w:t>
      </w:r>
      <w:r>
        <w:rPr>
          <w:rFonts w:ascii="Times New Roman" w:cs="Times New Roman" w:eastAsia="Times New Roman" w:hAnsi="Times New Roman"/>
          <w:sz w:val="17"/>
          <w:szCs w:val="17"/>
          <w:color w:val="auto"/>
        </w:rPr>
        <w:t>Purchaser is responsible for all the other activities in relation to the Model Year upgrade including:</w:t>
      </w:r>
    </w:p>
    <w:p>
      <w:pPr>
        <w:spacing w:after="0" w:line="135" w:lineRule="exact"/>
        <w:rPr>
          <w:sz w:val="20"/>
          <w:szCs w:val="20"/>
          <w:color w:val="auto"/>
        </w:rPr>
      </w:pPr>
    </w:p>
    <w:p>
      <w:pPr>
        <w:ind w:left="5460" w:hanging="4155"/>
        <w:spacing w:after="0" w:line="970" w:lineRule="auto"/>
        <w:tabs>
          <w:tab w:leader="none" w:pos="195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providing, in relation to the Polestar 2 vehicle, the necessary pre-requisites and information to run the production. 7</w:t>
      </w:r>
    </w:p>
    <w:p>
      <w:pPr>
        <w:sectPr>
          <w:pgSz w:w="11900" w:h="16838" w:orient="portrait"/>
          <w:cols w:equalWidth="0" w:num="1">
            <w:col w:w="10700"/>
          </w:cols>
          <w:pgMar w:left="440" w:top="266" w:right="759" w:bottom="1440" w:gutter="0" w:footer="0" w:header="0"/>
        </w:sectPr>
      </w:pPr>
    </w:p>
    <w:bookmarkStart w:id="429" w:name="page430"/>
    <w:bookmarkEnd w:id="42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884" w:hanging="884"/>
        <w:spacing w:after="0"/>
        <w:tabs>
          <w:tab w:leader="none" w:pos="88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17" w:lineRule="exact"/>
        <w:rPr>
          <w:rFonts w:ascii="Times New Roman" w:cs="Times New Roman" w:eastAsia="Times New Roman" w:hAnsi="Times New Roman"/>
          <w:sz w:val="18"/>
          <w:szCs w:val="18"/>
          <w:b w:val="1"/>
          <w:bCs w:val="1"/>
          <w:color w:val="auto"/>
        </w:rPr>
      </w:pPr>
    </w:p>
    <w:p>
      <w:pPr>
        <w:ind w:left="884" w:right="1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Appendix 2, General Terms – Service Agreement, (the “</w:t>
      </w:r>
      <w:r>
        <w:rPr>
          <w:rFonts w:ascii="Times New Roman" w:cs="Times New Roman" w:eastAsia="Times New Roman" w:hAnsi="Times New Roman"/>
          <w:sz w:val="18"/>
          <w:szCs w:val="18"/>
          <w:b w:val="1"/>
          <w:bCs w:val="1"/>
          <w:color w:val="auto"/>
        </w:rPr>
        <w:t>General Terms</w:t>
      </w:r>
      <w:r>
        <w:rPr>
          <w:rFonts w:ascii="Times New Roman" w:cs="Times New Roman" w:eastAsia="Times New Roman" w:hAnsi="Times New Roman"/>
          <w:sz w:val="18"/>
          <w:szCs w:val="18"/>
          <w:color w:val="auto"/>
        </w:rPr>
        <w:t>”) is an Appendix to the Main Document and is an integrated part of the Service Agreement entered into between the Parties.</w:t>
      </w:r>
    </w:p>
    <w:p>
      <w:pPr>
        <w:spacing w:after="0" w:line="303" w:lineRule="exact"/>
        <w:rPr>
          <w:rFonts w:ascii="Times New Roman" w:cs="Times New Roman" w:eastAsia="Times New Roman" w:hAnsi="Times New Roman"/>
          <w:sz w:val="18"/>
          <w:szCs w:val="18"/>
          <w:b w:val="1"/>
          <w:bCs w:val="1"/>
          <w:color w:val="auto"/>
        </w:rPr>
      </w:pPr>
    </w:p>
    <w:p>
      <w:pPr>
        <w:ind w:left="884" w:hanging="884"/>
        <w:spacing w:after="0"/>
        <w:tabs>
          <w:tab w:leader="none" w:pos="88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2.1</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 the purpose of these General Terms, the following terms shall have the meanings assigned to them below. All capitalized terms in</w:t>
            </w:r>
          </w:p>
        </w:tc>
      </w:tr>
      <w:tr>
        <w:trPr>
          <w:trHeight w:val="218"/>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singular in the list of definitions shall have the same meaning in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Any capitalized terms used, but not specifically</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defined below in this Section 2, shall have the meaning ascribed to them in the Main Document.</w:t>
            </w:r>
          </w:p>
        </w:tc>
      </w:tr>
      <w:tr>
        <w:trPr>
          <w:trHeight w:val="337"/>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2.2</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Appendix</w:t>
            </w:r>
            <w:r>
              <w:rPr>
                <w:rFonts w:ascii="Times New Roman" w:cs="Times New Roman" w:eastAsia="Times New Roman" w:hAnsi="Times New Roman"/>
                <w:sz w:val="18"/>
                <w:szCs w:val="18"/>
                <w:color w:val="auto"/>
              </w:rPr>
              <w:t>” means an appendix to the Main Document.</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2.3</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means the Intellectual Property Rights either:</w:t>
            </w:r>
          </w:p>
        </w:tc>
      </w:tr>
      <w:tr>
        <w:trPr>
          <w:trHeight w:val="338"/>
        </w:trPr>
        <w:tc>
          <w:tcPr>
            <w:tcW w:w="54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by either of the Parties;</w:t>
            </w:r>
          </w:p>
        </w:tc>
      </w:tr>
      <w:tr>
        <w:trPr>
          <w:trHeight w:val="338"/>
        </w:trPr>
        <w:tc>
          <w:tcPr>
            <w:tcW w:w="54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created, developed or invented by directors, managers, employees or consultants of either of the Parties;</w:t>
            </w:r>
          </w:p>
        </w:tc>
      </w:tr>
      <w:tr>
        <w:trPr>
          <w:trHeight w:val="338"/>
        </w:trPr>
        <w:tc>
          <w:tcPr>
            <w:tcW w:w="54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which the Party has licensed rights instead of ownership and the right to grant a sublicense</w:t>
            </w:r>
          </w:p>
        </w:tc>
      </w:tr>
      <w:tr>
        <w:trPr>
          <w:trHeight w:val="306"/>
        </w:trPr>
        <w:tc>
          <w:tcPr>
            <w:tcW w:w="54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prior to the execution of this Service Agreement, and any Intellectual Property Rights developed or otherwise acquired independently of this</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 Agreement.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2.4</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“Change Management” </w:t>
            </w:r>
            <w:r>
              <w:rPr>
                <w:rFonts w:ascii="Times New Roman" w:cs="Times New Roman" w:eastAsia="Times New Roman" w:hAnsi="Times New Roman"/>
                <w:sz w:val="18"/>
                <w:szCs w:val="18"/>
                <w:color w:val="auto"/>
              </w:rPr>
              <w:t>means maintenance and development of the Results to be performed 90 days after the start of production of the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first vehicle in which the Results are installed, incorporated, included or otherwise used, and which are driven by for example legal</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requirements or changes in other products/parts having an effect on the Results.</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2.5</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non-public information regarding the Parties and their respective businesses, whether</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or technical, in whatever form or media, including but not limited to the existence, content and subject matter of this Service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 information relating to Intellectual Property Rights, concepts, technologies, processes, commercial figures, techniques,</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algorithms, formulas, methodologies, know-how, strategic plans and budgets, investments, customers and sales, designs, graphics, CAD</w:t>
            </w:r>
          </w:p>
        </w:tc>
      </w:tr>
    </w:tbl>
    <w:p>
      <w:pPr>
        <w:ind w:left="884" w:right="40"/>
        <w:spacing w:after="0" w:line="255" w:lineRule="auto"/>
        <w:rPr>
          <w:sz w:val="20"/>
          <w:szCs w:val="20"/>
          <w:color w:val="auto"/>
        </w:rPr>
      </w:pPr>
      <w:r>
        <w:rPr>
          <w:rFonts w:ascii="Times New Roman" w:cs="Times New Roman" w:eastAsia="Times New Roman" w:hAnsi="Times New Roman"/>
          <w:sz w:val="18"/>
          <w:szCs w:val="18"/>
          <w:color w:val="auto"/>
        </w:rPr>
        <w:t>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2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means the secure environment personal approved access information sharing platform agreed to be used between the Parties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making available the Results to Purchaser.</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means the Party disclosing Confidential Information to the Receiving Party.</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Data Protection Laws</w:t>
            </w:r>
            <w:r>
              <w:rPr>
                <w:rFonts w:ascii="Times New Roman" w:cs="Times New Roman" w:eastAsia="Times New Roman" w:hAnsi="Times New Roman"/>
                <w:sz w:val="18"/>
                <w:szCs w:val="18"/>
                <w:color w:val="auto"/>
              </w:rPr>
              <w:t>” shall mean collectively, any applicable data protection, privacy or similar law generally applicable to the</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processing of personal data, including but not limited to Regulation (EU) 2016/679 of the European Parliament and of the Council of</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27 April 2016 on the protection of natural persons with regard to the processing of personal data and on the free movement of such data, and</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repealing Directive 95/46/EC (General Data Protection Regulation) and any act or piece of national legislation implementing, supporting or</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otherwise incorporating said regulation, including any amendment made to any of the foregoing.</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shall have the meaning set out in Section 15.1.1.</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Industry Standard</w:t>
            </w:r>
            <w:r>
              <w:rPr>
                <w:rFonts w:ascii="Times New Roman" w:cs="Times New Roman" w:eastAsia="Times New Roman" w:hAnsi="Times New Roman"/>
                <w:sz w:val="18"/>
                <w:szCs w:val="18"/>
                <w:color w:val="auto"/>
              </w:rPr>
              <w:t>” means the exercise of such professionalism, skill, diligence, prudence and foresight that would normally be expected</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 any given time from a skilled and experienced actor engaged in a similar type of undertaking as under this Service Agreement.</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means Patents, Non-patented IP, rights in Confidential Information and Know-How to the extent</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protected under applicable laws anywhere in the world. For the avoidance of doubt, Trademarks are not comprised by this definition.</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confidential and proprietary industrial, technical and commercial information and techniques in any form including</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(without limitation) drawings, formulae, test results, reports, project reports and testing procedures, instruction and training manuals, tables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operating conditions, specifications, component lists, market forecasts, lists and particulars of customers and suppliers.</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Main Document</w:t>
            </w:r>
            <w:r>
              <w:rPr>
                <w:rFonts w:ascii="Times New Roman" w:cs="Times New Roman" w:eastAsia="Times New Roman" w:hAnsi="Times New Roman"/>
                <w:sz w:val="18"/>
                <w:szCs w:val="18"/>
                <w:color w:val="auto"/>
              </w:rPr>
              <w:t>” means the contract document (with the heading “Main Document - Service Agreement”), which is signed by Service</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Provider and Purchaser, to which these General Terms are an Appendix.</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Non-patented IP</w:t>
            </w:r>
            <w:r>
              <w:rPr>
                <w:rFonts w:ascii="Times New Roman" w:cs="Times New Roman" w:eastAsia="Times New Roman" w:hAnsi="Times New Roman"/>
                <w:sz w:val="18"/>
                <w:szCs w:val="18"/>
                <w:color w:val="auto"/>
              </w:rPr>
              <w:t>” means copyrights (including rights in computer software), database rights, semiconductor topography rights, rights in</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designs, and other intellectual property rights (other than Trademarks and Patents) and all rights or forms of protection having equivalent or</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similar effect anywhere in the world, in each case whether registered or unregistered, and registered includes registrations, applications for</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and renewals whether made before, on or after execution of this Service Agreement.</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Patent</w:t>
            </w:r>
            <w:r>
              <w:rPr>
                <w:rFonts w:ascii="Times New Roman" w:cs="Times New Roman" w:eastAsia="Times New Roman" w:hAnsi="Times New Roman"/>
                <w:sz w:val="18"/>
                <w:szCs w:val="18"/>
                <w:color w:val="auto"/>
                <w:w w:val="99"/>
              </w:rPr>
              <w:t>” means any patent, patent application, or utility model, whether filed before, on or after execution of this Service Agreement, along</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any continuation, continuation-in-part, divisional, re-examined or re-issued patent, foreign counterpart or renewal or extension of any</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the foregoing.</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means the Party receiving Confidential Information from the Disclosing Party.</w:t>
            </w:r>
          </w:p>
        </w:tc>
      </w:tr>
      <w:tr>
        <w:trPr>
          <w:trHeight w:val="365"/>
        </w:trPr>
        <w:tc>
          <w:tcPr>
            <w:tcW w:w="600" w:type="dxa"/>
            <w:vAlign w:val="bottom"/>
          </w:tcPr>
          <w:p>
            <w:pPr>
              <w:spacing w:after="0"/>
              <w:rPr>
                <w:sz w:val="24"/>
                <w:szCs w:val="24"/>
                <w:color w:val="auto"/>
              </w:rPr>
            </w:pPr>
          </w:p>
        </w:tc>
        <w:tc>
          <w:tcPr>
            <w:tcW w:w="103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9</w:t>
            </w:r>
          </w:p>
        </w:tc>
      </w:tr>
    </w:tbl>
    <w:p>
      <w:pPr>
        <w:ind w:left="4860"/>
        <w:spacing w:after="0"/>
        <w:rPr>
          <w:sz w:val="20"/>
          <w:szCs w:val="20"/>
          <w:color w:val="auto"/>
        </w:rPr>
        <w:sectPr>
          <w:pgSz w:w="11900" w:h="16838" w:orient="portrait"/>
          <w:cols w:equalWidth="0" w:num="1">
            <w:col w:w="10980"/>
          </w:cols>
          <w:pgMar w:left="440" w:top="26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31" w:name="page432"/>
    <w:bookmarkEnd w:id="431"/>
    <w:tbl>
      <w:tblPr>
        <w:tblLayout w:type="fixed"/>
        <w:tblInd w:w="4" w:type="dxa"/>
        <w:tblCellMar>
          <w:top w:w="0" w:type="dxa"/>
          <w:left w:w="0" w:type="dxa"/>
          <w:bottom w:w="0" w:type="dxa"/>
          <w:right w:w="0" w:type="dxa"/>
        </w:tblCellMar>
      </w:tblPr>
      <w:tr>
        <w:trPr>
          <w:trHeight w:val="220"/>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2.17</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shall mean any outcome of the Services provided to Purchaser under this Service Agreement (including but not limited to any IP,</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technology, software, methods, processes, deliverables, objects, products, documentation, modifications, improvements, and/or amendments</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be carried out by Service Provider under the Service Specification) and any other outcome or result of the Services to be performed by</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Provider as described in the relevant Service Specification, irrespective of whether the performance of the Services has been</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completed or not.</w:t>
            </w:r>
          </w:p>
        </w:tc>
      </w:tr>
      <w:tr>
        <w:trPr>
          <w:trHeight w:val="338"/>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2.18</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Results Owner</w:t>
            </w:r>
            <w:r>
              <w:rPr>
                <w:rFonts w:ascii="Times New Roman" w:cs="Times New Roman" w:eastAsia="Times New Roman" w:hAnsi="Times New Roman"/>
                <w:sz w:val="18"/>
                <w:szCs w:val="18"/>
                <w:color w:val="auto"/>
              </w:rPr>
              <w:t>” shall mean the Party which shall be the owner of the Results in accordance with what is set forth in Section 5.2.</w:t>
            </w:r>
          </w:p>
        </w:tc>
      </w:tr>
      <w:tr>
        <w:trPr>
          <w:trHeight w:val="319"/>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2.19</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Services</w:t>
            </w:r>
            <w:r>
              <w:rPr>
                <w:rFonts w:ascii="Times New Roman" w:cs="Times New Roman" w:eastAsia="Times New Roman" w:hAnsi="Times New Roman"/>
                <w:sz w:val="18"/>
                <w:szCs w:val="18"/>
                <w:color w:val="auto"/>
                <w:w w:val="99"/>
              </w:rPr>
              <w:t>” shall mean the services to be performed by Service Provider to Purchaser hereunder, including all services under the Appendices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attached hereto.</w:t>
            </w:r>
          </w:p>
        </w:tc>
      </w:tr>
      <w:tr>
        <w:trPr>
          <w:trHeight w:val="338"/>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2.20</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 means the Main Document including all of its Appendices and their Schedules as amended from time to time.</w:t>
            </w:r>
          </w:p>
        </w:tc>
      </w:tr>
      <w:tr>
        <w:trPr>
          <w:trHeight w:val="338"/>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Charges</w:t>
            </w:r>
            <w:r>
              <w:rPr>
                <w:rFonts w:ascii="Times New Roman" w:cs="Times New Roman" w:eastAsia="Times New Roman" w:hAnsi="Times New Roman"/>
                <w:sz w:val="18"/>
                <w:szCs w:val="18"/>
                <w:color w:val="auto"/>
              </w:rPr>
              <w:t>” means the service charges as set forth or referenced to in the Main Document.</w:t>
            </w:r>
          </w:p>
        </w:tc>
      </w:tr>
      <w:tr>
        <w:trPr>
          <w:trHeight w:val="319"/>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2.22</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Specification</w:t>
            </w:r>
            <w:r>
              <w:rPr>
                <w:rFonts w:ascii="Times New Roman" w:cs="Times New Roman" w:eastAsia="Times New Roman" w:hAnsi="Times New Roman"/>
                <w:sz w:val="18"/>
                <w:szCs w:val="18"/>
                <w:color w:val="auto"/>
              </w:rPr>
              <w:t>” describes the Services to be provided by Service Provider to Purchaser hereunder including (if applicable) a time</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 for the provision of the Services, which is included as Appendix 1 in this Service Agreement.</w:t>
            </w:r>
          </w:p>
        </w:tc>
      </w:tr>
      <w:tr>
        <w:trPr>
          <w:trHeight w:val="338"/>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2.23</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 party other than any of the Parties and/or an Affiliate of one of the Parties to this Service Agreement.</w:t>
            </w:r>
          </w:p>
        </w:tc>
      </w:tr>
      <w:tr>
        <w:trPr>
          <w:trHeight w:val="319"/>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2.24</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trademarks (including part numbers that are trademarks), service marks, logos, trade names, business names,</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assumed names, trade dress and get-up, and domain names, in each case whether registered or unregistered, including all applications,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registrations, renewals and the like, in each case to the extent they constitute rights that are enforceable against Third Parties.</w:t>
            </w:r>
          </w:p>
        </w:tc>
      </w:tr>
      <w:tr>
        <w:trPr>
          <w:trHeight w:val="319"/>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2.25</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means to make, have made, use (including in a process, such as use in designing, engineering, testing or assembling products or in</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their research or development), keep, install, integrate, extract, assemble, reproduce, incorporate, create derivative works of, modify, adapt,</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improve, enhance, develop, service or repair, including in the case of installation, integration, assembly, service or repair, the right to have a</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subcontractor of any tier carry out any of these activities on behalf of Purchaser.</w:t>
            </w:r>
          </w:p>
        </w:tc>
      </w:tr>
      <w:tr>
        <w:trPr>
          <w:trHeight w:val="319"/>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2.26</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right to “</w:t>
            </w:r>
            <w:r>
              <w:rPr>
                <w:rFonts w:ascii="Times New Roman" w:cs="Times New Roman" w:eastAsia="Times New Roman" w:hAnsi="Times New Roman"/>
                <w:sz w:val="18"/>
                <w:szCs w:val="18"/>
                <w:b w:val="1"/>
                <w:bCs w:val="1"/>
                <w:color w:val="auto"/>
              </w:rPr>
              <w:t>have made</w:t>
            </w:r>
            <w:r>
              <w:rPr>
                <w:rFonts w:ascii="Times New Roman" w:cs="Times New Roman" w:eastAsia="Times New Roman" w:hAnsi="Times New Roman"/>
                <w:sz w:val="18"/>
                <w:szCs w:val="18"/>
                <w:color w:val="auto"/>
              </w:rPr>
              <w:t>” is the right of Purchaser to have another person (or their subcontractor of any tier) make for Purchaser and does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include the right to grant sublicenses to another person to make for such person’s own use or use other than for Purchaser.</w:t>
            </w: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4" w:hanging="544"/>
        <w:spacing w:after="0"/>
        <w:tabs>
          <w:tab w:leader="none" w:pos="544"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OF SERVICES</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3.1</w:t>
            </w:r>
          </w:p>
        </w:tc>
        <w:tc>
          <w:tcPr>
            <w:tcW w:w="10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 xml:space="preserve">Service Specification. </w:t>
            </w:r>
            <w:r>
              <w:rPr>
                <w:rFonts w:ascii="Times New Roman" w:cs="Times New Roman" w:eastAsia="Times New Roman" w:hAnsi="Times New Roman"/>
                <w:sz w:val="18"/>
                <w:szCs w:val="18"/>
                <w:color w:val="auto"/>
                <w:w w:val="99"/>
              </w:rPr>
              <w:t>The Parties have agreed upon the scope and specification of the Services provided under this Service Agreement in</w:t>
            </w:r>
          </w:p>
        </w:tc>
      </w:tr>
      <w:tr>
        <w:trPr>
          <w:trHeight w:val="234"/>
        </w:trPr>
        <w:tc>
          <w:tcPr>
            <w:tcW w:w="540" w:type="dxa"/>
            <w:vAlign w:val="bottom"/>
          </w:tcPr>
          <w:p>
            <w:pPr>
              <w:spacing w:after="0"/>
              <w:rPr>
                <w:sz w:val="20"/>
                <w:szCs w:val="20"/>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Specification.</w:t>
            </w:r>
          </w:p>
        </w:tc>
      </w:tr>
      <w:tr>
        <w:trPr>
          <w:trHeight w:val="365"/>
        </w:trPr>
        <w:tc>
          <w:tcPr>
            <w:tcW w:w="540" w:type="dxa"/>
            <w:vAlign w:val="bottom"/>
          </w:tcPr>
          <w:p>
            <w:pPr>
              <w:spacing w:after="0"/>
              <w:rPr>
                <w:sz w:val="24"/>
                <w:szCs w:val="24"/>
                <w:color w:val="auto"/>
              </w:rPr>
            </w:pPr>
          </w:p>
        </w:tc>
        <w:tc>
          <w:tcPr>
            <w:tcW w:w="10300" w:type="dxa"/>
            <w:vAlign w:val="bottom"/>
          </w:tcPr>
          <w:p>
            <w:pPr>
              <w:jc w:val="right"/>
              <w:ind w:right="515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0984"/>
          </w:cols>
          <w:pgMar w:left="436" w:top="266" w:right="479" w:bottom="1440" w:gutter="0" w:footer="0" w:header="0"/>
        </w:sectPr>
      </w:pPr>
    </w:p>
    <w:bookmarkStart w:id="432" w:name="page433"/>
    <w:bookmarkEnd w:id="4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Making available the Results.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Provider shall make the Results (or if not finalised, any part of the Results that has been finalised) available to Purchaser within the</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timeframes specified in the Service Specification, but under all circumstances promptly after any part of the Results has been finalised. The</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Results shall only be made available in a Data Room.</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Results (or any finalised part thereof) shall be deemed made available by Service Provider to Purchaser if such files have been</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electronically loaded into and made accessible by Service Provider in the Data Room agreed upon.</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Change Management. </w:t>
            </w:r>
            <w:r>
              <w:rPr>
                <w:rFonts w:ascii="Times New Roman" w:cs="Times New Roman" w:eastAsia="Times New Roman" w:hAnsi="Times New Roman"/>
                <w:sz w:val="18"/>
                <w:szCs w:val="18"/>
                <w:color w:val="auto"/>
              </w:rPr>
              <w:t>Service Provider has an obligation to, upon Purchaser’s request, perform Change Management in relation to the</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Results, such as changes required in order to maintain functionality, adjust the Results due to new technical solutions etc. For the</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avoidance of doubt, the performance of Change Management is however not governed by this Service Agreement, but shall be subject to a</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separate agreement between the Parties, which the Parties upon either Party’s request shall execute.</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Service Recipients. </w:t>
            </w:r>
            <w:r>
              <w:rPr>
                <w:rFonts w:ascii="Times New Roman" w:cs="Times New Roman" w:eastAsia="Times New Roman" w:hAnsi="Times New Roman"/>
                <w:sz w:val="18"/>
                <w:szCs w:val="18"/>
                <w:color w:val="auto"/>
              </w:rPr>
              <w:t>In addition to Purchaser, all of Purchaser’s Affiliates shall be entitled to receive and use the Services under this Service</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Nevertheless, Purchaser shall be Service Provider’s sole point of contact and shall be responsible for payment of the Service</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Charges as set forth in this Service Agreement, irrespectively of whether it is Purchaser or any of Purchaser’s Affiliates that in reality</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received and used the Services.</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Subcontractors.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3.5.1</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Parties acknowledge that Service Provider may use its Affiliates and/or subcontractors to perform the Services under this Service</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provided that Service Provider informs Purchaser thereof.</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3.5.2</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Provider shall however remain responsible for the performance, and any omission to perform or comply with the provisions of this</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Agreement, by any Affiliate to Service Provider and/or any subcontractor to the same extent as if such performance or omittance</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 made by Service Provider itself. Service Provider shall also remain Purchaser’s sole point of contact unless otherwise agreed.</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Relationship between the Parties. </w:t>
            </w:r>
            <w:r>
              <w:rPr>
                <w:rFonts w:ascii="Times New Roman" w:cs="Times New Roman" w:eastAsia="Times New Roman" w:hAnsi="Times New Roman"/>
                <w:sz w:val="18"/>
                <w:szCs w:val="18"/>
                <w:color w:val="auto"/>
              </w:rPr>
              <w:t>The Parties are acting as independent contractors when performing each Party’s respective obligations</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under the Service Agreement. Neither Party nor its Affiliates are agents for the other Party or its Affiliates and have no authority to represent</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them in relation to any matters. Nothing in these General Terms or the Service Agreement shall be construed as to constitute a partnership or</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joint venture between the Parties.</w:t>
            </w:r>
          </w:p>
        </w:tc>
      </w:tr>
    </w:tbl>
    <w:p>
      <w:pPr>
        <w:spacing w:after="0" w:line="99" w:lineRule="exact"/>
        <w:rPr>
          <w:sz w:val="20"/>
          <w:szCs w:val="20"/>
          <w:color w:val="auto"/>
        </w:rPr>
      </w:pPr>
    </w:p>
    <w:p>
      <w:pPr>
        <w:ind w:left="884" w:hanging="884"/>
        <w:spacing w:after="0"/>
        <w:tabs>
          <w:tab w:leader="none" w:pos="884"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REQUIREMENTS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4.1</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Services shall be performed in accordance with the requirements set forth in this Service Agreement, including the Service</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Specification, and otherwise in a professional manner.</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4.2</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providing the Services, Service Provider shall use professional and skilled personnel, reasonably experienced for the Services to be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performed, Service Provider shall work according to the same standard of care and professionalism that is done in Service Provider’s</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business and development projects. Such standard of care and professionalism, shall however at all times correspond to Industry</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Standard. For the avoidance of doubt, Service Provider is responsible for all necessary recruiting and hiring costs associated with employing</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appropriate personnel as well as all necessary training costs.</w:t>
            </w:r>
          </w:p>
        </w:tc>
      </w:tr>
      <w:tr>
        <w:trPr>
          <w:trHeight w:val="364"/>
        </w:trPr>
        <w:tc>
          <w:tcPr>
            <w:tcW w:w="540" w:type="dxa"/>
            <w:vAlign w:val="bottom"/>
          </w:tcPr>
          <w:p>
            <w:pPr>
              <w:spacing w:after="0"/>
              <w:rPr>
                <w:sz w:val="24"/>
                <w:szCs w:val="24"/>
                <w:color w:val="auto"/>
              </w:rPr>
            </w:pPr>
          </w:p>
        </w:tc>
        <w:tc>
          <w:tcPr>
            <w:tcW w:w="1044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04"/>
          </w:cols>
          <w:pgMar w:left="436" w:top="266" w:right="459" w:bottom="1440" w:gutter="0" w:footer="0" w:header="0"/>
        </w:sectPr>
      </w:pPr>
    </w:p>
    <w:bookmarkStart w:id="433" w:name="page434"/>
    <w:bookmarkEnd w:id="4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4.3</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acknowledges that time is of essence and Service Provider agrees to strictly respect and adhere to the deadlines set out in</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Specification in Appendix 1, such as time limits, milestones and gates. In the event Service Provider risks not to meet an agreed</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deadline or is otherwise in delay with the performance of the Services, Service Provider shall appoint additional resources in order to avoid</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effects of the anticipated delay or the delay (as the case may be).</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4.4</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the event the Services or any part thereof, more than insignificantly deviate from the requirements set forth in the Service Specification,</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if Service Provider otherwise does not meet or ceases to meet the requirements set forth in this Service Agreement (except for minor</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faults and defects, which do not affect the provision of the Services), Service Provider shall remedy such incompliance, fault or defect as</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soon as reasonably possible.</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4.5</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the event Service Provider fails to act in accordance with Section 4.3 and 4.4 above, such failure shall be escalated in accordance with the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escalation principles set forth in Section 17.1 and eventually give Purchaser the right to terminate the Service Agreement in accordance with</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14.4.</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4.6</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Purchaser shall provide Service Provider with instructions as reasonably required for Service Provider to be able to carry out the Services.</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must continuously inform Purchaser of any needs of additional instructions or specifications required to perform the</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4.7</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shall ensure that it has sufficient resources to perform its undertakings under this Service Agreement. Further, Service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undertakes to ensure that the performance of the Services will not be given lower priority than other of Service Provider’s internal</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similar projects.</w:t>
            </w:r>
          </w:p>
        </w:tc>
      </w:tr>
    </w:tbl>
    <w:p>
      <w:pPr>
        <w:spacing w:after="0" w:line="342" w:lineRule="exact"/>
        <w:rPr>
          <w:sz w:val="20"/>
          <w:szCs w:val="20"/>
          <w:color w:val="auto"/>
        </w:rPr>
      </w:pPr>
    </w:p>
    <w:p>
      <w:pPr>
        <w:ind w:left="884" w:hanging="884"/>
        <w:spacing w:after="0"/>
        <w:tabs>
          <w:tab w:leader="none" w:pos="884"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existing Intellectual Property Rights.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Party remains the sole and exclusive owner of its Background IP and any Intellectual Property Rights which are modifications,</w:t>
            </w:r>
          </w:p>
        </w:tc>
      </w:tr>
      <w:tr>
        <w:trPr>
          <w:trHeight w:val="234"/>
        </w:trPr>
        <w:tc>
          <w:tcPr>
            <w:tcW w:w="620" w:type="dxa"/>
            <w:vAlign w:val="bottom"/>
          </w:tcPr>
          <w:p>
            <w:pPr>
              <w:spacing w:after="0"/>
              <w:rPr>
                <w:sz w:val="20"/>
                <w:szCs w:val="20"/>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or derivatives of any Intellectual Property Rights already owned by such Party.</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Nothing in this Service Agreement shall be deemed to constitute an assignment of, or license to use, any Trademarks of the other Party.</w:t>
            </w:r>
          </w:p>
        </w:tc>
      </w:tr>
    </w:tbl>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Results.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5.2.1</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Party specified in the Main Document to own the Results shall be the exclusive owner of the Results, including all modifications,</w:t>
            </w:r>
          </w:p>
        </w:tc>
      </w:tr>
      <w:tr>
        <w:trPr>
          <w:trHeight w:val="234"/>
        </w:trPr>
        <w:tc>
          <w:tcPr>
            <w:tcW w:w="62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and developments thereof.</w:t>
            </w:r>
          </w:p>
        </w:tc>
      </w:tr>
      <w:tr>
        <w:trPr>
          <w:trHeight w:val="365"/>
        </w:trPr>
        <w:tc>
          <w:tcPr>
            <w:tcW w:w="620" w:type="dxa"/>
            <w:vAlign w:val="bottom"/>
          </w:tcPr>
          <w:p>
            <w:pPr>
              <w:spacing w:after="0"/>
              <w:rPr>
                <w:sz w:val="24"/>
                <w:szCs w:val="24"/>
                <w:color w:val="auto"/>
              </w:rPr>
            </w:pPr>
          </w:p>
        </w:tc>
        <w:tc>
          <w:tcPr>
            <w:tcW w:w="99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0984"/>
          </w:cols>
          <w:pgMar w:left="436" w:top="270" w:right="479" w:bottom="1440" w:gutter="0" w:footer="0" w:header="0"/>
        </w:sectPr>
      </w:pPr>
    </w:p>
    <w:bookmarkStart w:id="434" w:name="page435"/>
    <w:bookmarkEnd w:id="4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Purchaser is the Party indicated as owning the Results in the Main Document, all Results, including all modifications, amendments and</w:t>
            </w:r>
          </w:p>
        </w:tc>
      </w:tr>
      <w:tr>
        <w:trPr>
          <w:trHeight w:val="216"/>
        </w:trPr>
        <w:tc>
          <w:tcPr>
            <w:tcW w:w="6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developments thereof, and any Intellectual Property Rights developed as a result of the Services provided by Service Provider (or if</w:t>
            </w:r>
          </w:p>
        </w:tc>
      </w:tr>
      <w:tr>
        <w:trPr>
          <w:trHeight w:val="216"/>
        </w:trPr>
        <w:tc>
          <w:tcPr>
            <w:tcW w:w="6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applicable, any of its appointed Affiliates or subcontractors), shall consequently automatically upon creation be transferred from Service</w:t>
            </w:r>
          </w:p>
        </w:tc>
      </w:tr>
      <w:tr>
        <w:trPr>
          <w:trHeight w:val="216"/>
        </w:trPr>
        <w:tc>
          <w:tcPr>
            <w:tcW w:w="6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Provider to Purchaser. Purchaser shall further have the right to transfer, sublicense, modify and otherwise freely dispose of the Results,</w:t>
            </w:r>
          </w:p>
        </w:tc>
      </w:tr>
      <w:tr>
        <w:trPr>
          <w:trHeight w:val="234"/>
        </w:trPr>
        <w:tc>
          <w:tcPr>
            <w:tcW w:w="6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however with the restrictions set forth in Section 5.3 below.</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License grant.</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5.3.1</w:t>
            </w: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Results Owner hereby grants to the other Party a non-exclusive, irrevocable, perpetual (however at least 50 years long (however, in no</w:t>
            </w:r>
          </w:p>
        </w:tc>
      </w:tr>
      <w:tr>
        <w:trPr>
          <w:trHeight w:val="216"/>
        </w:trPr>
        <w:tc>
          <w:tcPr>
            <w:tcW w:w="6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 shall such time exceed the validity period of any IP or Background IP included in the license described hereunder)), non-assignable</w:t>
            </w:r>
          </w:p>
        </w:tc>
      </w:tr>
      <w:tr>
        <w:trPr>
          <w:trHeight w:val="234"/>
        </w:trPr>
        <w:tc>
          <w:tcPr>
            <w:tcW w:w="6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(however assignable to the Party’s Affiliates and related companies) license to, within the Territory:</w:t>
            </w:r>
          </w:p>
        </w:tc>
      </w:tr>
    </w:tbl>
    <w:p>
      <w:pPr>
        <w:spacing w:after="0" w:line="103" w:lineRule="exact"/>
        <w:rPr>
          <w:sz w:val="20"/>
          <w:szCs w:val="20"/>
          <w:color w:val="auto"/>
        </w:rPr>
      </w:pPr>
    </w:p>
    <w:p>
      <w:pPr>
        <w:ind w:left="1960" w:hanging="655"/>
        <w:spacing w:after="0" w:line="266" w:lineRule="auto"/>
        <w:tabs>
          <w:tab w:leader="none" w:pos="1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w:t>
      </w:r>
    </w:p>
    <w:p>
      <w:pPr>
        <w:spacing w:after="0" w:line="81" w:lineRule="exact"/>
        <w:rPr>
          <w:rFonts w:ascii="Times New Roman" w:cs="Times New Roman" w:eastAsia="Times New Roman" w:hAnsi="Times New Roman"/>
          <w:sz w:val="18"/>
          <w:szCs w:val="18"/>
          <w:color w:val="auto"/>
        </w:rPr>
      </w:pPr>
    </w:p>
    <w:p>
      <w:pPr>
        <w:ind w:left="1960" w:right="160" w:hanging="655"/>
        <w:spacing w:after="0" w:line="282" w:lineRule="auto"/>
        <w:tabs>
          <w:tab w:leader="none" w:pos="1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engineer, Use, make and have made, repair, service, market, sell and make available products and/or services based on, incorporating or using the Results and any Background IP referred to in (a) above, in whole or in part.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Notwithstanding anything to the contrary in the Service Agreement, nothing in these General Terms or otherwise in the Service Agreement</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shall be construed as to give the other Party any rights, including but not limited to any license rights (express or implied), to any</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Background IP, except as expressly stated herein.</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5.3.3</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license granted from the Results Owner to the other Party under Section 5.3.1 above shall be fully sublicensable to the other Party’s</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Affiliates, but shall not be sublicensable to any Third Party without prior written approval from the Results Owner, however with the</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exception stated in Section 5.3.4 below. For the avoidance of doubt, the Results Owner shall be entitled to license the Results, including any</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Background IP therein, to the Results Owner’s Affiliates without prior written consent from the other Party.</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5.3.4</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the event either Party would want to sublicense/license the rights granted under Section 5.3.1 above in whole, or a substantial part of said</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to a Third Party, such sublicense/license requires the prior written approval of the other Party, which shall not be unreasonably</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withheld (whereby a sublicense/license to a Third Party which is a competitor of either Party is an example of what could be deemed</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unreasonable and subject to non-approval) or delayed. Any approval in accordance with the foregoing shall be handled at a high governance</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level by the Strategic Board. For the avoidance of doubt, the other Party has no obligation to provide any support regarding</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sublicensing/licensing of any rights connected to this Service Agreement to a Party providing a sublicense/license to a Third Party.</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Suspected infringement.</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Party to whom the license in Section 5.3 is granted, shall promptly (upon becoming aware) notify the Results Owner in writing of:</w:t>
            </w:r>
          </w:p>
        </w:tc>
      </w:tr>
    </w:tbl>
    <w:p>
      <w:pPr>
        <w:spacing w:after="0" w:line="103" w:lineRule="exact"/>
        <w:rPr>
          <w:sz w:val="20"/>
          <w:szCs w:val="20"/>
          <w:color w:val="auto"/>
        </w:rPr>
      </w:pPr>
    </w:p>
    <w:p>
      <w:pPr>
        <w:ind w:left="1960" w:right="320" w:hanging="655"/>
        <w:spacing w:after="0" w:line="266" w:lineRule="auto"/>
        <w:tabs>
          <w:tab w:leader="none" w:pos="1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conduct of a Third Party that the Party reasonably believes to be, or reasonably believes to be likely to be, an infringement, misappropriation or other violation of any Intellectual Property Rights licensed to the Party hereunder by a Third Party;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35" w:name="page436"/>
    <w:bookmarkEnd w:id="435"/>
    <w:p>
      <w:pPr>
        <w:ind w:left="1964" w:right="500" w:hanging="655"/>
        <w:spacing w:after="0" w:line="312" w:lineRule="auto"/>
        <w:tabs>
          <w:tab w:leader="none" w:pos="1964"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allegations made to the Party by a Third Party that any Intellectual Property Rights licensed hereunder are invalid, subject to cancellation, unenforceable, or is a misappropriation of any Intellectual Property Rights of a Third Party.</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the event that the Party has provided the Results Owner a notification pursuant to Section 5.4.1(a) above, and the Results Owner decides</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to take any action against the Third Party, the Results Owner may approve in writing that the other Party shall be entitled to itself take</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 against the Third Party at its own cost. If the Results Owner approves, it shall provide reasonable assistance to the other Party, as</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requested by the other Party at the other Party’s expense. If the Results Owner does not approve to the other Party taking such action, the</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 should be escalated to the Strategic Board for decision.</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5.4.3</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avoidance of doubt, the Results Owner has no responsibility in the event the Results are alleged to infringe in any Third Party’s</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 Rights and the Results Owner has, except for what is set out above in this Section 5.4 no obligation to defend and hold</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other Party harmless from and against any alleged infringements.</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Volvo brand name.</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5.5.1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sake of clarity, it is especially noted that this Service Agreement does not include any right to use the “Volvo” brand name, or</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or refer to “Volvo” in communications or official documents of whatever kind. The Parties acknowledge that the “Volvo”</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as well as the “Volvo” name is owned by Volvo Trademark Holding AB and that the right to use the name and the “Volvo”</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is subject to a service agreement, which stipulates that the name, Trademarks and all thereto related Intellectual Property can</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only be used by Volvo Car Corporation and its Affiliates in relation to Volvo products.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means that this Service Agreement does not include any rights to directly or indirectly use the “Volvo” brand name or “Volvo”</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on or for any products or when marketing, promoting and/or selling such products, or in any other contacts with Third Parties,</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e.g. in presentations, business cards and correspondence.</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Polestar brand name.</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5.6.1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Correspondingly, it is especially noted that this Service Agreement does not include any right to use the Polestar brand name or Trademarks,</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 refer to Polestar in communications or official documents of whatever kind.</w:t>
            </w:r>
          </w:p>
        </w:tc>
      </w:tr>
    </w:tbl>
    <w:p>
      <w:pPr>
        <w:spacing w:after="0" w:line="90" w:lineRule="exact"/>
        <w:rPr>
          <w:sz w:val="20"/>
          <w:szCs w:val="20"/>
          <w:color w:val="auto"/>
        </w:rPr>
      </w:pPr>
    </w:p>
    <w:p>
      <w:pPr>
        <w:ind w:left="884" w:right="80"/>
        <w:spacing w:after="0" w:line="266" w:lineRule="auto"/>
        <w:rPr>
          <w:sz w:val="20"/>
          <w:szCs w:val="20"/>
          <w:color w:val="auto"/>
        </w:rPr>
      </w:pPr>
      <w:r>
        <w:rPr>
          <w:rFonts w:ascii="Times New Roman" w:cs="Times New Roman" w:eastAsia="Times New Roman" w:hAnsi="Times New Roman"/>
          <w:sz w:val="18"/>
          <w:szCs w:val="18"/>
          <w:color w:val="auto"/>
        </w:rPr>
        <w:t xml:space="preserve">This means that this Service Agreement does not include any rights to directly or indirectly use the Polestar brand name or Polestar Trademarks, on or for any products or when marketing, promoting and/or selling such products, or in any other contacts with Third Parties, </w:t>
      </w:r>
      <w:r>
        <w:rPr>
          <w:rFonts w:ascii="Times New Roman" w:cs="Times New Roman" w:eastAsia="Times New Roman" w:hAnsi="Times New Roman"/>
          <w:sz w:val="18"/>
          <w:szCs w:val="18"/>
          <w:i w:val="1"/>
          <w:iCs w:val="1"/>
          <w:color w:val="auto"/>
        </w:rPr>
        <w:t xml:space="preserve">e.g. </w:t>
      </w:r>
      <w:r>
        <w:rPr>
          <w:rFonts w:ascii="Times New Roman" w:cs="Times New Roman" w:eastAsia="Times New Roman" w:hAnsi="Times New Roman"/>
          <w:sz w:val="18"/>
          <w:szCs w:val="18"/>
          <w:color w:val="auto"/>
        </w:rPr>
        <w:t>in presentations, business cards and correspondence.</w:t>
      </w:r>
    </w:p>
    <w:p>
      <w:pPr>
        <w:spacing w:after="0" w:line="320" w:lineRule="exact"/>
        <w:rPr>
          <w:sz w:val="20"/>
          <w:szCs w:val="20"/>
          <w:color w:val="auto"/>
        </w:rPr>
      </w:pPr>
    </w:p>
    <w:p>
      <w:pPr>
        <w:ind w:left="884" w:hanging="884"/>
        <w:spacing w:after="0"/>
        <w:tabs>
          <w:tab w:leader="none" w:pos="884"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CHARGES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6.1</w:t>
            </w: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consideration of Service Provider’s performance of the Services under this Service Agreement, Purchaser agrees to pay to Service</w:t>
            </w:r>
          </w:p>
        </w:tc>
      </w:tr>
      <w:tr>
        <w:trPr>
          <w:trHeight w:val="234"/>
        </w:trPr>
        <w:tc>
          <w:tcPr>
            <w:tcW w:w="540" w:type="dxa"/>
            <w:vAlign w:val="bottom"/>
          </w:tcPr>
          <w:p>
            <w:pPr>
              <w:spacing w:after="0"/>
              <w:rPr>
                <w:sz w:val="20"/>
                <w:szCs w:val="20"/>
                <w:color w:val="auto"/>
              </w:rPr>
            </w:pP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the Service Charges as set forth or referenced to in the Main Document.</w:t>
            </w:r>
          </w:p>
        </w:tc>
      </w:tr>
      <w:tr>
        <w:trPr>
          <w:trHeight w:val="364"/>
        </w:trPr>
        <w:tc>
          <w:tcPr>
            <w:tcW w:w="540" w:type="dxa"/>
            <w:vAlign w:val="bottom"/>
          </w:tcPr>
          <w:p>
            <w:pPr>
              <w:spacing w:after="0"/>
              <w:rPr>
                <w:sz w:val="24"/>
                <w:szCs w:val="24"/>
                <w:color w:val="auto"/>
              </w:rPr>
            </w:pPr>
          </w:p>
        </w:tc>
        <w:tc>
          <w:tcPr>
            <w:tcW w:w="9880" w:type="dxa"/>
            <w:vAlign w:val="bottom"/>
          </w:tcPr>
          <w:p>
            <w:pPr>
              <w:jc w:val="right"/>
              <w:ind w:right="473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0984"/>
          </w:cols>
          <w:pgMar w:left="436" w:top="270" w:right="479" w:bottom="1440" w:gutter="0" w:footer="0" w:header="0"/>
        </w:sectPr>
      </w:pPr>
    </w:p>
    <w:bookmarkStart w:id="436" w:name="page437"/>
    <w:bookmarkEnd w:id="436"/>
    <w:p>
      <w:pPr>
        <w:ind w:left="884" w:hanging="884"/>
        <w:spacing w:after="0"/>
        <w:tabs>
          <w:tab w:leader="none" w:pos="884"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TERMS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7.1</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Charges shall be paid in the currency set forth in the Main Document, in a timely manner and in accordance with the payment</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set forth in this Section 7.</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7.2</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Service Provider is responsible for charging and declaring sales tax/VAT or other taxes as follow from applicable law. Any applicable sales</w:t>
            </w:r>
          </w:p>
        </w:tc>
      </w:tr>
      <w:tr>
        <w:trPr>
          <w:trHeight w:val="216"/>
        </w:trPr>
        <w:tc>
          <w:tcPr>
            <w:tcW w:w="5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tax/VAT on the agreed price will be included in the invoices and paid by Purchaser. All amounts referred to in this Service Agreement are</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exclusive of VAT.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7.3</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If Service Provider is obligated to collect or pay taxes, such taxes shall be invoiced to Purchaser, unless Purchaser provides a valid tax</w:t>
            </w:r>
          </w:p>
        </w:tc>
      </w:tr>
      <w:tr>
        <w:trPr>
          <w:trHeight w:val="216"/>
        </w:trPr>
        <w:tc>
          <w:tcPr>
            <w:tcW w:w="5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exemption certificate authorized by the appropriate Tax Authority. If Purchaser is required by law to withhold any taxes from its payments,</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Purchaser must provide an official tax receipt or other appropriate documentation to support this withholding.</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7.4</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amount of the Service Charges invoiced by Service Provider to Purchaser shall be paid by Purchaser within 45 days after the invoice</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7.5</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made later than the due date will automatically be subject to interest for late payments for each day it is not paid and the interest</w:t>
            </w:r>
          </w:p>
        </w:tc>
      </w:tr>
      <w:tr>
        <w:trPr>
          <w:trHeight w:val="216"/>
        </w:trPr>
        <w:tc>
          <w:tcPr>
            <w:tcW w:w="5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shall be based on the one month applicable interbank rate, depending on invoice and currency, with an addition of two per cent (2.0%) per</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annum.</w:t>
            </w:r>
          </w:p>
        </w:tc>
      </w:tr>
      <w:tr>
        <w:trPr>
          <w:trHeight w:val="337"/>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7.6</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paid portion of the Service Charges is non-refundable, with the exception set forth in the Main Document.</w:t>
            </w:r>
          </w:p>
        </w:tc>
      </w:tr>
    </w:tbl>
    <w:p>
      <w:pPr>
        <w:spacing w:after="0" w:line="342" w:lineRule="exact"/>
        <w:rPr>
          <w:sz w:val="20"/>
          <w:szCs w:val="20"/>
          <w:color w:val="auto"/>
        </w:rPr>
      </w:pPr>
    </w:p>
    <w:p>
      <w:pPr>
        <w:ind w:left="884" w:hanging="884"/>
        <w:spacing w:after="0"/>
        <w:tabs>
          <w:tab w:leader="none" w:pos="884"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term of the Service Agreement, Purchaser shall have the right to, upon reasonable notice in writing to Service Provider, inspect</w:t>
            </w:r>
          </w:p>
        </w:tc>
      </w:tr>
      <w:tr>
        <w:trPr>
          <w:trHeight w:val="216"/>
        </w:trPr>
        <w:tc>
          <w:tcPr>
            <w:tcW w:w="5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Service Provider’s books and records related to the Services and the premises where the Services are performed, in order to conduct quality</w:t>
            </w:r>
          </w:p>
        </w:tc>
      </w:tr>
      <w:tr>
        <w:trPr>
          <w:trHeight w:val="234"/>
        </w:trPr>
        <w:tc>
          <w:tcPr>
            <w:tcW w:w="54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controls and otherwise verify the statements rendered under this Service Agreement.</w:t>
            </w:r>
          </w:p>
        </w:tc>
      </w:tr>
      <w:tr>
        <w:trPr>
          <w:trHeight w:val="31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Audits shall be made during regular business hours and be conducted by Purchaser or by an independent auditor appointed by Purchaser.</w:t>
            </w:r>
          </w:p>
        </w:tc>
      </w:tr>
      <w:tr>
        <w:trPr>
          <w:trHeight w:val="216"/>
        </w:trPr>
        <w:tc>
          <w:tcPr>
            <w:tcW w:w="5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Should Purchaser during any inspection find that Service Provider or the Services does/do not fulfil the requirements set forth herein,</w:t>
            </w:r>
          </w:p>
        </w:tc>
      </w:tr>
      <w:tr>
        <w:trPr>
          <w:trHeight w:val="216"/>
        </w:trPr>
        <w:tc>
          <w:tcPr>
            <w:tcW w:w="5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Purchaser is entitled to comment on the identified deviations. Service Provider shall, upon notice from Purchaser, take reasonable efforts to</w:t>
            </w:r>
          </w:p>
        </w:tc>
      </w:tr>
      <w:tr>
        <w:trPr>
          <w:trHeight w:val="216"/>
        </w:trPr>
        <w:tc>
          <w:tcPr>
            <w:tcW w:w="5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take the actions required in order to fulfil the requirements. In the event the Parties cannot agree upon measures to be taken in respect of the</w:t>
            </w:r>
          </w:p>
        </w:tc>
      </w:tr>
      <w:tr>
        <w:trPr>
          <w:trHeight w:val="234"/>
        </w:trPr>
        <w:tc>
          <w:tcPr>
            <w:tcW w:w="54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audit, each Party shall be entitled to escalate such issue to the Steering Committee.</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REPRESENTATIONS</w:t>
            </w: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Party warrants and represents to the other Party that:</w:t>
            </w:r>
          </w:p>
        </w:tc>
      </w:tr>
    </w:tbl>
    <w:p>
      <w:pPr>
        <w:spacing w:after="0" w:line="103" w:lineRule="exact"/>
        <w:rPr>
          <w:sz w:val="20"/>
          <w:szCs w:val="20"/>
          <w:color w:val="auto"/>
        </w:rPr>
      </w:pPr>
    </w:p>
    <w:p>
      <w:pPr>
        <w:ind w:left="1964" w:right="260" w:hanging="655"/>
        <w:spacing w:after="0" w:line="282" w:lineRule="auto"/>
        <w:tabs>
          <w:tab w:leader="none" w:pos="196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validly existing, and in good standing under the laws of its respective jurisdiction of incorporation or formation, as applicable;</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4"/>
          </w:cols>
          <w:pgMar w:left="436" w:top="266" w:right="519" w:bottom="1440" w:gutter="0" w:footer="0" w:header="0"/>
        </w:sectPr>
      </w:pPr>
    </w:p>
    <w:bookmarkStart w:id="437" w:name="page438"/>
    <w:bookmarkEnd w:id="437"/>
    <w:p>
      <w:pPr>
        <w:ind w:left="1960" w:right="620" w:hanging="655"/>
        <w:spacing w:after="0" w:line="282" w:lineRule="auto"/>
        <w:tabs>
          <w:tab w:leader="none" w:pos="19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has full corporate power and authority to execute and deliver this Service Agreement and to perform its obligations hereunder;</w:t>
      </w:r>
    </w:p>
    <w:p>
      <w:pPr>
        <w:spacing w:after="0" w:line="67"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w:t>
      </w:r>
    </w:p>
    <w:p>
      <w:pPr>
        <w:spacing w:after="0" w:line="8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Service Agreement is a legal and binding obligation of it, enforceable against it in accordance with its terms.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the extent any Background IP is embedded, or otherwise included, in the Results and subject to the license granted in Section 5.3 above,</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the Parties acknowledge that the Background IP is licensed on an “as is” basis, without any warranties or representations of any kind (except</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the warranties in Section 9.1 above), whether implied or express, and in particular any warranties of suitability, merchantability,</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description, design and fitness for a particular purpose, non-infringement, completeness, systems integration and accuracy are expressly</w:t>
            </w:r>
          </w:p>
        </w:tc>
      </w:tr>
      <w:tr>
        <w:trPr>
          <w:trHeight w:val="234"/>
        </w:trPr>
        <w:tc>
          <w:tcPr>
            <w:tcW w:w="60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excluded to the maximum extent permissible by law.</w:t>
            </w:r>
          </w:p>
        </w:tc>
      </w:tr>
      <w:tr>
        <w:trPr>
          <w:trHeight w:val="581"/>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SERVICE WARRANTY</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When performing the Services, Service Provider shall provide professional and skilled personnel, reasonably experienced for the Services to</w:t>
            </w:r>
          </w:p>
        </w:tc>
      </w:tr>
      <w:tr>
        <w:trPr>
          <w:trHeight w:val="234"/>
        </w:trPr>
        <w:tc>
          <w:tcPr>
            <w:tcW w:w="60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 performed at the best of their knowledge.</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Provider provides the Services “as is”. Service Provider does neither warrant nor represent that any Services, provided or delivered</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Purchaser hereunder are functional for the business needs of Purchaser or otherwise suitable for any specific purpose, nor that the</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Services, are not infringing any Intellectual Property of any third party. Service Provider does neither give any representations or warranties</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regards the merchantability of the deliverables to be delivered hereunder nor any other representations or warranties of any kind</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whatsoever concerning the Services. Purchaser acknowledges that the price of the Services to be performed and other deliverables to be</w:t>
            </w:r>
          </w:p>
        </w:tc>
      </w:tr>
      <w:tr>
        <w:trPr>
          <w:trHeight w:val="234"/>
        </w:trPr>
        <w:tc>
          <w:tcPr>
            <w:tcW w:w="60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delivered by Service Provider are set in consideration of the foregoing.</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Provider shall after receipt of notice of a claim related to Purchaser’s use of the Services notify Purchaser of such claim in writing</w:t>
            </w:r>
          </w:p>
        </w:tc>
      </w:tr>
      <w:tr>
        <w:trPr>
          <w:trHeight w:val="216"/>
        </w:trPr>
        <w:tc>
          <w:tcPr>
            <w:tcW w:w="60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Purchaser shall following receipt of such notice, to the extent permitted under applicable law, at its own cost conduct negotiations with</w:t>
            </w:r>
          </w:p>
        </w:tc>
      </w:tr>
      <w:tr>
        <w:trPr>
          <w:trHeight w:val="234"/>
        </w:trPr>
        <w:tc>
          <w:tcPr>
            <w:tcW w:w="60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third party presenting the claim and/or intervene in any suit or action. Purchaser shall at all times keep Service Provider informed of the</w:t>
            </w:r>
          </w:p>
        </w:tc>
      </w:tr>
    </w:tbl>
    <w:p>
      <w:pPr>
        <w:ind w:left="880" w:right="80"/>
        <w:spacing w:after="0" w:line="252" w:lineRule="auto"/>
        <w:rPr>
          <w:sz w:val="20"/>
          <w:szCs w:val="20"/>
          <w:color w:val="auto"/>
        </w:rPr>
      </w:pPr>
      <w:r>
        <w:rPr>
          <w:rFonts w:ascii="Times New Roman" w:cs="Times New Roman" w:eastAsia="Times New Roman" w:hAnsi="Times New Roman"/>
          <w:sz w:val="18"/>
          <w:szCs w:val="18"/>
          <w:color w:val="auto"/>
        </w:rPr>
        <w:t>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38" w:name="page439"/>
    <w:bookmarkEnd w:id="438"/>
    <w:p>
      <w:pPr>
        <w:ind w:left="884" w:hanging="884"/>
        <w:spacing w:after="0"/>
        <w:tabs>
          <w:tab w:leader="none" w:pos="884"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11.1</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Neither Party shall be responsible for any indirect, incidental or consequential damage or any losses of production or profit caused by it</w:t>
            </w:r>
          </w:p>
        </w:tc>
      </w:tr>
      <w:tr>
        <w:trPr>
          <w:trHeight w:val="234"/>
        </w:trPr>
        <w:tc>
          <w:tcPr>
            <w:tcW w:w="58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this Service Agreement.</w:t>
            </w:r>
          </w:p>
        </w:tc>
      </w:tr>
      <w:tr>
        <w:trPr>
          <w:trHeight w:val="319"/>
        </w:trPr>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11.2</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Each Party’s aggregate liability for any direct damage arising out of or in connection with this Service Agreement shall be limited to 30 % of</w:t>
            </w:r>
          </w:p>
        </w:tc>
      </w:tr>
      <w:tr>
        <w:trPr>
          <w:trHeight w:val="234"/>
        </w:trPr>
        <w:tc>
          <w:tcPr>
            <w:tcW w:w="58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total Service Charges payable by Purchaser to Service Provider hereunder.</w:t>
            </w:r>
          </w:p>
        </w:tc>
      </w:tr>
      <w:tr>
        <w:trPr>
          <w:trHeight w:val="338"/>
        </w:trPr>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11.3</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limitations of liability set forth in this Section 11 shall not apply in respect of:</w:t>
            </w:r>
          </w:p>
        </w:tc>
      </w:tr>
    </w:tbl>
    <w:p>
      <w:pPr>
        <w:spacing w:after="0" w:line="103" w:lineRule="exact"/>
        <w:rPr>
          <w:sz w:val="20"/>
          <w:szCs w:val="20"/>
          <w:color w:val="auto"/>
        </w:rPr>
      </w:pPr>
    </w:p>
    <w:p>
      <w:pPr>
        <w:ind w:left="1964" w:hanging="655"/>
        <w:spacing w:after="0"/>
        <w:tabs>
          <w:tab w:leader="none" w:pos="19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related to death or bodily injury;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wilful misconduct or gross negligence;</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a Party’s breach of the confidentiality undertakings in Section 13 below; or</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arising out of an infringement, or alleged infringement, of the other Party’s or any third party’s Intellectual Property.</w:t>
      </w:r>
    </w:p>
    <w:p>
      <w:pPr>
        <w:spacing w:after="0" w:line="370" w:lineRule="exact"/>
        <w:rPr>
          <w:sz w:val="20"/>
          <w:szCs w:val="20"/>
          <w:color w:val="auto"/>
        </w:rPr>
      </w:pPr>
    </w:p>
    <w:p>
      <w:pPr>
        <w:ind w:left="884" w:hanging="884"/>
        <w:spacing w:after="0"/>
        <w:tabs>
          <w:tab w:leader="none" w:pos="884"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AND CHANGES</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Governance.</w:t>
      </w:r>
    </w:p>
    <w:p>
      <w:pPr>
        <w:spacing w:after="0" w:line="135" w:lineRule="exact"/>
        <w:rPr>
          <w:sz w:val="20"/>
          <w:szCs w:val="20"/>
          <w:color w:val="auto"/>
        </w:rPr>
      </w:pPr>
    </w:p>
    <w:p>
      <w:pPr>
        <w:ind w:left="884" w:right="18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color w:val="auto"/>
        </w:rPr>
        <w:t>The Parties shall act in good faith in all matters and shall at all times co-operate in respect of changes to this Service Agreement as well as issues and/or disputes arising under this Service Agreement.</w:t>
      </w:r>
    </w:p>
    <w:p>
      <w:pPr>
        <w:spacing w:after="0" w:line="67" w:lineRule="exact"/>
        <w:rPr>
          <w:sz w:val="20"/>
          <w:szCs w:val="20"/>
          <w:color w:val="auto"/>
        </w:rPr>
      </w:pPr>
    </w:p>
    <w:p>
      <w:pPr>
        <w:jc w:val="both"/>
        <w:ind w:left="884"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color w:val="auto"/>
        </w:rPr>
        <w:t xml:space="preserve">The governance and co-operation between the Parties in respect of this Service Agreement shall primarily be administered on an operational level. In the event the Parties on an operational level cannot agree upon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prioritisation of development activities or other aspects relating to the co-operation between the Parties, each Party shall be entitled to escalate such issue to the Steering Committee.</w:t>
      </w:r>
    </w:p>
    <w:p>
      <w:pPr>
        <w:spacing w:after="0" w:line="81" w:lineRule="exact"/>
        <w:rPr>
          <w:sz w:val="20"/>
          <w:szCs w:val="20"/>
          <w:color w:val="auto"/>
        </w:rPr>
      </w:pPr>
    </w:p>
    <w:p>
      <w:pPr>
        <w:ind w:left="884" w:right="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8"/>
          <w:szCs w:val="18"/>
          <w:color w:val="auto"/>
        </w:rPr>
        <w:t>If the Steering Committee fails to agree upon a solution of the disagreement the relevant issue should be escalated to the Strategic Board for decision.</w:t>
      </w:r>
    </w:p>
    <w:p>
      <w:pPr>
        <w:spacing w:after="0" w:line="18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Changes.</w:t>
      </w:r>
    </w:p>
    <w:p>
      <w:pPr>
        <w:spacing w:after="0" w:line="135" w:lineRule="exact"/>
        <w:rPr>
          <w:sz w:val="20"/>
          <w:szCs w:val="20"/>
          <w:color w:val="auto"/>
        </w:rPr>
      </w:pPr>
    </w:p>
    <w:p>
      <w:pPr>
        <w:ind w:left="884"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During the term of this Service Agreement, Purchaser can request changes to the Service Specification, which shall be handled in accordance with the governance procedure set forth in Section 12.112.1 above. Both Parties agree to act in good faith to address and respond to any change request within a reasonable period of time.</w:t>
      </w:r>
    </w:p>
    <w:p>
      <w:pPr>
        <w:spacing w:after="0" w:line="81" w:lineRule="exact"/>
        <w:rPr>
          <w:sz w:val="20"/>
          <w:szCs w:val="20"/>
          <w:color w:val="auto"/>
        </w:rPr>
      </w:pPr>
    </w:p>
    <w:p>
      <w:pPr>
        <w:jc w:val="both"/>
        <w:ind w:left="884" w:right="8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439" w:name="page440"/>
    <w:bookmarkEnd w:id="439"/>
    <w:p>
      <w:pPr>
        <w:ind w:left="884" w:hanging="884"/>
        <w:spacing w:after="0"/>
        <w:tabs>
          <w:tab w:leader="none" w:pos="884"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The Parties shall take any and all necessary measures to comply with the security and confidentiality procedures of the other Party.</w:t>
      </w:r>
    </w:p>
    <w:p>
      <w:pPr>
        <w:spacing w:after="0" w:line="131" w:lineRule="exact"/>
        <w:rPr>
          <w:sz w:val="20"/>
          <w:szCs w:val="20"/>
          <w:color w:val="auto"/>
        </w:rPr>
      </w:pPr>
    </w:p>
    <w:p>
      <w:pPr>
        <w:ind w:left="884" w:right="140" w:hanging="876"/>
        <w:spacing w:after="0" w:line="256" w:lineRule="auto"/>
        <w:tabs>
          <w:tab w:leader="none" w:pos="864"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w:t>
      </w:r>
    </w:p>
    <w:p>
      <w:pPr>
        <w:spacing w:after="0" w:line="93" w:lineRule="exact"/>
        <w:rPr>
          <w:sz w:val="20"/>
          <w:szCs w:val="20"/>
          <w:color w:val="auto"/>
        </w:rPr>
      </w:pPr>
    </w:p>
    <w:p>
      <w:pPr>
        <w:ind w:left="1964" w:hanging="655"/>
        <w:spacing w:after="0"/>
        <w:tabs>
          <w:tab w:leader="none" w:pos="196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public domain other than by breach of this undertaking, or by another confidentiality undertaking;</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in the possession of the Receiving Party before its receipt from the Disclosing Party;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from a Third Party who is free to divulge the same;</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required to be disclosed by mandatory law, court order, lawful government action or applicable stock exchange regulations;</w:t>
      </w:r>
    </w:p>
    <w:p>
      <w:pPr>
        <w:spacing w:after="0" w:line="142" w:lineRule="exact"/>
        <w:rPr>
          <w:rFonts w:ascii="Times New Roman" w:cs="Times New Roman" w:eastAsia="Times New Roman" w:hAnsi="Times New Roman"/>
          <w:sz w:val="17"/>
          <w:szCs w:val="17"/>
          <w:color w:val="auto"/>
        </w:rPr>
      </w:pPr>
    </w:p>
    <w:p>
      <w:pPr>
        <w:ind w:left="1964" w:hanging="655"/>
        <w:spacing w:after="0"/>
        <w:tabs>
          <w:tab w:leader="none" w:pos="196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necessary for either Party to utilize its rights and use of its Intellectual Property Rights; or</w:t>
      </w:r>
    </w:p>
    <w:p>
      <w:pPr>
        <w:spacing w:after="0" w:line="130" w:lineRule="exact"/>
        <w:rPr>
          <w:rFonts w:ascii="Times New Roman" w:cs="Times New Roman" w:eastAsia="Times New Roman" w:hAnsi="Times New Roman"/>
          <w:sz w:val="18"/>
          <w:szCs w:val="18"/>
          <w:color w:val="auto"/>
        </w:rPr>
      </w:pPr>
    </w:p>
    <w:p>
      <w:pPr>
        <w:ind w:left="1964" w:right="220" w:hanging="655"/>
        <w:spacing w:after="0" w:line="282" w:lineRule="auto"/>
        <w:tabs>
          <w:tab w:leader="none" w:pos="196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or created by one Party independently of the other, without any part thereof having been developed or created with assistance or information received from the other Party.</w:t>
      </w:r>
    </w:p>
    <w:p>
      <w:pPr>
        <w:spacing w:after="0" w:line="67" w:lineRule="exact"/>
        <w:rPr>
          <w:sz w:val="20"/>
          <w:szCs w:val="20"/>
          <w:color w:val="auto"/>
        </w:rPr>
      </w:pPr>
    </w:p>
    <w:p>
      <w:pPr>
        <w:ind w:left="884"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w:t>
      </w:r>
    </w:p>
    <w:p>
      <w:pPr>
        <w:spacing w:after="0" w:line="89" w:lineRule="exact"/>
        <w:rPr>
          <w:sz w:val="20"/>
          <w:szCs w:val="20"/>
          <w:color w:val="auto"/>
        </w:rPr>
      </w:pPr>
    </w:p>
    <w:p>
      <w:pPr>
        <w:ind w:left="884" w:right="40"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440" w:name="page441"/>
    <w:bookmarkEnd w:id="440"/>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r>
      <w:r>
        <w:rPr>
          <w:sz w:val="20"/>
          <w:szCs w:val="20"/>
          <w:color w:val="auto"/>
        </w:rPr>
        <w:tab/>
      </w:r>
      <w:r>
        <w:rPr>
          <w:rFonts w:ascii="Times New Roman" w:cs="Times New Roman" w:eastAsia="Times New Roman" w:hAnsi="Times New Roman"/>
          <w:sz w:val="17"/>
          <w:szCs w:val="17"/>
          <w:color w:val="auto"/>
        </w:rPr>
        <w:t>If any Party violates any of its obligations described in this Section 13, the violating Party shall, upon notification from the other Party,</w:t>
      </w:r>
    </w:p>
    <w:p>
      <w:pPr>
        <w:spacing w:after="0" w:line="27" w:lineRule="exact"/>
        <w:rPr>
          <w:sz w:val="20"/>
          <w:szCs w:val="20"/>
          <w:color w:val="auto"/>
        </w:rPr>
      </w:pPr>
    </w:p>
    <w:p>
      <w:pPr>
        <w:ind w:left="884" w:hanging="7"/>
        <w:spacing w:after="0" w:line="255" w:lineRule="auto"/>
        <w:tabs>
          <w:tab w:leader="none" w:pos="109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to proceed such harmful violation and take all actions needed to rectify said behaviour and (ii) financially compensate for the harm suffered as determined by an arbitral tribunal pursuant to 17.1.5 below. All legal remedies (compensatory but not punitive in nature) according to law shall apply.</w:t>
      </w:r>
    </w:p>
    <w:p>
      <w:pPr>
        <w:spacing w:after="0" w:line="91" w:lineRule="exact"/>
        <w:rPr>
          <w:sz w:val="20"/>
          <w:szCs w:val="20"/>
          <w:color w:val="auto"/>
        </w:rPr>
      </w:pPr>
    </w:p>
    <w:p>
      <w:pPr>
        <w:jc w:val="both"/>
        <w:ind w:left="884" w:right="34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w:t>
      </w:r>
    </w:p>
    <w:p>
      <w:pPr>
        <w:spacing w:after="0" w:line="8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7"/>
          <w:szCs w:val="17"/>
          <w:color w:val="auto"/>
        </w:rPr>
        <w:t>This confidentiality provision shall survive the expiration or termination of this Service Agreement without limitation in time.</w:t>
      </w:r>
    </w:p>
    <w:p>
      <w:pPr>
        <w:spacing w:after="0" w:line="370" w:lineRule="exact"/>
        <w:rPr>
          <w:sz w:val="20"/>
          <w:szCs w:val="20"/>
          <w:color w:val="auto"/>
        </w:rPr>
      </w:pPr>
    </w:p>
    <w:p>
      <w:pPr>
        <w:ind w:left="884" w:hanging="884"/>
        <w:spacing w:after="0"/>
        <w:tabs>
          <w:tab w:leader="none" w:pos="884"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5" w:lineRule="exact"/>
        <w:rPr>
          <w:sz w:val="20"/>
          <w:szCs w:val="20"/>
          <w:color w:val="auto"/>
        </w:rPr>
      </w:pPr>
    </w:p>
    <w:p>
      <w:pPr>
        <w:ind w:left="884" w:right="1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This Service Agreement shall become effective when the Main Document is signed by duly authorised signatories of each Party and shall, unless terminated in accordance with this Section 14 below, remain in force until the Services are completed.</w:t>
      </w:r>
    </w:p>
    <w:p>
      <w:pPr>
        <w:spacing w:after="0" w:line="6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Either Party shall be entitled to terminate this Service Agreement with immediate effect in the event:</w:t>
      </w:r>
    </w:p>
    <w:p>
      <w:pPr>
        <w:spacing w:after="0" w:line="131" w:lineRule="exact"/>
        <w:rPr>
          <w:sz w:val="20"/>
          <w:szCs w:val="20"/>
          <w:color w:val="auto"/>
        </w:rPr>
      </w:pPr>
    </w:p>
    <w:p>
      <w:pPr>
        <w:ind w:left="1964" w:right="240" w:hanging="655"/>
        <w:spacing w:after="0" w:line="282" w:lineRule="auto"/>
        <w:tabs>
          <w:tab w:leader="none" w:pos="196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commits a material breach of the terms of this Service Agreement, which has not been remedied within 30 days from written notice from the other Party to remedy such breach (if capable of being remedied); or</w:t>
      </w:r>
    </w:p>
    <w:p>
      <w:pPr>
        <w:spacing w:after="0" w:line="67" w:lineRule="exact"/>
        <w:rPr>
          <w:rFonts w:ascii="Times New Roman" w:cs="Times New Roman" w:eastAsia="Times New Roman" w:hAnsi="Times New Roman"/>
          <w:sz w:val="18"/>
          <w:szCs w:val="18"/>
          <w:color w:val="auto"/>
        </w:rPr>
      </w:pPr>
    </w:p>
    <w:p>
      <w:pPr>
        <w:ind w:left="1964" w:right="600" w:hanging="655"/>
        <w:spacing w:after="0" w:line="282" w:lineRule="auto"/>
        <w:tabs>
          <w:tab w:leader="none" w:pos="196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should become insolvent or enter into negotiations on composition with its creditors or a petition in bankruptcy should be filed by it or it should make an assignment for the benefit of its creditors.</w:t>
      </w:r>
    </w:p>
    <w:p>
      <w:pPr>
        <w:spacing w:after="0" w:line="67" w:lineRule="exact"/>
        <w:rPr>
          <w:sz w:val="20"/>
          <w:szCs w:val="20"/>
          <w:color w:val="auto"/>
        </w:rPr>
      </w:pPr>
    </w:p>
    <w:p>
      <w:pPr>
        <w:ind w:left="884" w:right="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avoidance of doubt, Purchaser not paying the Service Charges, without legitimate reasons for withholding payment, shall be considered in material breach for the purpose of this Service Agreement.</w:t>
      </w:r>
    </w:p>
    <w:p>
      <w:pPr>
        <w:spacing w:after="0" w:line="6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Furthermore, Purchaser is entitled to terminate this Service Agreement with immediate effect in case Service Provider acts in breach, which</w:t>
      </w:r>
    </w:p>
    <w:p>
      <w:pPr>
        <w:spacing w:after="0" w:line="27" w:lineRule="exact"/>
        <w:rPr>
          <w:sz w:val="20"/>
          <w:szCs w:val="20"/>
          <w:color w:val="auto"/>
        </w:rPr>
      </w:pPr>
    </w:p>
    <w:p>
      <w:pPr>
        <w:ind w:left="884" w:right="920"/>
        <w:spacing w:after="0" w:line="260" w:lineRule="auto"/>
        <w:rPr>
          <w:sz w:val="20"/>
          <w:szCs w:val="20"/>
          <w:color w:val="auto"/>
        </w:rPr>
      </w:pPr>
      <w:r>
        <w:rPr>
          <w:rFonts w:ascii="Times New Roman" w:cs="Times New Roman" w:eastAsia="Times New Roman" w:hAnsi="Times New Roman"/>
          <w:sz w:val="18"/>
          <w:szCs w:val="18"/>
          <w:color w:val="auto"/>
        </w:rPr>
        <w:t>is not insignificant, of what is set forth in Section 4.3 and 4.4 provided that the issue first has been escalated in accordance with Section 17.1.</w:t>
      </w:r>
    </w:p>
    <w:p>
      <w:pPr>
        <w:spacing w:after="0" w:line="87" w:lineRule="exact"/>
        <w:rPr>
          <w:sz w:val="20"/>
          <w:szCs w:val="20"/>
          <w:color w:val="auto"/>
        </w:rPr>
      </w:pPr>
    </w:p>
    <w:p>
      <w:pPr>
        <w:ind w:left="884"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Purchaser shall in addition be entitled to cancel the Services performed by Service Provider for convenience upon 30 days written notice to Service Provider. In such event, Service Provider shall, upon request from Purchaser,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w:t>
      </w:r>
    </w:p>
    <w:p>
      <w:pPr>
        <w:spacing w:after="0" w:line="89" w:lineRule="exact"/>
        <w:rPr>
          <w:sz w:val="20"/>
          <w:szCs w:val="20"/>
          <w:color w:val="auto"/>
        </w:rPr>
      </w:pPr>
    </w:p>
    <w:p>
      <w:pPr>
        <w:ind w:left="884" w:right="200" w:hanging="876"/>
        <w:spacing w:after="0" w:line="261" w:lineRule="auto"/>
        <w:tabs>
          <w:tab w:leader="none" w:pos="864"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In the event Purchaser cancels the Services in accordance with Section 14.5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441" w:name="page442"/>
    <w:bookmarkEnd w:id="441"/>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14.7</w:t>
      </w:r>
      <w:r>
        <w:rPr>
          <w:sz w:val="20"/>
          <w:szCs w:val="20"/>
          <w:color w:val="auto"/>
        </w:rPr>
        <w:tab/>
      </w:r>
      <w:r>
        <w:rPr>
          <w:rFonts w:ascii="Times New Roman" w:cs="Times New Roman" w:eastAsia="Times New Roman" w:hAnsi="Times New Roman"/>
          <w:sz w:val="17"/>
          <w:szCs w:val="17"/>
          <w:color w:val="auto"/>
        </w:rPr>
        <w:t>Either Party shall in addition be entitled to terminate the Service Agreement for convenience upon 60 days written notice to the other Party.</w:t>
      </w:r>
    </w:p>
    <w:p>
      <w:pPr>
        <w:spacing w:after="0" w:line="370" w:lineRule="exact"/>
        <w:rPr>
          <w:sz w:val="20"/>
          <w:szCs w:val="20"/>
          <w:color w:val="auto"/>
        </w:rPr>
      </w:pPr>
    </w:p>
    <w:p>
      <w:pPr>
        <w:ind w:left="884" w:hanging="884"/>
        <w:spacing w:after="0"/>
        <w:tabs>
          <w:tab w:leader="none" w:pos="884"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135" w:lineRule="exact"/>
        <w:rPr>
          <w:sz w:val="20"/>
          <w:szCs w:val="20"/>
          <w:color w:val="auto"/>
        </w:rPr>
      </w:pPr>
    </w:p>
    <w:p>
      <w:pPr>
        <w:ind w:left="884" w:hanging="876"/>
        <w:spacing w:after="0" w:line="254" w:lineRule="auto"/>
        <w:tabs>
          <w:tab w:leader="none" w:pos="864"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8"/>
          <w:szCs w:val="18"/>
          <w:color w:val="auto"/>
        </w:rPr>
        <w:t>Neither Party shall be liable for any failure or delay in performing its obligations under the Service Agreement to the extent that such failure or delay is caused by a Force Majeure Event.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w:t>
      </w:r>
    </w:p>
    <w:p>
      <w:pPr>
        <w:spacing w:after="0" w:line="94" w:lineRule="exact"/>
        <w:rPr>
          <w:sz w:val="20"/>
          <w:szCs w:val="20"/>
          <w:color w:val="auto"/>
        </w:rPr>
      </w:pPr>
    </w:p>
    <w:p>
      <w:pPr>
        <w:ind w:left="884" w:right="20" w:hanging="876"/>
        <w:spacing w:after="0" w:line="261" w:lineRule="auto"/>
        <w:tabs>
          <w:tab w:leader="none" w:pos="864"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color w:val="auto"/>
        </w:rPr>
        <w:t>A non-performing Party, which claims there is a Force Majeure Event, and cannot perform its obligations under the Service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w:t>
      </w:r>
    </w:p>
    <w:p>
      <w:pPr>
        <w:spacing w:after="0" w:line="81" w:lineRule="exact"/>
        <w:rPr>
          <w:sz w:val="20"/>
          <w:szCs w:val="20"/>
          <w:color w:val="auto"/>
        </w:rPr>
      </w:pPr>
    </w:p>
    <w:p>
      <w:pPr>
        <w:ind w:left="884" w:right="120" w:hanging="876"/>
        <w:spacing w:after="0" w:line="262" w:lineRule="auto"/>
        <w:tabs>
          <w:tab w:leader="none" w:pos="86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demands, requests and other communications to any Party as set forth in, or in any way relating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w:t>
      </w:r>
    </w:p>
    <w:p>
      <w:pPr>
        <w:spacing w:after="0" w:line="86" w:lineRule="exact"/>
        <w:rPr>
          <w:sz w:val="20"/>
          <w:szCs w:val="20"/>
          <w:color w:val="auto"/>
        </w:rPr>
      </w:pPr>
    </w:p>
    <w:p>
      <w:pPr>
        <w:ind w:left="1964" w:hanging="655"/>
        <w:spacing w:after="0"/>
        <w:tabs>
          <w:tab w:leader="none" w:pos="196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personal delivery, at the time and on the date of personal delivery;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transmission, at the time and date indicated on a response confirming such successful email transmission;</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at the time and on the date of delivery as confirmed in the records of such courier service; or</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and date as delivery by personal delivery or courier is refused by the addressee upon presentation;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42" w:name="page443"/>
    <w:bookmarkEnd w:id="442"/>
    <w:p>
      <w:pPr>
        <w:ind w:left="8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w:t>
      </w:r>
    </w:p>
    <w:p>
      <w:pPr>
        <w:spacing w:after="0" w:line="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b w:val="1"/>
          <w:bCs w:val="1"/>
          <w:color w:val="auto"/>
        </w:rPr>
        <w:t>Assignment.</w:t>
      </w:r>
    </w:p>
    <w:p>
      <w:pPr>
        <w:spacing w:after="0" w:line="135" w:lineRule="exact"/>
        <w:rPr>
          <w:sz w:val="20"/>
          <w:szCs w:val="20"/>
          <w:color w:val="auto"/>
        </w:rPr>
      </w:pPr>
    </w:p>
    <w:p>
      <w:pPr>
        <w:ind w:left="880" w:right="46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15.3.1</w:t>
      </w:r>
      <w:r>
        <w:rPr>
          <w:sz w:val="20"/>
          <w:szCs w:val="20"/>
          <w:color w:val="auto"/>
        </w:rPr>
        <w:tab/>
      </w:r>
      <w:r>
        <w:rPr>
          <w:rFonts w:ascii="Times New Roman" w:cs="Times New Roman" w:eastAsia="Times New Roman" w:hAnsi="Times New Roman"/>
          <w:sz w:val="18"/>
          <w:szCs w:val="18"/>
          <w:color w:val="auto"/>
        </w:rPr>
        <w:t>Neither Party may, wholly or partly, assign, pledge or otherwise dispose of its rights and/or obligations under this Service Agreement without the other Party’s prior written consent.</w:t>
      </w:r>
    </w:p>
    <w:p>
      <w:pPr>
        <w:spacing w:after="0" w:line="67" w:lineRule="exact"/>
        <w:rPr>
          <w:sz w:val="20"/>
          <w:szCs w:val="20"/>
          <w:color w:val="auto"/>
        </w:rPr>
      </w:pPr>
    </w:p>
    <w:p>
      <w:pPr>
        <w:ind w:left="880" w:right="36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15.3.2</w:t>
      </w:r>
      <w:r>
        <w:rPr>
          <w:sz w:val="20"/>
          <w:szCs w:val="20"/>
          <w:color w:val="auto"/>
        </w:rPr>
        <w:tab/>
      </w:r>
      <w:r>
        <w:rPr>
          <w:rFonts w:ascii="Times New Roman" w:cs="Times New Roman" w:eastAsia="Times New Roman" w:hAnsi="Times New Roman"/>
          <w:sz w:val="18"/>
          <w:szCs w:val="18"/>
          <w:color w:val="auto"/>
        </w:rPr>
        <w:t>Notwithstanding the above, each Party may assign this Service Agreement to an Affiliate without the prior written consent of the other Party.</w:t>
      </w:r>
    </w:p>
    <w:p>
      <w:pPr>
        <w:spacing w:after="0" w:line="63" w:lineRule="exact"/>
        <w:rPr>
          <w:sz w:val="20"/>
          <w:szCs w:val="20"/>
          <w:color w:val="auto"/>
        </w:rPr>
      </w:pPr>
    </w:p>
    <w:p>
      <w:pPr>
        <w:jc w:val="both"/>
        <w:ind w:left="880" w:right="300" w:hanging="876"/>
        <w:spacing w:after="0" w:line="268" w:lineRule="auto"/>
        <w:tabs>
          <w:tab w:leader="none" w:pos="86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Neither Party shall be deprived of any right under this Service Agreement because of its failure to exercise any right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Agreement or failure to notify the infringing party of a breach in connection with the Service Agreement. Notwithstanding the foregoing, rules on complaints and limitation periods shall apply.</w:t>
      </w:r>
    </w:p>
    <w:p>
      <w:pPr>
        <w:spacing w:after="0" w:line="76" w:lineRule="exact"/>
        <w:rPr>
          <w:sz w:val="20"/>
          <w:szCs w:val="20"/>
          <w:color w:val="auto"/>
        </w:rPr>
      </w:pPr>
    </w:p>
    <w:p>
      <w:pPr>
        <w:jc w:val="both"/>
        <w:ind w:left="880" w:right="220" w:hanging="876"/>
        <w:spacing w:after="0" w:line="268" w:lineRule="auto"/>
        <w:tabs>
          <w:tab w:leader="none" w:pos="86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any provision of this Service Agreement is wholly or partly invalid, the validity of the Service Agreement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shall not be affected and the remaining provisions of the Service Agreement shall remain valid. To the extent that such invalidity materially affects a Party’s benefit from, or performance under, the Service Agreement, it shall be reasonably amended.</w:t>
      </w:r>
    </w:p>
    <w:p>
      <w:pPr>
        <w:spacing w:after="0" w:line="76" w:lineRule="exact"/>
        <w:rPr>
          <w:sz w:val="20"/>
          <w:szCs w:val="20"/>
          <w:color w:val="auto"/>
        </w:rPr>
      </w:pPr>
    </w:p>
    <w:p>
      <w:pPr>
        <w:ind w:left="880" w:right="260" w:hanging="876"/>
        <w:spacing w:after="0" w:line="317" w:lineRule="auto"/>
        <w:tabs>
          <w:tab w:leader="none" w:pos="86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All arrangements, commitments and undertakings in connection with the subject matter of this Service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written or oral) made before the date of this Service Agreement are superseded by this Service Agreement and its Appendices.</w:t>
      </w:r>
    </w:p>
    <w:p>
      <w:pPr>
        <w:spacing w:after="0" w:line="3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b w:val="1"/>
          <w:bCs w:val="1"/>
          <w:color w:val="auto"/>
        </w:rPr>
        <w:t xml:space="preserve">Amendments. </w:t>
      </w:r>
      <w:r>
        <w:rPr>
          <w:rFonts w:ascii="Times New Roman" w:cs="Times New Roman" w:eastAsia="Times New Roman" w:hAnsi="Times New Roman"/>
          <w:sz w:val="17"/>
          <w:szCs w:val="17"/>
          <w:color w:val="auto"/>
        </w:rPr>
        <w:t>Any amendment or addition to this Service Agreement must be made in writing and signed by the Parties to be valid.</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133" w:lineRule="exact"/>
        <w:rPr>
          <w:sz w:val="20"/>
          <w:szCs w:val="20"/>
          <w:color w:val="auto"/>
        </w:rPr>
      </w:pPr>
    </w:p>
    <w:p>
      <w:pPr>
        <w:jc w:val="both"/>
        <w:ind w:left="880" w:right="120" w:hanging="876"/>
        <w:spacing w:after="0" w:line="267" w:lineRule="auto"/>
        <w:tabs>
          <w:tab w:leader="none" w:pos="860" w:val="left"/>
        </w:tabs>
        <w:rPr>
          <w:sz w:val="20"/>
          <w:szCs w:val="20"/>
          <w:color w:val="auto"/>
        </w:rPr>
      </w:pPr>
      <w:r>
        <w:rPr>
          <w:rFonts w:ascii="Times New Roman" w:cs="Times New Roman" w:eastAsia="Times New Roman" w:hAnsi="Times New Roman"/>
          <w:sz w:val="18"/>
          <w:szCs w:val="18"/>
          <w:color w:val="auto"/>
        </w:rPr>
        <w:t>15.8.1</w:t>
      </w:r>
      <w:r>
        <w:rPr>
          <w:sz w:val="20"/>
          <w:szCs w:val="20"/>
          <w:color w:val="auto"/>
        </w:rPr>
        <w:tab/>
      </w:r>
      <w:r>
        <w:rPr>
          <w:rFonts w:ascii="Times New Roman" w:cs="Times New Roman" w:eastAsia="Times New Roman" w:hAnsi="Times New Roman"/>
          <w:sz w:val="18"/>
          <w:szCs w:val="18"/>
          <w:color w:val="auto"/>
        </w:rPr>
        <w:t>If this Service Agreement is terminated or expires pursuant to Section 14 above, Section 5.3 (</w:t>
      </w:r>
      <w:r>
        <w:rPr>
          <w:rFonts w:ascii="Times New Roman" w:cs="Times New Roman" w:eastAsia="Times New Roman" w:hAnsi="Times New Roman"/>
          <w:sz w:val="18"/>
          <w:szCs w:val="18"/>
          <w:i w:val="1"/>
          <w:iCs w:val="1"/>
          <w:color w:val="auto"/>
        </w:rPr>
        <w:t>License grant</w:t>
      </w:r>
      <w:r>
        <w:rPr>
          <w:rFonts w:ascii="Times New Roman" w:cs="Times New Roman" w:eastAsia="Times New Roman" w:hAnsi="Times New Roman"/>
          <w:sz w:val="18"/>
          <w:szCs w:val="18"/>
          <w:color w:val="auto"/>
        </w:rPr>
        <w:t>), Section 13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Section 16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Section 17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as well as this Section 15.8, shall survive any termination or expiration and remain in force as between the Parties after such termination or expiration.</w:t>
      </w:r>
    </w:p>
    <w:p>
      <w:pPr>
        <w:spacing w:after="0" w:line="81" w:lineRule="exact"/>
        <w:rPr>
          <w:sz w:val="20"/>
          <w:szCs w:val="20"/>
          <w:color w:val="auto"/>
        </w:rPr>
      </w:pPr>
    </w:p>
    <w:p>
      <w:pPr>
        <w:ind w:left="880" w:right="200" w:hanging="876"/>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15.8.2</w:t>
      </w:r>
      <w:r>
        <w:rPr>
          <w:sz w:val="20"/>
          <w:szCs w:val="20"/>
          <w:color w:val="auto"/>
        </w:rPr>
        <w:tab/>
      </w:r>
      <w:r>
        <w:rPr>
          <w:rFonts w:ascii="Times New Roman" w:cs="Times New Roman" w:eastAsia="Times New Roman" w:hAnsi="Times New Roman"/>
          <w:sz w:val="18"/>
          <w:szCs w:val="18"/>
          <w:color w:val="auto"/>
        </w:rPr>
        <w:t>Notwithstanding Section 15.8.1 above, if this Service Agreement is terminated due to Purchaser not paying the Service Charges, without legitimate reasons for withholding payment, pursuant to Section 14 above, Section 5.3 (</w:t>
      </w:r>
      <w:r>
        <w:rPr>
          <w:rFonts w:ascii="Times New Roman" w:cs="Times New Roman" w:eastAsia="Times New Roman" w:hAnsi="Times New Roman"/>
          <w:sz w:val="18"/>
          <w:szCs w:val="18"/>
          <w:i w:val="1"/>
          <w:iCs w:val="1"/>
          <w:color w:val="auto"/>
        </w:rPr>
        <w:t>License Grant</w:t>
      </w:r>
      <w:r>
        <w:rPr>
          <w:rFonts w:ascii="Times New Roman" w:cs="Times New Roman" w:eastAsia="Times New Roman" w:hAnsi="Times New Roman"/>
          <w:sz w:val="18"/>
          <w:szCs w:val="18"/>
          <w:color w:val="auto"/>
        </w:rPr>
        <w: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40" w:top="270" w:right="539" w:bottom="1440" w:gutter="0" w:footer="0" w:header="0"/>
        </w:sectPr>
      </w:pPr>
    </w:p>
    <w:bookmarkStart w:id="443" w:name="page444"/>
    <w:bookmarkEnd w:id="443"/>
    <w:p>
      <w:pPr>
        <w:ind w:left="544" w:hanging="544"/>
        <w:spacing w:after="0"/>
        <w:tabs>
          <w:tab w:leader="none" w:pos="544"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35" w:lineRule="exact"/>
        <w:rPr>
          <w:sz w:val="20"/>
          <w:szCs w:val="20"/>
          <w:color w:val="auto"/>
        </w:rPr>
      </w:pPr>
    </w:p>
    <w:p>
      <w:pPr>
        <w:ind w:left="884" w:right="6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This Service Agreement and all non-contractual obligations in connection with this Service Agreement shall be governed by the substantive laws of:</w:t>
      </w:r>
    </w:p>
    <w:p>
      <w:pPr>
        <w:spacing w:after="0" w:line="67" w:lineRule="exact"/>
        <w:rPr>
          <w:sz w:val="20"/>
          <w:szCs w:val="20"/>
          <w:color w:val="auto"/>
        </w:rPr>
      </w:pPr>
    </w:p>
    <w:p>
      <w:pPr>
        <w:ind w:left="1964" w:right="440" w:hanging="655"/>
        <w:spacing w:after="0" w:line="282" w:lineRule="auto"/>
        <w:tabs>
          <w:tab w:leader="none" w:pos="196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People’s Republic of China, if the Party that is providing the Services is incorporated under the laws of the People’s Republic of China; and</w:t>
      </w:r>
    </w:p>
    <w:p>
      <w:pPr>
        <w:spacing w:after="0" w:line="67"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Sweden, if the Party that is providing the Services is incorporated under the laws of Sweden,</w:t>
      </w:r>
    </w:p>
    <w:p>
      <w:pPr>
        <w:spacing w:after="0" w:line="11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without giving regard to its conflict of laws principles.</w:t>
      </w:r>
    </w:p>
    <w:p>
      <w:pPr>
        <w:spacing w:after="0" w:line="370" w:lineRule="exact"/>
        <w:rPr>
          <w:sz w:val="20"/>
          <w:szCs w:val="20"/>
          <w:color w:val="auto"/>
        </w:rPr>
      </w:pPr>
    </w:p>
    <w:p>
      <w:pPr>
        <w:ind w:left="884" w:hanging="884"/>
        <w:spacing w:after="0"/>
        <w:tabs>
          <w:tab w:leader="none" w:pos="884"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Escalation principles.</w:t>
      </w:r>
    </w:p>
    <w:p>
      <w:pPr>
        <w:spacing w:after="0" w:line="135" w:lineRule="exact"/>
        <w:rPr>
          <w:sz w:val="20"/>
          <w:szCs w:val="20"/>
          <w:color w:val="auto"/>
        </w:rPr>
      </w:pPr>
    </w:p>
    <w:p>
      <w:pPr>
        <w:ind w:left="884" w:right="60" w:hanging="876"/>
        <w:spacing w:after="0" w:line="256" w:lineRule="auto"/>
        <w:tabs>
          <w:tab w:leader="none" w:pos="864"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w:t>
      </w:r>
    </w:p>
    <w:p>
      <w:pPr>
        <w:spacing w:after="0" w:line="93" w:lineRule="exact"/>
        <w:rPr>
          <w:sz w:val="20"/>
          <w:szCs w:val="20"/>
          <w:color w:val="auto"/>
        </w:rPr>
      </w:pPr>
    </w:p>
    <w:p>
      <w:pPr>
        <w:ind w:left="884"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8"/>
          <w:szCs w:val="18"/>
          <w:color w:val="auto"/>
        </w:rPr>
        <w:t>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w:t>
      </w:r>
    </w:p>
    <w:p>
      <w:pPr>
        <w:spacing w:after="0" w:line="89" w:lineRule="exact"/>
        <w:rPr>
          <w:sz w:val="20"/>
          <w:szCs w:val="20"/>
          <w:color w:val="auto"/>
        </w:rPr>
      </w:pPr>
    </w:p>
    <w:p>
      <w:pPr>
        <w:ind w:left="884" w:right="160"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8"/>
          <w:szCs w:val="18"/>
          <w:color w:val="auto"/>
        </w:rPr>
        <w:t>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17.1.5 below.</w:t>
      </w:r>
    </w:p>
    <w:p>
      <w:pPr>
        <w:spacing w:after="0" w:line="89" w:lineRule="exact"/>
        <w:rPr>
          <w:sz w:val="20"/>
          <w:szCs w:val="20"/>
          <w:color w:val="auto"/>
        </w:rPr>
      </w:pPr>
    </w:p>
    <w:p>
      <w:pPr>
        <w:ind w:left="884" w:right="12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color w:val="auto"/>
        </w:rPr>
        <w:t>All notices and communications exchanged in the course of a deadlock resolution proceeding shall be considered Confidential Information of each Party and be subject to the confidentiality undertaking in Section 13 above.</w:t>
      </w:r>
    </w:p>
    <w:p>
      <w:pPr>
        <w:spacing w:after="0" w:line="67" w:lineRule="exact"/>
        <w:rPr>
          <w:sz w:val="20"/>
          <w:szCs w:val="20"/>
          <w:color w:val="auto"/>
        </w:rPr>
      </w:pPr>
    </w:p>
    <w:p>
      <w:pPr>
        <w:ind w:left="884" w:right="12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17.1.5</w:t>
      </w:r>
      <w:r>
        <w:rPr>
          <w:sz w:val="20"/>
          <w:szCs w:val="20"/>
          <w:color w:val="auto"/>
        </w:rPr>
        <w:tab/>
      </w:r>
      <w:r>
        <w:rPr>
          <w:rFonts w:ascii="Times New Roman" w:cs="Times New Roman" w:eastAsia="Times New Roman" w:hAnsi="Times New Roman"/>
          <w:sz w:val="18"/>
          <w:szCs w:val="18"/>
          <w:color w:val="auto"/>
        </w:rPr>
        <w:t>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444" w:name="page445"/>
    <w:bookmarkEnd w:id="444"/>
    <w:p>
      <w:pPr>
        <w:spacing w:after="0"/>
        <w:tabs>
          <w:tab w:leader="none" w:pos="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17.1.6</w:t>
      </w:r>
      <w:r>
        <w:rPr>
          <w:sz w:val="20"/>
          <w:szCs w:val="20"/>
          <w:color w:val="auto"/>
        </w:rPr>
        <w:tab/>
      </w:r>
      <w:r>
        <w:rPr>
          <w:rFonts w:ascii="Times New Roman" w:cs="Times New Roman" w:eastAsia="Times New Roman" w:hAnsi="Times New Roman"/>
          <w:sz w:val="17"/>
          <w:szCs w:val="17"/>
          <w:b w:val="1"/>
          <w:bCs w:val="1"/>
          <w:color w:val="auto"/>
        </w:rPr>
        <w:t>Arbitration.</w:t>
      </w:r>
    </w:p>
    <w:p>
      <w:pPr>
        <w:spacing w:after="0" w:line="135" w:lineRule="exact"/>
        <w:rPr>
          <w:sz w:val="20"/>
          <w:szCs w:val="20"/>
          <w:color w:val="auto"/>
        </w:rPr>
      </w:pPr>
    </w:p>
    <w:p>
      <w:pPr>
        <w:ind w:left="880" w:right="44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17.1.7</w:t>
      </w:r>
      <w:r>
        <w:rPr>
          <w:sz w:val="20"/>
          <w:szCs w:val="20"/>
          <w:color w:val="auto"/>
        </w:rPr>
        <w:tab/>
      </w:r>
      <w:r>
        <w:rPr>
          <w:rFonts w:ascii="Times New Roman" w:cs="Times New Roman" w:eastAsia="Times New Roman" w:hAnsi="Times New Roman"/>
          <w:sz w:val="18"/>
          <w:szCs w:val="18"/>
          <w:color w:val="auto"/>
        </w:rPr>
        <w:t>Any dispute, controversy or claim arising out of or in connection with this Service Agreement, or the breach, termination or invalidity thereof, shall:</w:t>
      </w:r>
    </w:p>
    <w:p>
      <w:pPr>
        <w:spacing w:after="0" w:line="67" w:lineRule="exact"/>
        <w:rPr>
          <w:sz w:val="20"/>
          <w:szCs w:val="20"/>
          <w:color w:val="auto"/>
        </w:rPr>
      </w:pPr>
    </w:p>
    <w:p>
      <w:pPr>
        <w:ind w:left="1960" w:hanging="655"/>
        <w:spacing w:after="0" w:line="261" w:lineRule="auto"/>
        <w:tabs>
          <w:tab w:leader="none" w:pos="19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that is providing the Services is incorporated under the laws of the People’s Republic of China,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and</w:t>
      </w:r>
    </w:p>
    <w:p>
      <w:pPr>
        <w:spacing w:after="0" w:line="85" w:lineRule="exact"/>
        <w:rPr>
          <w:rFonts w:ascii="Times New Roman" w:cs="Times New Roman" w:eastAsia="Times New Roman" w:hAnsi="Times New Roman"/>
          <w:sz w:val="18"/>
          <w:szCs w:val="18"/>
          <w:color w:val="auto"/>
        </w:rPr>
      </w:pPr>
    </w:p>
    <w:p>
      <w:pPr>
        <w:ind w:left="1960" w:right="40" w:hanging="655"/>
        <w:spacing w:after="0" w:line="261" w:lineRule="auto"/>
        <w:tabs>
          <w:tab w:leader="none" w:pos="19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w:t>
      </w:r>
    </w:p>
    <w:p>
      <w:pPr>
        <w:spacing w:after="0" w:line="85" w:lineRule="exact"/>
        <w:rPr>
          <w:sz w:val="20"/>
          <w:szCs w:val="20"/>
          <w:color w:val="auto"/>
        </w:rPr>
      </w:pPr>
    </w:p>
    <w:p>
      <w:pPr>
        <w:ind w:left="880" w:right="4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17.1.8</w:t>
      </w:r>
      <w:r>
        <w:rPr>
          <w:sz w:val="20"/>
          <w:szCs w:val="20"/>
          <w:color w:val="auto"/>
        </w:rPr>
        <w:tab/>
      </w:r>
      <w:r>
        <w:rPr>
          <w:rFonts w:ascii="Times New Roman" w:cs="Times New Roman" w:eastAsia="Times New Roman" w:hAnsi="Times New Roman"/>
          <w:sz w:val="18"/>
          <w:szCs w:val="18"/>
          <w:color w:val="auto"/>
        </w:rPr>
        <w:t>Irrespective of any discussions or disputes between the Parties, each Party shall always continue to fulfil its undertakings under this Service Agreement unless an arbitral tribunal or court (as the case may be) decides otherwise.</w:t>
      </w:r>
    </w:p>
    <w:p>
      <w:pPr>
        <w:spacing w:after="0" w:line="67" w:lineRule="exact"/>
        <w:rPr>
          <w:sz w:val="20"/>
          <w:szCs w:val="20"/>
          <w:color w:val="auto"/>
        </w:rPr>
      </w:pPr>
    </w:p>
    <w:p>
      <w:pPr>
        <w:ind w:left="880" w:right="60" w:hanging="876"/>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17.1.9</w:t>
      </w:r>
      <w:r>
        <w:rPr>
          <w:sz w:val="20"/>
          <w:szCs w:val="20"/>
          <w:color w:val="auto"/>
        </w:rPr>
        <w:tab/>
      </w:r>
      <w:r>
        <w:rPr>
          <w:rFonts w:ascii="Times New Roman" w:cs="Times New Roman" w:eastAsia="Times New Roman" w:hAnsi="Times New Roman"/>
          <w:sz w:val="18"/>
          <w:szCs w:val="18"/>
          <w:color w:val="auto"/>
        </w:rPr>
        <w:t>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w:t>
      </w:r>
    </w:p>
    <w:p>
      <w:pPr>
        <w:spacing w:after="0" w:line="85" w:lineRule="exact"/>
        <w:rPr>
          <w:sz w:val="20"/>
          <w:szCs w:val="20"/>
          <w:color w:val="auto"/>
        </w:rPr>
      </w:pPr>
    </w:p>
    <w:p>
      <w:pPr>
        <w:ind w:left="880" w:right="1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17.1.10</w:t>
      </w:r>
      <w:r>
        <w:rPr>
          <w:sz w:val="20"/>
          <w:szCs w:val="20"/>
          <w:color w:val="auto"/>
        </w:rPr>
        <w:tab/>
      </w:r>
      <w:r>
        <w:rPr>
          <w:rFonts w:ascii="Times New Roman" w:cs="Times New Roman" w:eastAsia="Times New Roman" w:hAnsi="Times New Roman"/>
          <w:sz w:val="18"/>
          <w:szCs w:val="18"/>
          <w:color w:val="auto"/>
        </w:rPr>
        <w:t>All arbitral proceedings as well as any and all information, documentation and materials in any form disclosed in the proceedings shall be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66" w:right="499" w:bottom="1440" w:gutter="0" w:footer="0" w:header="0"/>
        </w:sectPr>
      </w:pPr>
    </w:p>
    <w:bookmarkStart w:id="445" w:name="page446"/>
    <w:bookmarkEnd w:id="445"/>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3</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446" w:name="page447"/>
    <w:bookmarkEnd w:id="44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4</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447" w:name="page448"/>
    <w:bookmarkEnd w:id="447"/>
    <w:p>
      <w:pPr>
        <w:ind w:left="10004"/>
        <w:spacing w:after="0"/>
        <w:rPr>
          <w:sz w:val="20"/>
          <w:szCs w:val="20"/>
          <w:color w:val="auto"/>
        </w:rPr>
      </w:pPr>
      <w:r>
        <w:rPr>
          <w:rFonts w:ascii="Times New Roman" w:cs="Times New Roman" w:eastAsia="Times New Roman" w:hAnsi="Times New Roman"/>
          <w:sz w:val="17"/>
          <w:szCs w:val="17"/>
          <w:b w:val="1"/>
          <w:bCs w:val="1"/>
          <w:color w:val="auto"/>
        </w:rPr>
        <w:t>Exhibit 10.93</w:t>
      </w:r>
    </w:p>
    <w:p>
      <w:pPr>
        <w:spacing w:after="0" w:line="241"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SERVICE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MAIN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Project: Volvo Cars support Polestar R&amp;D organization in China.</w:t>
      </w:r>
    </w:p>
    <w:p>
      <w:pPr>
        <w:spacing w:after="0" w:line="22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Short description of activities under this Service Agreement: The Parties have agreed that the Service Provider will support the Purchaser to set up and maintain an R&amp;D organization in China.</w:t>
      </w:r>
    </w:p>
    <w:p>
      <w:pPr>
        <w:spacing w:after="0" w:line="158"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 xml:space="preserve">This Service Agreement is between </w:t>
      </w:r>
      <w:r>
        <w:rPr>
          <w:rFonts w:ascii="Times New Roman" w:cs="Times New Roman" w:eastAsia="Times New Roman" w:hAnsi="Times New Roman"/>
          <w:sz w:val="18"/>
          <w:szCs w:val="18"/>
          <w:b w:val="1"/>
          <w:bCs w:val="1"/>
          <w:color w:val="auto"/>
        </w:rPr>
        <w:t>Volvo Cars Technology (Shanghai) Co., Ltd</w:t>
      </w:r>
      <w:r>
        <w:rPr>
          <w:rFonts w:ascii="Times New Roman" w:cs="Times New Roman" w:eastAsia="Times New Roman" w:hAnsi="Times New Roman"/>
          <w:sz w:val="18"/>
          <w:szCs w:val="18"/>
          <w:color w:val="auto"/>
        </w:rPr>
        <w:t>, a limited liability company incorporated under the laws of P.R. China,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Polestar Automotive China Distribution Co., Ltd.</w:t>
      </w:r>
      <w:r>
        <w:rPr>
          <w:rFonts w:ascii="Times New Roman" w:cs="Times New Roman" w:eastAsia="Times New Roman" w:hAnsi="Times New Roman"/>
          <w:sz w:val="18"/>
          <w:szCs w:val="18"/>
          <w:color w:val="auto"/>
        </w:rPr>
        <w:t>, Reg. No. 91510112MA6D05KT88, a corporation organized and existing under the laws of P.R. China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Service Provider and Purchaser is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jointly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35" w:lineRule="exact"/>
        <w:rPr>
          <w:sz w:val="20"/>
          <w:szCs w:val="20"/>
          <w:color w:val="auto"/>
        </w:rPr>
      </w:pPr>
    </w:p>
    <w:p>
      <w:pPr>
        <w:ind w:left="884" w:right="180" w:hanging="884"/>
        <w:spacing w:after="0" w:line="266" w:lineRule="auto"/>
        <w:tabs>
          <w:tab w:leader="none" w:pos="88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determined that Service Provider shall provide to Purchaser certain Services (as defined in the General Terms), which are further described in in the Service Specification in Appendix 1. The provision of the Services shall be performed in accordance with the terms in this service agreement and its appendices (the “</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884" w:right="60" w:hanging="884"/>
        <w:spacing w:after="0" w:line="282" w:lineRule="auto"/>
        <w:tabs>
          <w:tab w:leader="none" w:pos="88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now wishes to enter into this Service Agreement for the purpose of receiving the Services and Service Provider wishes to provide the Services in accordance with the terms set forth in this Service Agreement.</w:t>
      </w:r>
    </w:p>
    <w:p>
      <w:pPr>
        <w:spacing w:after="0" w:line="67"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foregoing, the Parties have agreed to execute this Service Agreement.</w:t>
      </w:r>
    </w:p>
    <w:p>
      <w:pPr>
        <w:spacing w:after="0" w:line="32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31" w:lineRule="exact"/>
        <w:rPr>
          <w:sz w:val="20"/>
          <w:szCs w:val="20"/>
          <w:color w:val="auto"/>
        </w:rPr>
      </w:pPr>
    </w:p>
    <w:p>
      <w:pPr>
        <w:ind w:left="884" w:hanging="884"/>
        <w:spacing w:after="0"/>
        <w:tabs>
          <w:tab w:leader="none" w:pos="884"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1.1</w:t>
            </w:r>
          </w:p>
        </w:tc>
        <w:tc>
          <w:tcPr>
            <w:tcW w:w="10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This Service Agreement consists of this main document (the “</w:t>
            </w:r>
            <w:r>
              <w:rPr>
                <w:rFonts w:ascii="Times New Roman" w:cs="Times New Roman" w:eastAsia="Times New Roman" w:hAnsi="Times New Roman"/>
                <w:sz w:val="18"/>
                <w:szCs w:val="18"/>
                <w:b w:val="1"/>
                <w:bCs w:val="1"/>
                <w:color w:val="auto"/>
              </w:rPr>
              <w:t>Main Document</w:t>
            </w:r>
            <w:r>
              <w:rPr>
                <w:rFonts w:ascii="Times New Roman" w:cs="Times New Roman" w:eastAsia="Times New Roman" w:hAnsi="Times New Roman"/>
                <w:sz w:val="18"/>
                <w:szCs w:val="18"/>
                <w:color w:val="auto"/>
              </w:rPr>
              <w:t>”) and its appendices. This Main Document sets out the</w:t>
            </w:r>
          </w:p>
        </w:tc>
      </w:tr>
      <w:tr>
        <w:trPr>
          <w:trHeight w:val="194"/>
        </w:trPr>
        <w:tc>
          <w:tcPr>
            <w:tcW w:w="540" w:type="dxa"/>
            <w:vAlign w:val="bottom"/>
          </w:tcPr>
          <w:p>
            <w:pPr>
              <w:spacing w:after="0"/>
              <w:rPr>
                <w:sz w:val="16"/>
                <w:szCs w:val="16"/>
                <w:color w:val="auto"/>
              </w:rPr>
            </w:pPr>
          </w:p>
        </w:tc>
        <w:tc>
          <w:tcPr>
            <w:tcW w:w="1042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auto"/>
                <w:w w:val="99"/>
              </w:rPr>
              <w:t>specific terms in respect of the provision of the Services, whereas Appendix 2 sets out certain general terms and conditions applicable to the</w:t>
            </w:r>
          </w:p>
        </w:tc>
      </w:tr>
      <w:tr>
        <w:trPr>
          <w:trHeight w:val="20"/>
        </w:trPr>
        <w:tc>
          <w:tcPr>
            <w:tcW w:w="5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0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Parties’ rights, obligations and performance of the Parties’ activities hereunder (the “</w:t>
            </w:r>
            <w:r>
              <w:rPr>
                <w:rFonts w:ascii="Times New Roman" w:cs="Times New Roman" w:eastAsia="Times New Roman" w:hAnsi="Times New Roman"/>
                <w:sz w:val="18"/>
                <w:szCs w:val="18"/>
                <w:b w:val="1"/>
                <w:bCs w:val="1"/>
                <w:color w:val="auto"/>
              </w:rPr>
              <w:t>General Terms</w:t>
            </w:r>
            <w:r>
              <w:rPr>
                <w:rFonts w:ascii="Times New Roman" w:cs="Times New Roman" w:eastAsia="Times New Roman" w:hAnsi="Times New Roman"/>
                <w:sz w:val="18"/>
                <w:szCs w:val="18"/>
                <w:color w:val="auto"/>
              </w:rPr>
              <w:t>”).</w:t>
            </w:r>
          </w:p>
        </w:tc>
      </w:tr>
    </w:tbl>
    <w:p>
      <w:pPr>
        <w:spacing w:after="0" w:line="99" w:lineRule="exact"/>
        <w:rPr>
          <w:sz w:val="20"/>
          <w:szCs w:val="20"/>
          <w:color w:val="auto"/>
        </w:rPr>
      </w:pPr>
    </w:p>
    <w:p>
      <w:pPr>
        <w:ind w:left="884" w:hanging="884"/>
        <w:spacing w:after="0"/>
        <w:tabs>
          <w:tab w:leader="none" w:pos="884"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Specification</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 xml:space="preserve">The Parties have agreed upon the scope and specification for the Services as specified in the Service Specification in </w:t>
      </w:r>
      <w:r>
        <w:rPr>
          <w:rFonts w:ascii="Times New Roman" w:cs="Times New Roman" w:eastAsia="Times New Roman" w:hAnsi="Times New Roman"/>
          <w:sz w:val="17"/>
          <w:szCs w:val="17"/>
          <w:u w:val="single" w:color="auto"/>
          <w:color w:val="auto"/>
        </w:rPr>
        <w:t>Appendix 1</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48" w:name="page449"/>
    <w:bookmarkEnd w:id="448"/>
    <w:p>
      <w:pPr>
        <w:ind w:left="884" w:hanging="884"/>
        <w:spacing w:after="0"/>
        <w:tabs>
          <w:tab w:leader="none" w:pos="88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AFFILIATE</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Affiliate shall for the purpose of this Service Agreement have the following meaning:</w:t>
      </w:r>
    </w:p>
    <w:p>
      <w:pPr>
        <w:spacing w:after="0" w:line="113" w:lineRule="exact"/>
        <w:rPr>
          <w:sz w:val="20"/>
          <w:szCs w:val="20"/>
          <w:color w:val="auto"/>
        </w:rPr>
      </w:pPr>
    </w:p>
    <w:p>
      <w:pPr>
        <w:ind w:left="884"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other legal entity that, directly or indirectly, is controlled by or is under common control with Volvo Cars Technology (Shanghai) Co., Ltd. or Polestar Automotive China Distribution Co., Ltd;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w:t>
      </w:r>
    </w:p>
    <w:p>
      <w:pPr>
        <w:spacing w:after="0" w:line="85" w:lineRule="exact"/>
        <w:rPr>
          <w:sz w:val="20"/>
          <w:szCs w:val="20"/>
          <w:color w:val="auto"/>
        </w:rPr>
      </w:pPr>
    </w:p>
    <w:p>
      <w:pPr>
        <w:ind w:left="884" w:hanging="884"/>
        <w:spacing w:after="0"/>
        <w:tabs>
          <w:tab w:leader="none" w:pos="884"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CHARGES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4.1</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consideration of Service Provider’s performance of the Services under this Service Agreement, Purchaser shall to pay to Service Provider</w:t>
            </w:r>
          </w:p>
        </w:tc>
      </w:tr>
      <w:tr>
        <w:trPr>
          <w:trHeight w:val="238"/>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charges as further described below (the “</w:t>
            </w:r>
            <w:r>
              <w:rPr>
                <w:rFonts w:ascii="Times New Roman" w:cs="Times New Roman" w:eastAsia="Times New Roman" w:hAnsi="Times New Roman"/>
                <w:sz w:val="18"/>
                <w:szCs w:val="18"/>
                <w:b w:val="1"/>
                <w:bCs w:val="1"/>
                <w:color w:val="auto"/>
              </w:rPr>
              <w:t>Service Charges</w:t>
            </w:r>
            <w:r>
              <w:rPr>
                <w:rFonts w:ascii="Times New Roman" w:cs="Times New Roman" w:eastAsia="Times New Roman" w:hAnsi="Times New Roman"/>
                <w:sz w:val="18"/>
                <w:szCs w:val="18"/>
                <w:color w:val="auto"/>
              </w:rPr>
              <w: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4.2</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Service Charges for the Services will be based on the estimated cost for the Services to be performed by Service Provider as set forth in</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Specification in Appendix 1. The Parties acknowledge that the estimated Service Charges set forth in the Service Specification</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Appendix 1, are based on an estimation for the performance of the Services and that this estimation may differ from the final cost charged</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Service Provider.</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4.3</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Charges shall be paid in the currency: CNY</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4.4</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cost that are used to calculate the Service Charges shall be determined by Service Provider on an annual basis, based on the Services</w:t>
            </w:r>
          </w:p>
        </w:tc>
      </w:tr>
      <w:tr>
        <w:trPr>
          <w:trHeight w:val="214"/>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performed by Service Provider, as set out in the Service Specification in Appendix 1. The Service Charges shall be calculated on a time and</w:t>
            </w:r>
          </w:p>
        </w:tc>
      </w:tr>
      <w:tr>
        <w:trPr>
          <w:trHeight w:val="218"/>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material basis applying arm´s length cost using the cost plus method,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full cost incurred plus an arm´s length mark-up. All costs Service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Provider has in order to perform the Services shall be reimbursed by Purchaser. The cost should be reviewed and updated on an annual basis</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be in compliance with applicable tax legislation, including but not limited to the principle of “arm’s length distance” between the Parties.</w:t>
            </w:r>
          </w:p>
        </w:tc>
      </w:tr>
    </w:tbl>
    <w:p>
      <w:pPr>
        <w:spacing w:after="0" w:line="99" w:lineRule="exact"/>
        <w:rPr>
          <w:sz w:val="20"/>
          <w:szCs w:val="20"/>
          <w:color w:val="auto"/>
        </w:rPr>
      </w:pPr>
    </w:p>
    <w:p>
      <w:pPr>
        <w:ind w:left="884" w:hanging="884"/>
        <w:spacing w:after="0"/>
        <w:tabs>
          <w:tab w:leader="none" w:pos="884"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5.1</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If Service Provider, pursuant to the General Terms, appoints its Affiliates and/or subcontractors to perform the Services under this Service</w:t>
            </w:r>
          </w:p>
        </w:tc>
      </w:tr>
      <w:tr>
        <w:trPr>
          <w:trHeight w:val="234"/>
        </w:trPr>
        <w:tc>
          <w:tcPr>
            <w:tcW w:w="5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Service Provider shall include the costs relating to such work in the invoices to Purchaser.</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5.2</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Charges shall be invoiced on a quarterly basis at the end of each calendar quarter and paid by Purchaser in accordance with</w:t>
            </w:r>
          </w:p>
        </w:tc>
      </w:tr>
      <w:tr>
        <w:trPr>
          <w:trHeight w:val="234"/>
        </w:trPr>
        <w:tc>
          <w:tcPr>
            <w:tcW w:w="5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what is set out in the General Terms.</w:t>
            </w:r>
          </w:p>
        </w:tc>
      </w:tr>
    </w:tbl>
    <w:p>
      <w:pPr>
        <w:spacing w:after="0" w:line="99" w:lineRule="exact"/>
        <w:rPr>
          <w:sz w:val="20"/>
          <w:szCs w:val="20"/>
          <w:color w:val="auto"/>
        </w:rPr>
      </w:pPr>
    </w:p>
    <w:p>
      <w:pPr>
        <w:ind w:left="884" w:hanging="884"/>
        <w:spacing w:after="0"/>
        <w:tabs>
          <w:tab w:leader="none" w:pos="884"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FORUM</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6.1</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Parties agree that governance in respect of this Service Agreement shall be handled in accordance with what is set out in the General</w:t>
            </w:r>
          </w:p>
        </w:tc>
      </w:tr>
      <w:tr>
        <w:trPr>
          <w:trHeight w:val="216"/>
        </w:trPr>
        <w:tc>
          <w:tcPr>
            <w:tcW w:w="5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Terms in Appendix 2. When reference is made to a relevant governance forum, it shall for the purpose of this Service Agreement have the</w:t>
            </w:r>
          </w:p>
        </w:tc>
      </w:tr>
      <w:tr>
        <w:trPr>
          <w:trHeight w:val="234"/>
        </w:trPr>
        <w:tc>
          <w:tcPr>
            <w:tcW w:w="5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meaning set out below in this Section 6.</w:t>
            </w:r>
          </w:p>
        </w:tc>
      </w:tr>
      <w:tr>
        <w:trPr>
          <w:trHeight w:val="365"/>
        </w:trPr>
        <w:tc>
          <w:tcPr>
            <w:tcW w:w="540" w:type="dxa"/>
            <w:vAlign w:val="bottom"/>
          </w:tcPr>
          <w:p>
            <w:pPr>
              <w:spacing w:after="0"/>
              <w:rPr>
                <w:sz w:val="24"/>
                <w:szCs w:val="24"/>
                <w:color w:val="auto"/>
              </w:rPr>
            </w:pPr>
          </w:p>
        </w:tc>
        <w:tc>
          <w:tcPr>
            <w:tcW w:w="10260" w:type="dxa"/>
            <w:vAlign w:val="bottom"/>
          </w:tcPr>
          <w:p>
            <w:pPr>
              <w:jc w:val="right"/>
              <w:ind w:right="517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84"/>
          </w:cols>
          <w:pgMar w:left="436" w:top="266" w:right="479" w:bottom="1440" w:gutter="0" w:footer="0" w:header="0"/>
        </w:sectPr>
      </w:pPr>
    </w:p>
    <w:bookmarkStart w:id="449" w:name="page450"/>
    <w:bookmarkEnd w:id="4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6.2</w:t>
            </w: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first level of governance forum for handling the co-operation between the Parties in various matters, handling management,</w:t>
            </w:r>
          </w:p>
        </w:tc>
      </w:tr>
      <w:tr>
        <w:trPr>
          <w:trHeight w:val="220"/>
        </w:trPr>
        <w:tc>
          <w:tcPr>
            <w:tcW w:w="540" w:type="dxa"/>
            <w:vAlign w:val="bottom"/>
          </w:tcPr>
          <w:p>
            <w:pPr>
              <w:spacing w:after="0"/>
              <w:rPr>
                <w:sz w:val="19"/>
                <w:szCs w:val="19"/>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prioritisation of development activities etc. under the Service Agreement shall be the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which regarding cooperation</w:t>
            </w:r>
          </w:p>
        </w:tc>
      </w:tr>
      <w:tr>
        <w:trPr>
          <w:trHeight w:val="214"/>
        </w:trPr>
        <w:tc>
          <w:tcPr>
            <w:tcW w:w="5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between Polestar and Volvo Cars shall consist of members from both the Service Provider and the Purchaser and are authorised to decide on</w:t>
            </w:r>
          </w:p>
        </w:tc>
      </w:tr>
      <w:tr>
        <w:trPr>
          <w:trHeight w:val="218"/>
        </w:trPr>
        <w:tc>
          <w:tcPr>
            <w:tcW w:w="5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main program parameters such as time, technique and cost,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change that would affect main parameters should be decided by the</w:t>
            </w:r>
          </w:p>
        </w:tc>
      </w:tr>
      <w:tr>
        <w:trPr>
          <w:trHeight w:val="234"/>
        </w:trPr>
        <w:tc>
          <w:tcPr>
            <w:tcW w:w="540" w:type="dxa"/>
            <w:vAlign w:val="bottom"/>
          </w:tcPr>
          <w:p>
            <w:pPr>
              <w:spacing w:after="0"/>
              <w:rPr>
                <w:sz w:val="20"/>
                <w:szCs w:val="20"/>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appointed Steering Committee.</w:t>
            </w:r>
          </w:p>
        </w:tc>
      </w:tr>
      <w:tr>
        <w:trPr>
          <w:trHeight w:val="315"/>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6.3</w:t>
            </w: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higher level of governance forum, to which an issue shall be escalated if the Steering Committee fails to agree upon a solution shall be</w:t>
            </w:r>
          </w:p>
        </w:tc>
      </w:tr>
      <w:tr>
        <w:trPr>
          <w:trHeight w:val="220"/>
        </w:trPr>
        <w:tc>
          <w:tcPr>
            <w:tcW w:w="540" w:type="dxa"/>
            <w:vAlign w:val="bottom"/>
          </w:tcPr>
          <w:p>
            <w:pPr>
              <w:spacing w:after="0"/>
              <w:rPr>
                <w:sz w:val="19"/>
                <w:szCs w:val="19"/>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Strategic Board</w:t>
            </w:r>
            <w:r>
              <w:rPr>
                <w:rFonts w:ascii="Times New Roman" w:cs="Times New Roman" w:eastAsia="Times New Roman" w:hAnsi="Times New Roman"/>
                <w:sz w:val="18"/>
                <w:szCs w:val="18"/>
                <w:color w:val="auto"/>
              </w:rPr>
              <w:t>”, which regarding cooperation between Polestar and Volvo Cars shall be the highest level of governance forum</w:t>
            </w:r>
          </w:p>
        </w:tc>
      </w:tr>
      <w:tr>
        <w:trPr>
          <w:trHeight w:val="234"/>
        </w:trPr>
        <w:tc>
          <w:tcPr>
            <w:tcW w:w="540" w:type="dxa"/>
            <w:vAlign w:val="bottom"/>
          </w:tcPr>
          <w:p>
            <w:pPr>
              <w:spacing w:after="0"/>
              <w:rPr>
                <w:sz w:val="20"/>
                <w:szCs w:val="20"/>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established by the Parties for handling the cooperation between them in respect of various matters.</w:t>
            </w:r>
          </w:p>
        </w:tc>
      </w:tr>
    </w:tbl>
    <w:p>
      <w:pPr>
        <w:spacing w:after="0" w:line="99" w:lineRule="exact"/>
        <w:rPr>
          <w:sz w:val="20"/>
          <w:szCs w:val="20"/>
          <w:color w:val="auto"/>
        </w:rPr>
      </w:pPr>
    </w:p>
    <w:p>
      <w:pPr>
        <w:ind w:left="884" w:hanging="884"/>
        <w:spacing w:after="0"/>
        <w:tabs>
          <w:tab w:leader="none" w:pos="884"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TERRITORY</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For the purposes of this Service Agreement, the “</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shall mean Peoples Republic of China.</w:t>
      </w:r>
    </w:p>
    <w:p>
      <w:pPr>
        <w:spacing w:after="0" w:line="131" w:lineRule="exact"/>
        <w:rPr>
          <w:sz w:val="20"/>
          <w:szCs w:val="20"/>
          <w:color w:val="auto"/>
        </w:rPr>
      </w:pPr>
    </w:p>
    <w:p>
      <w:pPr>
        <w:ind w:left="884" w:hanging="884"/>
        <w:spacing w:after="0"/>
        <w:tabs>
          <w:tab w:leader="none" w:pos="884"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ORDER OF PRIORITY</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8.1</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the event there are any contradictions or inconsistencies between the terms of this Main Document and any of the Appendices hereto, the</w:t>
            </w:r>
          </w:p>
        </w:tc>
      </w:tr>
      <w:tr>
        <w:trPr>
          <w:trHeight w:val="234"/>
        </w:trPr>
        <w:tc>
          <w:tcPr>
            <w:tcW w:w="54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Parties agree that the following order of priority shall apply:</w:t>
            </w:r>
          </w:p>
        </w:tc>
      </w:tr>
    </w:tbl>
    <w:p>
      <w:pPr>
        <w:spacing w:after="0" w:line="103" w:lineRule="exact"/>
        <w:rPr>
          <w:sz w:val="20"/>
          <w:szCs w:val="20"/>
          <w:color w:val="auto"/>
        </w:rPr>
      </w:pPr>
    </w:p>
    <w:p>
      <w:pPr>
        <w:ind w:left="1964" w:hanging="655"/>
        <w:spacing w:after="0"/>
        <w:tabs>
          <w:tab w:leader="none" w:pos="196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Main Document</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2, General Terms – Service Agreement</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1, Service Specification</w:t>
      </w:r>
    </w:p>
    <w:p>
      <w:pPr>
        <w:spacing w:after="0" w:line="126"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9.1</w:t>
            </w:r>
          </w:p>
        </w:tc>
        <w:tc>
          <w:tcPr>
            <w:tcW w:w="10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notices, demands, requests and other communications to any Party as set forth in, or in any way relating to the subject matter of, this</w:t>
            </w:r>
          </w:p>
        </w:tc>
      </w:tr>
      <w:tr>
        <w:trPr>
          <w:trHeight w:val="234"/>
        </w:trPr>
        <w:tc>
          <w:tcPr>
            <w:tcW w:w="540" w:type="dxa"/>
            <w:vAlign w:val="bottom"/>
          </w:tcPr>
          <w:p>
            <w:pPr>
              <w:spacing w:after="0"/>
              <w:rPr>
                <w:sz w:val="20"/>
                <w:szCs w:val="20"/>
                <w:color w:val="auto"/>
              </w:rPr>
            </w:pPr>
          </w:p>
        </w:tc>
        <w:tc>
          <w:tcPr>
            <w:tcW w:w="10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Service Agreement shall be sent to the following addresses and shall otherwise be sent in accordance with the terms in the General Terms:</w:t>
            </w:r>
          </w:p>
        </w:tc>
      </w:tr>
      <w:tr>
        <w:trPr>
          <w:trHeight w:val="338"/>
        </w:trPr>
        <w:tc>
          <w:tcPr>
            <w:tcW w:w="540" w:type="dxa"/>
            <w:vAlign w:val="bottom"/>
          </w:tcPr>
          <w:p>
            <w:pPr>
              <w:spacing w:after="0"/>
              <w:rPr>
                <w:sz w:val="24"/>
                <w:szCs w:val="24"/>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Service Provider:</w:t>
            </w:r>
          </w:p>
        </w:tc>
      </w:tr>
    </w:tbl>
    <w:p>
      <w:pPr>
        <w:spacing w:after="0" w:line="86"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Volvo Cars Technology (Shanghai) Co., Ltd</w:t>
      </w:r>
    </w:p>
    <w:p>
      <w:pPr>
        <w:spacing w:after="0" w:line="31"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3"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Volvo Car Corporation</w:t>
      </w:r>
    </w:p>
    <w:p>
      <w:pPr>
        <w:spacing w:after="0" w:line="31"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Dept. 50219, VAK HC2N, SE-405 31 Göteborg Sweden</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450" w:name="page451"/>
    <w:bookmarkEnd w:id="450"/>
    <w:p>
      <w:pPr>
        <w:ind w:left="960" w:hanging="655"/>
        <w:spacing w:after="0"/>
        <w:tabs>
          <w:tab w:leader="none" w:pos="9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Purchaser:</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Polestar Automotive China Distribution Co., Ltd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Polestar Performance AB</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270" w:right="1440"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Service Agreement has been signed in two (2) originals, one (1) to Purchaser and one (1) to Service Provider.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Cars Technology (Shanghai)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Yuan Xiaolin</w:t>
            </w: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By:</w:t>
            </w: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Yuan Xiaolin</w:t>
            </w: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Printed Name:</w:t>
            </w: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Borders>
              <w:bottom w:val="single" w:sz="8" w:color="auto"/>
            </w:tcBorders>
          </w:tcPr>
          <w:p>
            <w:pPr>
              <w:spacing w:after="0"/>
              <w:rPr>
                <w:sz w:val="24"/>
                <w:szCs w:val="24"/>
                <w:color w:val="auto"/>
              </w:rPr>
            </w:pP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Title:</w:t>
            </w: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2022-7-4</w:t>
            </w: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r>
      <w:tr>
        <w:trPr>
          <w:trHeight w:val="43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Polestar Automotive China Distribution Co., Ltd.</w:t>
            </w:r>
          </w:p>
        </w:tc>
        <w:tc>
          <w:tcPr>
            <w:tcW w:w="1920" w:type="dxa"/>
            <w:vAlign w:val="bottom"/>
          </w:tcPr>
          <w:p>
            <w:pPr>
              <w:spacing w:after="0"/>
              <w:rPr>
                <w:sz w:val="24"/>
                <w:szCs w:val="24"/>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[seal]</w:t>
            </w: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By:</w:t>
            </w: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Nathan Forshaw</w:t>
            </w: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Printed Name:</w:t>
            </w: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Borders>
              <w:bottom w:val="single" w:sz="8" w:color="auto"/>
            </w:tcBorders>
          </w:tcPr>
          <w:p>
            <w:pPr>
              <w:spacing w:after="0"/>
              <w:rPr>
                <w:sz w:val="24"/>
                <w:szCs w:val="24"/>
                <w:color w:val="auto"/>
              </w:rPr>
            </w:pP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Title:</w:t>
            </w: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2022-7-4</w:t>
            </w:r>
          </w:p>
        </w:tc>
        <w:tc>
          <w:tcPr>
            <w:tcW w:w="1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r>
      <w:tr>
        <w:trPr>
          <w:trHeight w:val="372"/>
        </w:trPr>
        <w:tc>
          <w:tcPr>
            <w:tcW w:w="1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-2562225</wp:posOffset>
            </wp:positionV>
            <wp:extent cx="230568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48">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-2271395</wp:posOffset>
            </wp:positionV>
            <wp:extent cx="230568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49">
                      <a:extLst>
                        <a:ext uri="{28A0092B-C50C-407E-A947-70E740481C1C}"/>
                      </a:extLst>
                    </a:blip>
                    <a:srcRect/>
                    <a:stretch>
                      <a:fillRect/>
                    </a:stretch>
                  </pic:blipFill>
                  <pic:spPr bwMode="auto">
                    <a:xfrm>
                      <a:off x="0" y="0"/>
                      <a:ext cx="2305685" cy="889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-1979295</wp:posOffset>
            </wp:positionV>
            <wp:extent cx="230568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50">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-1687830</wp:posOffset>
            </wp:positionV>
            <wp:extent cx="230568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51">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-1122045</wp:posOffset>
            </wp:positionV>
            <wp:extent cx="230568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52">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-830580</wp:posOffset>
            </wp:positionV>
            <wp:extent cx="230568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53">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-539115</wp:posOffset>
            </wp:positionV>
            <wp:extent cx="230568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54">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-248285</wp:posOffset>
            </wp:positionV>
            <wp:extent cx="230568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5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452" w:name="page453"/>
    <w:bookmarkEnd w:id="452"/>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Agreement</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Service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884" w:hanging="884"/>
        <w:spacing w:after="0"/>
        <w:tabs>
          <w:tab w:leader="none" w:pos="88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1.1</w:t>
            </w: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Service Specification is a part of the Service Agreement executed between Service Provider and Purchaser. This Service Specification</w:t>
            </w:r>
          </w:p>
        </w:tc>
      </w:tr>
      <w:tr>
        <w:trPr>
          <w:trHeight w:val="216"/>
        </w:trPr>
        <w:tc>
          <w:tcPr>
            <w:tcW w:w="5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sets out the scope and the specification of the activities that shall be performed under the Service Agreement, the division of responsibilities</w:t>
            </w:r>
          </w:p>
        </w:tc>
      </w:tr>
      <w:tr>
        <w:trPr>
          <w:trHeight w:val="234"/>
        </w:trPr>
        <w:tc>
          <w:tcPr>
            <w:tcW w:w="54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between Service Provider and Purchaser and the applicable time plan for the performance of the activities.</w:t>
            </w:r>
          </w:p>
        </w:tc>
      </w:tr>
    </w:tbl>
    <w:p>
      <w:pPr>
        <w:spacing w:after="0" w:line="99" w:lineRule="exact"/>
        <w:rPr>
          <w:sz w:val="20"/>
          <w:szCs w:val="20"/>
          <w:color w:val="auto"/>
        </w:rPr>
      </w:pPr>
    </w:p>
    <w:p>
      <w:pPr>
        <w:ind w:left="884" w:hanging="884"/>
        <w:spacing w:after="0"/>
        <w:tabs>
          <w:tab w:leader="none" w:pos="88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2.1</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Any capitalised terms used but not specifically defined herein shall have the meanings set out for such terms in the Service Agreement. In</w:t>
            </w:r>
          </w:p>
        </w:tc>
      </w:tr>
      <w:tr>
        <w:trPr>
          <w:trHeight w:val="216"/>
        </w:trPr>
        <w:tc>
          <w:tcPr>
            <w:tcW w:w="5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 the capitalised terms set out below in this Section 2 shall for the purposes of this Service Specification have the meanings</w:t>
            </w:r>
          </w:p>
        </w:tc>
      </w:tr>
      <w:tr>
        <w:trPr>
          <w:trHeight w:val="234"/>
        </w:trPr>
        <w:tc>
          <w:tcPr>
            <w:tcW w:w="5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described herein. All capitalised terms in singular in the list of definitions shall have the same meaning in plural and vice versa.</w:t>
            </w:r>
          </w:p>
        </w:tc>
      </w:tr>
    </w:tbl>
    <w:p>
      <w:pPr>
        <w:spacing w:after="0" w:line="99" w:lineRule="exact"/>
        <w:rPr>
          <w:sz w:val="20"/>
          <w:szCs w:val="20"/>
          <w:color w:val="auto"/>
        </w:rPr>
      </w:pPr>
    </w:p>
    <w:p>
      <w:pPr>
        <w:ind w:left="884" w:hanging="884"/>
        <w:spacing w:after="0"/>
        <w:tabs>
          <w:tab w:leader="none" w:pos="88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SERVICES</w:t>
      </w:r>
    </w:p>
    <w:p>
      <w:pPr>
        <w:spacing w:after="0" w:line="134" w:lineRule="exact"/>
        <w:rPr>
          <w:rFonts w:ascii="Times New Roman" w:cs="Times New Roman" w:eastAsia="Times New Roman" w:hAnsi="Times New Roman"/>
          <w:sz w:val="18"/>
          <w:szCs w:val="18"/>
          <w:b w:val="1"/>
          <w:bCs w:val="1"/>
          <w:color w:val="auto"/>
        </w:rPr>
      </w:pPr>
    </w:p>
    <w:p>
      <w:pPr>
        <w:ind w:left="964" w:right="60" w:hanging="424"/>
        <w:spacing w:after="0" w:line="266" w:lineRule="auto"/>
        <w:tabs>
          <w:tab w:leader="none" w:pos="96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Site leader for R&amp;D China and in that, Responsible for ramp-up and maintenance of the local R&amp;D organization. This includes the direction, focus, and visualization of activities in responsible departments to further the overall progressive goals and objectives and monitor their progress.</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R&amp;D staff management in accordance with legal and company requirements.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and execute engineering topics assigned to the corresponding Engineering Site.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corporations with local internal and external partners, suppliers, research institutes, etc.</w:t>
      </w:r>
    </w:p>
    <w:p>
      <w:pPr>
        <w:spacing w:after="0" w:line="126"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TIMing AND DELIVERAbLeS</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activities shall commence on [***] and end no later [***].</w:t>
      </w:r>
    </w:p>
    <w:p>
      <w:pPr>
        <w:spacing w:after="0" w:line="127" w:lineRule="exact"/>
        <w:rPr>
          <w:sz w:val="20"/>
          <w:szCs w:val="20"/>
          <w:color w:val="auto"/>
        </w:rPr>
      </w:pPr>
    </w:p>
    <w:p>
      <w:pPr>
        <w:ind w:left="884" w:hanging="884"/>
        <w:spacing w:after="0"/>
        <w:tabs>
          <w:tab w:leader="none" w:pos="884"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COST</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5.1</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The Parties estimate that [***] CNY are required to perform the Services. The cost is estimated to be [***] CNY per month and the service</w:t>
            </w:r>
          </w:p>
        </w:tc>
      </w:tr>
      <w:tr>
        <w:trPr>
          <w:trHeight w:val="234"/>
        </w:trPr>
        <w:tc>
          <w:tcPr>
            <w:tcW w:w="540" w:type="dxa"/>
            <w:vAlign w:val="bottom"/>
          </w:tcPr>
          <w:p>
            <w:pPr>
              <w:spacing w:after="0"/>
              <w:rPr>
                <w:sz w:val="20"/>
                <w:szCs w:val="20"/>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will be carried out for [***] months.</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5.2</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Any business trips for the service provider will have to be approved by the Service Provider.</w:t>
            </w:r>
          </w:p>
        </w:tc>
      </w:tr>
      <w:tr>
        <w:trPr>
          <w:trHeight w:val="378"/>
        </w:trPr>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80" w:type="dxa"/>
            <w:vAlign w:val="bottom"/>
          </w:tcPr>
          <w:p>
            <w:pPr>
              <w:spacing w:after="0"/>
              <w:rPr>
                <w:sz w:val="24"/>
                <w:szCs w:val="24"/>
                <w:color w:val="auto"/>
              </w:rPr>
            </w:pPr>
          </w:p>
        </w:tc>
      </w:tr>
      <w:tr>
        <w:trPr>
          <w:trHeight w:val="399"/>
        </w:trPr>
        <w:tc>
          <w:tcPr>
            <w:tcW w:w="540" w:type="dxa"/>
            <w:vAlign w:val="bottom"/>
          </w:tcPr>
          <w:p>
            <w:pPr>
              <w:spacing w:after="0"/>
              <w:rPr>
                <w:sz w:val="24"/>
                <w:szCs w:val="24"/>
                <w:color w:val="auto"/>
              </w:rPr>
            </w:pPr>
          </w:p>
        </w:tc>
        <w:tc>
          <w:tcPr>
            <w:tcW w:w="10360" w:type="dxa"/>
            <w:vAlign w:val="bottom"/>
            <w:gridSpan w:val="2"/>
          </w:tcPr>
          <w:p>
            <w:pPr>
              <w:jc w:val="right"/>
              <w:ind w:right="53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0944"/>
          </w:cols>
          <w:pgMar w:left="436" w:top="266" w:right="519" w:bottom="1440" w:gutter="0" w:footer="0" w:header="0"/>
        </w:sectPr>
      </w:pPr>
    </w:p>
    <w:bookmarkStart w:id="453" w:name="page454"/>
    <w:bookmarkEnd w:id="45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884" w:hanging="884"/>
        <w:spacing w:after="0"/>
        <w:tabs>
          <w:tab w:leader="none" w:pos="884"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17" w:lineRule="exact"/>
        <w:rPr>
          <w:rFonts w:ascii="Times New Roman" w:cs="Times New Roman" w:eastAsia="Times New Roman" w:hAnsi="Times New Roman"/>
          <w:sz w:val="18"/>
          <w:szCs w:val="18"/>
          <w:b w:val="1"/>
          <w:bCs w:val="1"/>
          <w:color w:val="auto"/>
        </w:rPr>
      </w:pPr>
    </w:p>
    <w:p>
      <w:pPr>
        <w:ind w:left="884" w:right="1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Appendix 2, General Terms – Service Agreement, (the “</w:t>
      </w:r>
      <w:r>
        <w:rPr>
          <w:rFonts w:ascii="Times New Roman" w:cs="Times New Roman" w:eastAsia="Times New Roman" w:hAnsi="Times New Roman"/>
          <w:sz w:val="18"/>
          <w:szCs w:val="18"/>
          <w:b w:val="1"/>
          <w:bCs w:val="1"/>
          <w:color w:val="auto"/>
        </w:rPr>
        <w:t>General Terms</w:t>
      </w:r>
      <w:r>
        <w:rPr>
          <w:rFonts w:ascii="Times New Roman" w:cs="Times New Roman" w:eastAsia="Times New Roman" w:hAnsi="Times New Roman"/>
          <w:sz w:val="18"/>
          <w:szCs w:val="18"/>
          <w:color w:val="auto"/>
        </w:rPr>
        <w:t>”) is an Appendix to the Main Document and is an integrated part of the Service Agreement entered into between the Parties.</w:t>
      </w:r>
    </w:p>
    <w:p>
      <w:pPr>
        <w:spacing w:after="0" w:line="60" w:lineRule="exact"/>
        <w:rPr>
          <w:rFonts w:ascii="Times New Roman" w:cs="Times New Roman" w:eastAsia="Times New Roman" w:hAnsi="Times New Roman"/>
          <w:sz w:val="18"/>
          <w:szCs w:val="18"/>
          <w:b w:val="1"/>
          <w:bCs w:val="1"/>
          <w:color w:val="auto"/>
        </w:rPr>
      </w:pPr>
    </w:p>
    <w:p>
      <w:pPr>
        <w:ind w:left="884" w:hanging="884"/>
        <w:spacing w:after="0"/>
        <w:tabs>
          <w:tab w:leader="none" w:pos="884"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2.1</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 the purpose of these General Terms, the following terms shall have the meanings assigned to them below. All capitalized terms in</w:t>
            </w:r>
          </w:p>
        </w:tc>
      </w:tr>
      <w:tr>
        <w:trPr>
          <w:trHeight w:val="218"/>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singular in the list of definitions shall have the same meaning in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Any capitalized terms used, but not specifically</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defined below in this Section 2, shall have the meaning ascribed to them in the Main Document.</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2.2</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Appendix</w:t>
            </w:r>
            <w:r>
              <w:rPr>
                <w:rFonts w:ascii="Times New Roman" w:cs="Times New Roman" w:eastAsia="Times New Roman" w:hAnsi="Times New Roman"/>
                <w:sz w:val="18"/>
                <w:szCs w:val="18"/>
                <w:color w:val="auto"/>
              </w:rPr>
              <w:t>” means an appendix to the Main Document.</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2.3</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means the Intellectual Property Rights either:</w:t>
            </w:r>
          </w:p>
        </w:tc>
      </w:tr>
      <w:tr>
        <w:trPr>
          <w:trHeight w:val="338"/>
        </w:trPr>
        <w:tc>
          <w:tcPr>
            <w:tcW w:w="54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by either of the Parties;</w:t>
            </w:r>
          </w:p>
        </w:tc>
      </w:tr>
      <w:tr>
        <w:trPr>
          <w:trHeight w:val="338"/>
        </w:trPr>
        <w:tc>
          <w:tcPr>
            <w:tcW w:w="54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created, developed or invented by directors, managers, employees or consultants of either of the Parties;</w:t>
            </w:r>
          </w:p>
        </w:tc>
      </w:tr>
      <w:tr>
        <w:trPr>
          <w:trHeight w:val="338"/>
        </w:trPr>
        <w:tc>
          <w:tcPr>
            <w:tcW w:w="54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which the Party has licensed rights instead of ownership and the right to grant a sublicense</w:t>
            </w:r>
          </w:p>
        </w:tc>
      </w:tr>
      <w:tr>
        <w:trPr>
          <w:trHeight w:val="306"/>
        </w:trPr>
        <w:tc>
          <w:tcPr>
            <w:tcW w:w="54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prior to the execution of this Service Agreement, and any Intellectual Property Rights developed or otherwise acquired independently of this</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 Agreement.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2.4</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non-public information regarding the Parties and their respective businesses, whether</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or technical, in whatever form or media, including but not limited to the existence, content and subject matter of this Service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 information relating to Intellectual Property Rights, concepts, technologies, processes, commercial figures, techniques,</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algorithms, formulas, methodologies, know-how, strategic plans and budgets, investments, customers and sales, designs, graphics, CAD</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models, CAE data, statement of works (including engineering statement of works and any high level specification), targets, test</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plans/reports, technical performance data and engineering sign-off documents and other information of a sensitive nature, that a Party learns</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from or about the other Party prior to or after the execution of this Service Agreement.</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2.5</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means the Party disclosing Confidential Information to the Receiving Party.</w:t>
            </w:r>
          </w:p>
        </w:tc>
      </w:tr>
      <w:tr>
        <w:trPr>
          <w:trHeight w:val="365"/>
        </w:trPr>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6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04"/>
          </w:cols>
          <w:pgMar w:left="436" w:top="266" w:right="459" w:bottom="1440" w:gutter="0" w:footer="0" w:header="0"/>
        </w:sectPr>
      </w:pPr>
    </w:p>
    <w:bookmarkStart w:id="454" w:name="page455"/>
    <w:bookmarkEnd w:id="4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Data Protection Laws</w:t>
            </w:r>
            <w:r>
              <w:rPr>
                <w:rFonts w:ascii="Times New Roman" w:cs="Times New Roman" w:eastAsia="Times New Roman" w:hAnsi="Times New Roman"/>
                <w:sz w:val="18"/>
                <w:szCs w:val="18"/>
                <w:color w:val="auto"/>
              </w:rPr>
              <w:t>” shall mean collectively, any applicable data protection, privacy or similar law generally applicable to the</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processing of personal data, including but not limited to Regulation (EU) 2016/679 of the European Parliament and of the Council of</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27 April 2016 on the protection of natural persons with regard to the processing of personal data and on the free movement of such data, and</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repealing Directive 95/46/EC (General Data Protection Regulation) and any act or piece of national legislation implementing, supporting or</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otherwise incorporating said regulation, including any amendment made to any of the foregoing.</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shall have the meaning set out in Section 15.1.</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Industry Standard</w:t>
            </w:r>
            <w:r>
              <w:rPr>
                <w:rFonts w:ascii="Times New Roman" w:cs="Times New Roman" w:eastAsia="Times New Roman" w:hAnsi="Times New Roman"/>
                <w:sz w:val="18"/>
                <w:szCs w:val="18"/>
                <w:color w:val="auto"/>
              </w:rPr>
              <w:t>” means the exercise of such professionalism, skill, diligence, prudence and foresight that would normally be expected</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 any given time from a skilled and experienced actor engaged in a similar type of undertaking as under this Service Agreement.</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means Patents, Non-patented IP, rights in Confidential Information and Know-How to the extent</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protected under applicable laws anywhere in the world. For the avoidance of doubt, Trademarks are not comprised by this definition.</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confidential and proprietary industrial, technical and commercial information and techniques in any form including</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(without limitation) drawings, formulae, test results, reports, project reports and testing procedures, instruction and training manuals, tables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operating conditions, specifications, component lists, market forecasts, lists and particulars of customers and suppliers.</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Main Document</w:t>
            </w:r>
            <w:r>
              <w:rPr>
                <w:rFonts w:ascii="Times New Roman" w:cs="Times New Roman" w:eastAsia="Times New Roman" w:hAnsi="Times New Roman"/>
                <w:sz w:val="18"/>
                <w:szCs w:val="18"/>
                <w:color w:val="auto"/>
              </w:rPr>
              <w:t>” means the contract document (with the heading “Main Document - Service Agreement”), which is signed by Service</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Provider and Purchaser, to which these General Terms are an Appendix.</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Non-patented IP</w:t>
            </w:r>
            <w:r>
              <w:rPr>
                <w:rFonts w:ascii="Times New Roman" w:cs="Times New Roman" w:eastAsia="Times New Roman" w:hAnsi="Times New Roman"/>
                <w:sz w:val="18"/>
                <w:szCs w:val="18"/>
                <w:color w:val="auto"/>
              </w:rPr>
              <w:t>” means copyrights (including rights in computer software), database rights, semiconductor topography rights, rights in</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designs, and other intellectual property rights (other than Trademarks and Patents) and all rights or forms of protection having equivalent or</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similar effect anywhere in the world, in each case whether registered or unregistered, and registered includes registrations, applications for</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and renewals whether made before, on or after execution of this Service Agreement.</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Patent</w:t>
            </w:r>
            <w:r>
              <w:rPr>
                <w:rFonts w:ascii="Times New Roman" w:cs="Times New Roman" w:eastAsia="Times New Roman" w:hAnsi="Times New Roman"/>
                <w:sz w:val="18"/>
                <w:szCs w:val="18"/>
                <w:color w:val="auto"/>
                <w:w w:val="99"/>
              </w:rPr>
              <w:t>” means any patent, patent application, or utility model, whether filed before, on or after execution of this Service Agreement, along</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any continuation, continuation-in-part, divisional, re-examined or re-issued patent, foreign counterpart or renewal or extension of any</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the foregoing.</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means the Party receiving Confidential Information from the Disclosing Party.</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shall mean any outcome of the Services provided to Purchaser under this Service Agreement (including but not limited to any IP,</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technology, software, methods, processes, deliverables, objects, products, documentation, modifications, improvements, and/or amendments</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be carried out by Service Provider under the Service Specification) and any other outcome or result of the Services to be performed by</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Provider as described in the relevant Service Specification, irrespective of whether the performance of the Services has been</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completed or not.</w:t>
            </w:r>
          </w:p>
        </w:tc>
      </w:tr>
      <w:tr>
        <w:trPr>
          <w:trHeight w:val="3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Services</w:t>
            </w:r>
            <w:r>
              <w:rPr>
                <w:rFonts w:ascii="Times New Roman" w:cs="Times New Roman" w:eastAsia="Times New Roman" w:hAnsi="Times New Roman"/>
                <w:sz w:val="18"/>
                <w:szCs w:val="18"/>
                <w:color w:val="auto"/>
                <w:w w:val="99"/>
              </w:rPr>
              <w:t>” shall mean the services to be performed by Service Provider to Purchaser hereunder, including all services under the Appendices</w:t>
            </w:r>
          </w:p>
        </w:tc>
      </w:tr>
      <w:tr>
        <w:trPr>
          <w:trHeight w:val="234"/>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attached hereto.</w:t>
            </w:r>
          </w:p>
        </w:tc>
      </w:tr>
      <w:tr>
        <w:trPr>
          <w:trHeight w:val="365"/>
        </w:trPr>
        <w:tc>
          <w:tcPr>
            <w:tcW w:w="600" w:type="dxa"/>
            <w:vAlign w:val="bottom"/>
          </w:tcPr>
          <w:p>
            <w:pPr>
              <w:spacing w:after="0"/>
              <w:rPr>
                <w:sz w:val="24"/>
                <w:szCs w:val="24"/>
                <w:color w:val="auto"/>
              </w:rPr>
            </w:pPr>
          </w:p>
        </w:tc>
        <w:tc>
          <w:tcPr>
            <w:tcW w:w="103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0980"/>
          </w:cols>
          <w:pgMar w:left="440" w:top="266" w:right="479" w:bottom="1440" w:gutter="0" w:footer="0" w:header="0"/>
        </w:sectPr>
      </w:pPr>
    </w:p>
    <w:bookmarkStart w:id="455" w:name="page456"/>
    <w:bookmarkEnd w:id="455"/>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Agreement</w:t>
      </w:r>
      <w:r>
        <w:rPr>
          <w:rFonts w:ascii="Times New Roman" w:cs="Times New Roman" w:eastAsia="Times New Roman" w:hAnsi="Times New Roman"/>
          <w:sz w:val="17"/>
          <w:szCs w:val="17"/>
          <w:color w:val="auto"/>
        </w:rPr>
        <w:t>” means the Main Document including all of its Appendices and their Schedules as amended from time to time.</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Charges</w:t>
      </w:r>
      <w:r>
        <w:rPr>
          <w:rFonts w:ascii="Times New Roman" w:cs="Times New Roman" w:eastAsia="Times New Roman" w:hAnsi="Times New Roman"/>
          <w:sz w:val="17"/>
          <w:szCs w:val="17"/>
          <w:color w:val="auto"/>
        </w:rPr>
        <w:t>” means the service charges as set forth or referenced to in the Main Document.</w:t>
      </w:r>
    </w:p>
    <w:p>
      <w:pPr>
        <w:spacing w:after="0" w:line="131" w:lineRule="exact"/>
        <w:rPr>
          <w:sz w:val="20"/>
          <w:szCs w:val="20"/>
          <w:color w:val="auto"/>
        </w:rPr>
      </w:pPr>
    </w:p>
    <w:p>
      <w:pPr>
        <w:ind w:left="884" w:right="160" w:hanging="876"/>
        <w:spacing w:after="0" w:line="286" w:lineRule="auto"/>
        <w:tabs>
          <w:tab w:leader="none" w:pos="864"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Specification</w:t>
      </w:r>
      <w:r>
        <w:rPr>
          <w:rFonts w:ascii="Times New Roman" w:cs="Times New Roman" w:eastAsia="Times New Roman" w:hAnsi="Times New Roman"/>
          <w:sz w:val="18"/>
          <w:szCs w:val="18"/>
          <w:color w:val="auto"/>
        </w:rPr>
        <w:t>” describes the Services to be provided by Service Provider to Purchaser hereunder including (if applicable) a time plan for the provision of the Services, which is included as Appendix 1 in this Service Agreement.</w:t>
      </w:r>
    </w:p>
    <w:p>
      <w:pPr>
        <w:spacing w:after="0" w:line="60"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party other than any of the Parties and/or an Affiliate of one of the Parties to this Service Agreement.</w:t>
      </w:r>
    </w:p>
    <w:p>
      <w:pPr>
        <w:spacing w:after="0" w:line="131" w:lineRule="exact"/>
        <w:rPr>
          <w:sz w:val="20"/>
          <w:szCs w:val="20"/>
          <w:color w:val="auto"/>
        </w:rPr>
      </w:pPr>
    </w:p>
    <w:p>
      <w:pPr>
        <w:ind w:left="884" w:right="420" w:hanging="876"/>
        <w:spacing w:after="0" w:line="291" w:lineRule="auto"/>
        <w:tabs>
          <w:tab w:leader="none" w:pos="864"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w:t>
      </w:r>
    </w:p>
    <w:p>
      <w:pPr>
        <w:spacing w:after="0" w:line="58" w:lineRule="exact"/>
        <w:rPr>
          <w:sz w:val="20"/>
          <w:szCs w:val="20"/>
          <w:color w:val="auto"/>
        </w:rPr>
      </w:pPr>
    </w:p>
    <w:p>
      <w:pPr>
        <w:ind w:left="884" w:right="20" w:hanging="876"/>
        <w:spacing w:after="0" w:line="262" w:lineRule="auto"/>
        <w:tabs>
          <w:tab w:leader="none" w:pos="864"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the Parties in their capacity as a licensee hereunder.</w:t>
      </w:r>
    </w:p>
    <w:p>
      <w:pPr>
        <w:spacing w:after="0" w:line="82" w:lineRule="exact"/>
        <w:rPr>
          <w:sz w:val="20"/>
          <w:szCs w:val="20"/>
          <w:color w:val="auto"/>
        </w:rPr>
      </w:pPr>
    </w:p>
    <w:p>
      <w:pPr>
        <w:ind w:left="884" w:hanging="876"/>
        <w:spacing w:after="0" w:line="268" w:lineRule="auto"/>
        <w:tabs>
          <w:tab w:leader="none" w:pos="864"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The right to “</w:t>
      </w:r>
      <w:r>
        <w:rPr>
          <w:rFonts w:ascii="Times New Roman" w:cs="Times New Roman" w:eastAsia="Times New Roman" w:hAnsi="Times New Roman"/>
          <w:sz w:val="18"/>
          <w:szCs w:val="18"/>
          <w:b w:val="1"/>
          <w:bCs w:val="1"/>
          <w:color w:val="auto"/>
        </w:rPr>
        <w:t>have made</w:t>
      </w:r>
      <w:r>
        <w:rPr>
          <w:rFonts w:ascii="Times New Roman" w:cs="Times New Roman" w:eastAsia="Times New Roman" w:hAnsi="Times New Roman"/>
          <w:sz w:val="18"/>
          <w:szCs w:val="18"/>
          <w:color w:val="auto"/>
        </w:rPr>
        <w:t>” is the right of a Party in its capacity as a licensee hereunder, as applicable, to have another person (or their subcontractor of any tier) make for that Party and does not include the right to grant sublicenses to another person to make for such person’s own use or use other than for that Party.</w:t>
      </w:r>
    </w:p>
    <w:p>
      <w:pPr>
        <w:spacing w:after="0" w:line="76" w:lineRule="exact"/>
        <w:rPr>
          <w:sz w:val="20"/>
          <w:szCs w:val="20"/>
          <w:color w:val="auto"/>
        </w:rPr>
      </w:pPr>
    </w:p>
    <w:p>
      <w:pPr>
        <w:ind w:left="884" w:hanging="884"/>
        <w:spacing w:after="0"/>
        <w:tabs>
          <w:tab w:leader="none" w:pos="884"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OF SERVICES</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Service Specification. </w:t>
            </w:r>
            <w:r>
              <w:rPr>
                <w:rFonts w:ascii="Times New Roman" w:cs="Times New Roman" w:eastAsia="Times New Roman" w:hAnsi="Times New Roman"/>
                <w:sz w:val="18"/>
                <w:szCs w:val="18"/>
                <w:color w:val="auto"/>
              </w:rPr>
              <w:t>The Parties have agreed upon the scope and specification of the Services provided under this Service Agreement in</w:t>
            </w:r>
          </w:p>
        </w:tc>
      </w:tr>
      <w:tr>
        <w:trPr>
          <w:trHeight w:val="234"/>
        </w:trPr>
        <w:tc>
          <w:tcPr>
            <w:tcW w:w="620" w:type="dxa"/>
            <w:vAlign w:val="bottom"/>
          </w:tcPr>
          <w:p>
            <w:pPr>
              <w:spacing w:after="0"/>
              <w:rPr>
                <w:sz w:val="20"/>
                <w:szCs w:val="20"/>
                <w:color w:val="auto"/>
              </w:rPr>
            </w:pP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Service Specification.</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 xml:space="preserve">Service Recipients. </w:t>
            </w:r>
            <w:r>
              <w:rPr>
                <w:rFonts w:ascii="Times New Roman" w:cs="Times New Roman" w:eastAsia="Times New Roman" w:hAnsi="Times New Roman"/>
                <w:sz w:val="18"/>
                <w:szCs w:val="18"/>
                <w:color w:val="auto"/>
                <w:w w:val="99"/>
              </w:rPr>
              <w:t>In addition to Purchaser, all of Purchaser’s Affiliates shall be entitled to receive and use the Services under this Service</w:t>
            </w:r>
          </w:p>
        </w:tc>
      </w:tr>
      <w:tr>
        <w:trPr>
          <w:trHeight w:val="216"/>
        </w:trPr>
        <w:tc>
          <w:tcPr>
            <w:tcW w:w="620" w:type="dxa"/>
            <w:vAlign w:val="bottom"/>
          </w:tcPr>
          <w:p>
            <w:pPr>
              <w:spacing w:after="0"/>
              <w:rPr>
                <w:sz w:val="18"/>
                <w:szCs w:val="18"/>
                <w:color w:val="auto"/>
              </w:rPr>
            </w:pP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Nevertheless, Purchaser shall be Service Provider’s sole point of contact and shall be responsible for payment of the Service</w:t>
            </w:r>
          </w:p>
        </w:tc>
      </w:tr>
      <w:tr>
        <w:trPr>
          <w:trHeight w:val="216"/>
        </w:trPr>
        <w:tc>
          <w:tcPr>
            <w:tcW w:w="620" w:type="dxa"/>
            <w:vAlign w:val="bottom"/>
          </w:tcPr>
          <w:p>
            <w:pPr>
              <w:spacing w:after="0"/>
              <w:rPr>
                <w:sz w:val="18"/>
                <w:szCs w:val="18"/>
                <w:color w:val="auto"/>
              </w:rPr>
            </w:pP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Charges as set forth in this Service Agreement, irrespectively of whether it is Purchaser or any of Purchaser’s Affiliates that in reality</w:t>
            </w:r>
          </w:p>
        </w:tc>
      </w:tr>
      <w:tr>
        <w:trPr>
          <w:trHeight w:val="234"/>
        </w:trPr>
        <w:tc>
          <w:tcPr>
            <w:tcW w:w="620" w:type="dxa"/>
            <w:vAlign w:val="bottom"/>
          </w:tcPr>
          <w:p>
            <w:pPr>
              <w:spacing w:after="0"/>
              <w:rPr>
                <w:sz w:val="20"/>
                <w:szCs w:val="20"/>
                <w:color w:val="auto"/>
              </w:rPr>
            </w:pP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received and used the Services.</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3.3</w:t>
            </w: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Subcontractors.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3.3.1</w:t>
            </w: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Parties acknowledge that Service Provider may use its Affiliates and/or subcontractors to perform the Services under this Service</w:t>
            </w:r>
          </w:p>
        </w:tc>
      </w:tr>
      <w:tr>
        <w:trPr>
          <w:trHeight w:val="234"/>
        </w:trPr>
        <w:tc>
          <w:tcPr>
            <w:tcW w:w="620" w:type="dxa"/>
            <w:vAlign w:val="bottom"/>
          </w:tcPr>
          <w:p>
            <w:pPr>
              <w:spacing w:after="0"/>
              <w:rPr>
                <w:sz w:val="20"/>
                <w:szCs w:val="20"/>
                <w:color w:val="auto"/>
              </w:rPr>
            </w:pPr>
          </w:p>
        </w:tc>
        <w:tc>
          <w:tcPr>
            <w:tcW w:w="10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provided that Service Provider informs Purchaser thereof.</w:t>
            </w:r>
          </w:p>
        </w:tc>
      </w:tr>
      <w:tr>
        <w:trPr>
          <w:trHeight w:val="364"/>
        </w:trPr>
        <w:tc>
          <w:tcPr>
            <w:tcW w:w="620" w:type="dxa"/>
            <w:vAlign w:val="bottom"/>
          </w:tcPr>
          <w:p>
            <w:pPr>
              <w:spacing w:after="0"/>
              <w:rPr>
                <w:sz w:val="24"/>
                <w:szCs w:val="24"/>
                <w:color w:val="auto"/>
              </w:rPr>
            </w:pPr>
          </w:p>
        </w:tc>
        <w:tc>
          <w:tcPr>
            <w:tcW w:w="103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0964"/>
          </w:cols>
          <w:pgMar w:left="436" w:top="266" w:right="499" w:bottom="1440" w:gutter="0" w:footer="0" w:header="0"/>
        </w:sectPr>
      </w:pPr>
    </w:p>
    <w:bookmarkStart w:id="456" w:name="page457"/>
    <w:bookmarkEnd w:id="4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3.3.2</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Provider shall however remain responsible for the performance, and any omission to perform or comply with the provisions of this</w:t>
            </w:r>
          </w:p>
        </w:tc>
      </w:tr>
      <w:tr>
        <w:trPr>
          <w:trHeight w:val="216"/>
        </w:trPr>
        <w:tc>
          <w:tcPr>
            <w:tcW w:w="62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Agreement, by any Affiliate to Service Provider and/or any subcontractor to the same extent as if such performance or omittance</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 made by Service Provider itself. Service Provider shall also remain Purchaser’s sole point of contact unless otherwise agreed.</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Relationship between the Parties. </w:t>
            </w:r>
            <w:r>
              <w:rPr>
                <w:rFonts w:ascii="Times New Roman" w:cs="Times New Roman" w:eastAsia="Times New Roman" w:hAnsi="Times New Roman"/>
                <w:sz w:val="18"/>
                <w:szCs w:val="18"/>
                <w:color w:val="auto"/>
              </w:rPr>
              <w:t>The Parties are acting as independent contractors when performing each Party’s respective obligations</w:t>
            </w:r>
          </w:p>
        </w:tc>
      </w:tr>
      <w:tr>
        <w:trPr>
          <w:trHeight w:val="234"/>
        </w:trPr>
        <w:tc>
          <w:tcPr>
            <w:tcW w:w="62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under the Service Agreement. Neither Party nor its Affiliates are agents for the other Party or its Affiliates and have no authority to represent</w:t>
            </w:r>
          </w:p>
        </w:tc>
      </w:tr>
    </w:tbl>
    <w:p>
      <w:pPr>
        <w:ind w:left="884"/>
        <w:spacing w:after="0" w:line="260" w:lineRule="auto"/>
        <w:rPr>
          <w:sz w:val="20"/>
          <w:szCs w:val="20"/>
          <w:color w:val="auto"/>
        </w:rPr>
      </w:pPr>
      <w:r>
        <w:rPr>
          <w:rFonts w:ascii="Times New Roman" w:cs="Times New Roman" w:eastAsia="Times New Roman" w:hAnsi="Times New Roman"/>
          <w:sz w:val="18"/>
          <w:szCs w:val="18"/>
          <w:color w:val="auto"/>
        </w:rPr>
        <w:t>them in relation to any matters. Nothing in these General Terms or the Service Agreement shall be construed as to constitute a partnership or joint venture between the Parties.</w:t>
      </w:r>
    </w:p>
    <w:p>
      <w:pPr>
        <w:spacing w:after="0" w:line="83" w:lineRule="exact"/>
        <w:rPr>
          <w:sz w:val="20"/>
          <w:szCs w:val="20"/>
          <w:color w:val="auto"/>
        </w:rPr>
      </w:pPr>
    </w:p>
    <w:p>
      <w:pPr>
        <w:ind w:left="884" w:hanging="884"/>
        <w:spacing w:after="0"/>
        <w:tabs>
          <w:tab w:leader="none" w:pos="884"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REQUIREMENTS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4.1</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Services shall be performed in accordance with the requirements set forth in this Service Agreement, including the Service</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Specification, and otherwise in a professional manner.</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4.2</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providing the Services, Service Provider shall use professional and skilled personnel, reasonably experienced for the Services to be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performed, Service Provider shall work according to the same standard of care and professionalism that is done in Service Provider’s</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business and development projects. Such standard of care and professionalism, shall however at all times correspond to Industry</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Standard. For the avoidance of doubt, Service Provider is responsible for all necessary recruiting and hiring costs associated with employing</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appropriate personnel as well as all necessary training costs.</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4.3</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acknowledges that time is of essence and Service Provider agrees to strictly respect and adhere to the deadlines set out in</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Specification in Appendix 1, such as time limits, milestones and gates. In the event Service Provider risks not to meet an agreed</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deadline or is otherwise in delay with the performance of the Services, Service Provider shall appoint additional resources in order to avoid</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effects of the anticipated delay or the delay (as the case may be).</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4.4</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the event the Services or any part thereof, more than insignificantly deviate from the requirements set forth in the Service Specification,</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if Service Provider otherwise does not meet or ceases to meet the requirements set forth in this Service Agreement (except for minor</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faults and defects, which do not affect the provision of the Services), Service Provider shall remedy such incompliance, fault or defect as</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soon as reasonably possible.</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4.5</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the event Service Provider fails to act in accordance with Section 4.3 and 4.4 above, such failure shall be escalated in accordance with the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escalation principles set forth in Section 17.1 and eventually give Purchaser the right to terminate the Service Agreement in accordance with</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14.4.</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4.6</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Purchaser shall provide Service Provider with instructions as reasonably required for Service Provider to be able to carry out the Services.</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must continuously inform Purchaser of any needs of additional instructions or specifications required to perform the</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4.7</w:t>
            </w: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shall ensure that it has sufficient resources to perform its undertakings under this Service Agreement. Further, Service</w:t>
            </w:r>
          </w:p>
        </w:tc>
      </w:tr>
      <w:tr>
        <w:trPr>
          <w:trHeight w:val="216"/>
        </w:trPr>
        <w:tc>
          <w:tcPr>
            <w:tcW w:w="54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undertakes to ensure that the performance of the Services will not be given lower priority than other of Service Provider’s internal</w:t>
            </w:r>
          </w:p>
        </w:tc>
      </w:tr>
      <w:tr>
        <w:trPr>
          <w:trHeight w:val="234"/>
        </w:trPr>
        <w:tc>
          <w:tcPr>
            <w:tcW w:w="54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similar projects.</w:t>
            </w:r>
          </w:p>
        </w:tc>
      </w:tr>
      <w:tr>
        <w:trPr>
          <w:trHeight w:val="365"/>
        </w:trPr>
        <w:tc>
          <w:tcPr>
            <w:tcW w:w="540" w:type="dxa"/>
            <w:vAlign w:val="bottom"/>
          </w:tcPr>
          <w:p>
            <w:pPr>
              <w:spacing w:after="0"/>
              <w:rPr>
                <w:sz w:val="24"/>
                <w:szCs w:val="24"/>
                <w:color w:val="auto"/>
              </w:rPr>
            </w:pPr>
          </w:p>
        </w:tc>
        <w:tc>
          <w:tcPr>
            <w:tcW w:w="1044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04"/>
          </w:cols>
          <w:pgMar w:left="436" w:top="270" w:right="459" w:bottom="1440" w:gutter="0" w:footer="0" w:header="0"/>
        </w:sectPr>
      </w:pPr>
    </w:p>
    <w:bookmarkStart w:id="457" w:name="page458"/>
    <w:bookmarkEnd w:id="457"/>
    <w:p>
      <w:pPr>
        <w:ind w:left="884" w:hanging="884"/>
        <w:spacing w:after="0"/>
        <w:tabs>
          <w:tab w:leader="none" w:pos="884"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RIGHTS</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existing Intellectual Property Rights.</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Party remains the sole and exclusive owner of its Background IP.</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Nothing in this Service Agreement shall be deemed to constitute an assignment of, or license to use, any Trademarks of the other Party.</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Ownership of Results. </w:t>
            </w:r>
            <w:r>
              <w:rPr>
                <w:rFonts w:ascii="Times New Roman" w:cs="Times New Roman" w:eastAsia="Times New Roman" w:hAnsi="Times New Roman"/>
                <w:sz w:val="18"/>
                <w:szCs w:val="18"/>
                <w:color w:val="auto"/>
              </w:rPr>
              <w:t>In the event any Results are created as a result of the Services provided by Service Provider (or if applicable, any of</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its appointed Affiliates or subcontractors) under this Service Agreement, the Parties agree that Service Provider shall be the exclusive owner</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such Results, including all modifications, amendments and developments thereof. Hence, all Results shall automatically upon their</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creation stay with Service Provider. Service Provider shall further have the right to transfer, sublicense, modify and otherwise freely dispose</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the Results.</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License grant.</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Upon creation of the Results, Purchaser shall at the same time automatically be granted a non-exclusive, irrevocable, perpetual (however at</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least fifty (50) years long (however, in no event shall such time exceed the validity period of any IP or Background IP included in the</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described hereunder)), non-assignable (however assignable to Purchaser’s Affiliates), worldwide license to Use, in whole or in part,</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Results and, if applicable, any Background IP embedded in or otherwise used in the development of the Results. The license granted in</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Section 5.3.1 is limited to the extent such license is necessary for Purchaser to make use of the Services provided hereunder and to</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enable an orderly transfer to another service provider after the termination and/or expiry of this Service Agreement.</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5.3.2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Notwithstanding anything to the contrary in this Service Agreement, nothing in these General Terms or otherwise in the Service Agreement</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shall be construed as to give the other Party any rights, including but not limited to any license rights (express or implied), to any</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Background IP, except as expressly stated herein.</w:t>
            </w: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Volvo brand name.</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sake of clarity, it is especially noted that this Service Agreement does not include any right to use the “Volvo” brand name, or</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or refer to “Volvo” in communications or official documents of whatever kind. The Parties acknowledge that the “Volvo”</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as well as the “Volvo” name is owned by Volvo Trademark Holding AB and that the right to use the name and the “Volvo”</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is subject to a service agreement, which stipulates that the name, Trademarks and all thereto related Intellectual Property can</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only be used by Volvo Car Corporation and its Affiliates in relation to Volvo products.</w:t>
            </w:r>
          </w:p>
        </w:tc>
      </w:tr>
      <w:tr>
        <w:trPr>
          <w:trHeight w:val="31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5.4.2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means that this Service Agreement does not include any rights to directly or indirectly use the “Volvo” brand name or “Volvo”</w:t>
            </w:r>
          </w:p>
        </w:tc>
      </w:tr>
      <w:tr>
        <w:trPr>
          <w:trHeight w:val="216"/>
        </w:trPr>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on or for any products or when marketing, promoting and/or selling such products, or in any other contacts with Third Parties,</w:t>
            </w:r>
          </w:p>
        </w:tc>
      </w:tr>
      <w:tr>
        <w:trPr>
          <w:trHeight w:val="234"/>
        </w:trPr>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e.g. in presentations, business cards and correspondence.</w:t>
            </w:r>
          </w:p>
        </w:tc>
      </w:tr>
      <w:tr>
        <w:trPr>
          <w:trHeight w:val="365"/>
        </w:trPr>
        <w:tc>
          <w:tcPr>
            <w:tcW w:w="620" w:type="dxa"/>
            <w:vAlign w:val="bottom"/>
          </w:tcPr>
          <w:p>
            <w:pPr>
              <w:spacing w:after="0"/>
              <w:rPr>
                <w:sz w:val="24"/>
                <w:szCs w:val="24"/>
                <w:color w:val="auto"/>
              </w:rPr>
            </w:pPr>
          </w:p>
        </w:tc>
        <w:tc>
          <w:tcPr>
            <w:tcW w:w="1036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0984"/>
          </w:cols>
          <w:pgMar w:left="436" w:top="266" w:right="479" w:bottom="1440" w:gutter="0" w:footer="0" w:header="0"/>
        </w:sectPr>
      </w:pPr>
    </w:p>
    <w:bookmarkStart w:id="458" w:name="page459"/>
    <w:bookmarkEnd w:id="458"/>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r>
      <w:r>
        <w:rPr>
          <w:sz w:val="20"/>
          <w:szCs w:val="20"/>
          <w:color w:val="auto"/>
        </w:rPr>
        <w:tab/>
      </w:r>
      <w:r>
        <w:rPr>
          <w:rFonts w:ascii="Times New Roman" w:cs="Times New Roman" w:eastAsia="Times New Roman" w:hAnsi="Times New Roman"/>
          <w:sz w:val="17"/>
          <w:szCs w:val="17"/>
          <w:b w:val="1"/>
          <w:bCs w:val="1"/>
          <w:color w:val="auto"/>
        </w:rPr>
        <w:t>Polestar brand name.</w:t>
      </w:r>
    </w:p>
    <w:p>
      <w:pPr>
        <w:spacing w:after="0" w:line="135" w:lineRule="exact"/>
        <w:rPr>
          <w:sz w:val="20"/>
          <w:szCs w:val="20"/>
          <w:color w:val="auto"/>
        </w:rPr>
      </w:pPr>
    </w:p>
    <w:p>
      <w:pPr>
        <w:ind w:left="884"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8"/>
          <w:szCs w:val="18"/>
          <w:color w:val="auto"/>
        </w:rPr>
        <w:t>Correspondingly, t is especially noted that this Service Agreement does not include any right to use the Polestar brand name or Trademarks, or refer to Polestar in communications or official documents of whatever kind.</w:t>
      </w:r>
    </w:p>
    <w:p>
      <w:pPr>
        <w:spacing w:after="0" w:line="67" w:lineRule="exact"/>
        <w:rPr>
          <w:sz w:val="20"/>
          <w:szCs w:val="20"/>
          <w:color w:val="auto"/>
        </w:rPr>
      </w:pPr>
    </w:p>
    <w:p>
      <w:pPr>
        <w:ind w:left="884" w:right="4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8"/>
          <w:szCs w:val="18"/>
          <w:color w:val="auto"/>
        </w:rPr>
        <w:t xml:space="preserve">This means that this Service Agreement does not include any rights to directly or indirectly use the Polestar brand name or Polestar Trademarks, on or for any products or when marketing, promoting and/or selling such products, or in any other contacts with Third Parties, </w:t>
      </w:r>
      <w:r>
        <w:rPr>
          <w:rFonts w:ascii="Times New Roman" w:cs="Times New Roman" w:eastAsia="Times New Roman" w:hAnsi="Times New Roman"/>
          <w:sz w:val="18"/>
          <w:szCs w:val="18"/>
          <w:i w:val="1"/>
          <w:iCs w:val="1"/>
          <w:color w:val="auto"/>
        </w:rPr>
        <w:t xml:space="preserve">e.g. </w:t>
      </w:r>
      <w:r>
        <w:rPr>
          <w:rFonts w:ascii="Times New Roman" w:cs="Times New Roman" w:eastAsia="Times New Roman" w:hAnsi="Times New Roman"/>
          <w:sz w:val="18"/>
          <w:szCs w:val="18"/>
          <w:color w:val="auto"/>
        </w:rPr>
        <w:t>in presentations, business cards and correspondence.</w:t>
      </w:r>
    </w:p>
    <w:p>
      <w:pPr>
        <w:spacing w:after="0" w:line="77" w:lineRule="exact"/>
        <w:rPr>
          <w:sz w:val="20"/>
          <w:szCs w:val="20"/>
          <w:color w:val="auto"/>
        </w:rPr>
      </w:pPr>
    </w:p>
    <w:p>
      <w:pPr>
        <w:ind w:left="884" w:hanging="884"/>
        <w:spacing w:after="0"/>
        <w:tabs>
          <w:tab w:leader="none" w:pos="884"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CHARGES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6.1</w:t>
            </w: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consideration of Service Provider’s performance of the Services under this Service Agreement, Purchaser agrees to pay to Service</w:t>
            </w:r>
          </w:p>
        </w:tc>
      </w:tr>
      <w:tr>
        <w:trPr>
          <w:trHeight w:val="234"/>
        </w:trPr>
        <w:tc>
          <w:tcPr>
            <w:tcW w:w="540" w:type="dxa"/>
            <w:vAlign w:val="bottom"/>
          </w:tcPr>
          <w:p>
            <w:pPr>
              <w:spacing w:after="0"/>
              <w:rPr>
                <w:sz w:val="20"/>
                <w:szCs w:val="20"/>
                <w:color w:val="auto"/>
              </w:rPr>
            </w:pP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the Service Charges as set forth or referenced to in the Main Document.</w:t>
            </w:r>
          </w:p>
        </w:tc>
      </w:tr>
    </w:tbl>
    <w:p>
      <w:pPr>
        <w:spacing w:after="0" w:line="99" w:lineRule="exact"/>
        <w:rPr>
          <w:sz w:val="20"/>
          <w:szCs w:val="20"/>
          <w:color w:val="auto"/>
        </w:rPr>
      </w:pPr>
    </w:p>
    <w:p>
      <w:pPr>
        <w:ind w:left="884" w:hanging="884"/>
        <w:spacing w:after="0"/>
        <w:tabs>
          <w:tab w:leader="none" w:pos="884"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TERMS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7.1</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Service Charges shall be paid in the currency set forth in the Main Document, in a timely manner and in accordance with the payment</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set forth in this Section 7.</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7.2</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Service Provider is responsible for charging and declaring sales tax/VAT or other taxes as follow from applicable law. Any applicable sales</w:t>
            </w:r>
          </w:p>
        </w:tc>
      </w:tr>
      <w:tr>
        <w:trPr>
          <w:trHeight w:val="216"/>
        </w:trPr>
        <w:tc>
          <w:tcPr>
            <w:tcW w:w="5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tax/VAT on the agreed price will be included in the invoices and paid by Purchaser. All amounts referred to in this Service Agreement are</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exclusive of VAT.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7.3</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If Service Provider is obligated to collect or pay taxes, such taxes shall be invoiced to Purchaser, unless Purchaser provides a valid tax</w:t>
            </w:r>
          </w:p>
        </w:tc>
      </w:tr>
      <w:tr>
        <w:trPr>
          <w:trHeight w:val="216"/>
        </w:trPr>
        <w:tc>
          <w:tcPr>
            <w:tcW w:w="5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exemption certificate authorized by the appropriate Tax Authority. If Purchaser is required by law to withhold any taxes from its payments,</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Purchaser must provide an official tax receipt or other appropriate documentation to support this withholding.</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7.4</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amount of the Service Charges invoiced by Service Provider to Purchaser shall be paid by Purchaser within 45 days after the invoice</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7.5</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made later than the due date will automatically be subject to interest for late payments for each day it is not paid and the interest</w:t>
            </w:r>
          </w:p>
        </w:tc>
      </w:tr>
      <w:tr>
        <w:trPr>
          <w:trHeight w:val="234"/>
        </w:trPr>
        <w:tc>
          <w:tcPr>
            <w:tcW w:w="5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shall be based on the one month applicable interbank rate, depending on invoice and currency, with an addition of [***] per annum.</w:t>
            </w:r>
          </w:p>
        </w:tc>
      </w:tr>
      <w:tr>
        <w:trPr>
          <w:trHeight w:val="338"/>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7.6</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paid portion of the Service Charges is non-refundable, with the exception set forth in the Main Document.</w:t>
            </w:r>
          </w:p>
        </w:tc>
      </w:tr>
    </w:tbl>
    <w:p>
      <w:pPr>
        <w:spacing w:after="0" w:line="99" w:lineRule="exact"/>
        <w:rPr>
          <w:sz w:val="20"/>
          <w:szCs w:val="20"/>
          <w:color w:val="auto"/>
        </w:rPr>
      </w:pPr>
    </w:p>
    <w:p>
      <w:pPr>
        <w:ind w:left="884" w:hanging="884"/>
        <w:spacing w:after="0"/>
        <w:tabs>
          <w:tab w:leader="none" w:pos="884"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8.1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term of the Service Agreement, Purchaser shall have the right to, upon reasonable notice in writing to Service Provider, inspect</w:t>
            </w:r>
          </w:p>
        </w:tc>
      </w:tr>
      <w:tr>
        <w:trPr>
          <w:trHeight w:val="216"/>
        </w:trPr>
        <w:tc>
          <w:tcPr>
            <w:tcW w:w="5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Service Provider’s books and records related to the Services and the premises where the Services are performed, in order to conduct quality</w:t>
            </w:r>
          </w:p>
        </w:tc>
      </w:tr>
      <w:tr>
        <w:trPr>
          <w:trHeight w:val="234"/>
        </w:trPr>
        <w:tc>
          <w:tcPr>
            <w:tcW w:w="5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controls and otherwise verify the statements rendered under this Service Agreement.</w:t>
            </w:r>
          </w:p>
        </w:tc>
      </w:tr>
      <w:tr>
        <w:trPr>
          <w:trHeight w:val="319"/>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8.2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Audits shall be made during regular business hours and be conducted by Purchaser or by an independent auditor appointed by Purchaser.</w:t>
            </w:r>
          </w:p>
        </w:tc>
      </w:tr>
      <w:tr>
        <w:trPr>
          <w:trHeight w:val="234"/>
        </w:trPr>
        <w:tc>
          <w:tcPr>
            <w:tcW w:w="5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Should Purchaser during any inspection find that Service Provider or the Services does/do not fulfil the requirements set forth herein,</w:t>
            </w:r>
          </w:p>
        </w:tc>
      </w:tr>
    </w:tbl>
    <w:p>
      <w:pPr>
        <w:jc w:val="both"/>
        <w:ind w:left="884"/>
        <w:spacing w:after="0" w:line="255" w:lineRule="auto"/>
        <w:rPr>
          <w:sz w:val="20"/>
          <w:szCs w:val="20"/>
          <w:color w:val="auto"/>
        </w:rPr>
      </w:pPr>
      <w:r>
        <w:rPr>
          <w:rFonts w:ascii="Times New Roman" w:cs="Times New Roman" w:eastAsia="Times New Roman" w:hAnsi="Times New Roman"/>
          <w:sz w:val="18"/>
          <w:szCs w:val="18"/>
          <w:color w:val="auto"/>
        </w:rPr>
        <w:t>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audit, each Party shall be entitled to escalate such issue to the Steering Committee.</w:t>
      </w:r>
    </w:p>
    <w:p>
      <w:pPr>
        <w:spacing w:after="0" w:line="11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66" w:right="519" w:bottom="1440" w:gutter="0" w:footer="0" w:header="0"/>
        </w:sectPr>
      </w:pPr>
    </w:p>
    <w:bookmarkStart w:id="459" w:name="page460"/>
    <w:bookmarkEnd w:id="459"/>
    <w:p>
      <w:pPr>
        <w:ind w:left="884" w:hanging="884"/>
        <w:spacing w:after="0"/>
        <w:tabs>
          <w:tab w:leader="none" w:pos="884"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Each Party warrants and represents to the other Party that:</w:t>
      </w:r>
    </w:p>
    <w:p>
      <w:pPr>
        <w:spacing w:after="0" w:line="131" w:lineRule="exact"/>
        <w:rPr>
          <w:sz w:val="20"/>
          <w:szCs w:val="20"/>
          <w:color w:val="auto"/>
        </w:rPr>
      </w:pPr>
    </w:p>
    <w:p>
      <w:pPr>
        <w:ind w:left="1964" w:right="320" w:hanging="655"/>
        <w:spacing w:after="0" w:line="282" w:lineRule="auto"/>
        <w:tabs>
          <w:tab w:leader="none" w:pos="196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validly existing, and in good standing under the laws of its respective jurisdiction of incorporation or formation, as applicable;</w:t>
      </w:r>
    </w:p>
    <w:p>
      <w:pPr>
        <w:spacing w:after="0" w:line="67" w:lineRule="exact"/>
        <w:rPr>
          <w:rFonts w:ascii="Times New Roman" w:cs="Times New Roman" w:eastAsia="Times New Roman" w:hAnsi="Times New Roman"/>
          <w:sz w:val="18"/>
          <w:szCs w:val="18"/>
          <w:color w:val="auto"/>
        </w:rPr>
      </w:pPr>
    </w:p>
    <w:p>
      <w:pPr>
        <w:ind w:left="1964" w:right="620" w:hanging="655"/>
        <w:spacing w:after="0" w:line="282" w:lineRule="auto"/>
        <w:tabs>
          <w:tab w:leader="none" w:pos="196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corporate power and authority to execute and deliver this Service Agreement and to perform its obligations hereunder;</w:t>
      </w:r>
    </w:p>
    <w:p>
      <w:pPr>
        <w:spacing w:after="0" w:line="67" w:lineRule="exact"/>
        <w:rPr>
          <w:rFonts w:ascii="Times New Roman" w:cs="Times New Roman" w:eastAsia="Times New Roman" w:hAnsi="Times New Roman"/>
          <w:sz w:val="18"/>
          <w:szCs w:val="18"/>
          <w:color w:val="auto"/>
        </w:rPr>
      </w:pPr>
    </w:p>
    <w:p>
      <w:pPr>
        <w:ind w:left="1964" w:right="140" w:hanging="655"/>
        <w:spacing w:after="0" w:line="266" w:lineRule="auto"/>
        <w:tabs>
          <w:tab w:leader="none" w:pos="196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w:t>
      </w:r>
    </w:p>
    <w:p>
      <w:pPr>
        <w:spacing w:after="0" w:line="81"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Service Agreement is a legal and binding obligation of it, enforceable against it in accordance with its terms.</w:t>
      </w:r>
    </w:p>
    <w:p>
      <w:pPr>
        <w:spacing w:after="0" w:line="126"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WARRANTY</w:t>
      </w:r>
    </w:p>
    <w:p>
      <w:pPr>
        <w:spacing w:after="0" w:line="135" w:lineRule="exact"/>
        <w:rPr>
          <w:sz w:val="20"/>
          <w:szCs w:val="20"/>
          <w:color w:val="auto"/>
        </w:rPr>
      </w:pPr>
    </w:p>
    <w:p>
      <w:pPr>
        <w:ind w:left="884"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When performing the Services, Service Provider shall provide professional and skilled personnel, reasonably experienced for the Services to be performed at the best of their knowledge.</w:t>
      </w:r>
    </w:p>
    <w:p>
      <w:pPr>
        <w:spacing w:after="0" w:line="67" w:lineRule="exact"/>
        <w:rPr>
          <w:sz w:val="20"/>
          <w:szCs w:val="20"/>
          <w:color w:val="auto"/>
        </w:rPr>
      </w:pPr>
    </w:p>
    <w:p>
      <w:pPr>
        <w:ind w:left="884" w:right="60" w:hanging="876"/>
        <w:spacing w:after="0" w:line="256" w:lineRule="auto"/>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w:t>
      </w:r>
    </w:p>
    <w:p>
      <w:pPr>
        <w:spacing w:after="0" w:line="93" w:lineRule="exact"/>
        <w:rPr>
          <w:sz w:val="20"/>
          <w:szCs w:val="20"/>
          <w:color w:val="auto"/>
        </w:rPr>
      </w:pPr>
    </w:p>
    <w:p>
      <w:pPr>
        <w:ind w:left="884" w:right="80" w:hanging="876"/>
        <w:spacing w:after="0" w:line="254" w:lineRule="auto"/>
        <w:tabs>
          <w:tab w:leader="none" w:pos="8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460" w:name="page461"/>
    <w:bookmarkEnd w:id="460"/>
    <w:p>
      <w:pPr>
        <w:ind w:left="884" w:hanging="884"/>
        <w:spacing w:after="0"/>
        <w:tabs>
          <w:tab w:leader="none" w:pos="884"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11.1</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Neither Party shall be responsible for any indirect, incidental or consequential damage or any losses of production or profit caused by it</w:t>
            </w:r>
          </w:p>
        </w:tc>
      </w:tr>
      <w:tr>
        <w:trPr>
          <w:trHeight w:val="234"/>
        </w:trPr>
        <w:tc>
          <w:tcPr>
            <w:tcW w:w="58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this Service Agreement.</w:t>
            </w:r>
          </w:p>
        </w:tc>
      </w:tr>
      <w:tr>
        <w:trPr>
          <w:trHeight w:val="319"/>
        </w:trPr>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11.2</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Each Party’s aggregate liability for any direct damage arising out of or in connection with this Service Agreement shall be limited to 30 % of</w:t>
            </w:r>
          </w:p>
        </w:tc>
      </w:tr>
      <w:tr>
        <w:trPr>
          <w:trHeight w:val="234"/>
        </w:trPr>
        <w:tc>
          <w:tcPr>
            <w:tcW w:w="58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total Service Charges payable by Purchaser to Service Provider hereunder.</w:t>
            </w:r>
          </w:p>
        </w:tc>
      </w:tr>
      <w:tr>
        <w:trPr>
          <w:trHeight w:val="338"/>
        </w:trPr>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11.3</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limitations of liability set forth in this Section 11 shall not apply in respect of:</w:t>
            </w:r>
          </w:p>
        </w:tc>
      </w:tr>
    </w:tbl>
    <w:p>
      <w:pPr>
        <w:spacing w:after="0" w:line="103" w:lineRule="exact"/>
        <w:rPr>
          <w:sz w:val="20"/>
          <w:szCs w:val="20"/>
          <w:color w:val="auto"/>
        </w:rPr>
      </w:pPr>
    </w:p>
    <w:p>
      <w:pPr>
        <w:ind w:left="1964" w:hanging="655"/>
        <w:spacing w:after="0"/>
        <w:tabs>
          <w:tab w:leader="none" w:pos="1964"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related to death or bodily injury;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wilful misconduct or gross negligence;</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a Party’s breach of the confidentiality undertakings in Section 13 below; or</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arising out of an infringement, or alleged infringement, of the other Party’s or any third party’s Intellectual Property.</w:t>
      </w:r>
    </w:p>
    <w:p>
      <w:pPr>
        <w:spacing w:after="0" w:line="126"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AND CHANGES</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Governance.</w:t>
      </w:r>
    </w:p>
    <w:p>
      <w:pPr>
        <w:spacing w:after="0" w:line="135" w:lineRule="exact"/>
        <w:rPr>
          <w:sz w:val="20"/>
          <w:szCs w:val="20"/>
          <w:color w:val="auto"/>
        </w:rPr>
      </w:pPr>
    </w:p>
    <w:p>
      <w:pPr>
        <w:ind w:left="884" w:right="18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color w:val="auto"/>
        </w:rPr>
        <w:t>The Parties shall act in good faith in all matters and shall at all times co-operate in respect of changes to this Service Agreement as well as issues and/or disputes arising under this Service Agreement.</w:t>
      </w:r>
    </w:p>
    <w:p>
      <w:pPr>
        <w:spacing w:after="0" w:line="67" w:lineRule="exact"/>
        <w:rPr>
          <w:sz w:val="20"/>
          <w:szCs w:val="20"/>
          <w:color w:val="auto"/>
        </w:rPr>
      </w:pPr>
    </w:p>
    <w:p>
      <w:pPr>
        <w:jc w:val="both"/>
        <w:ind w:left="884"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color w:val="auto"/>
        </w:rPr>
        <w:t xml:space="preserve">The governance and co-operation between the Parties in respect of this Service Agreement shall primarily be administered on an operational level. In the event the Parties on an operational level cannot agree upon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prioritisation of development activities or other aspects relating to the co-operation between the Parties, each Party shall be entitled to escalate such issue to the Steering Committee.</w:t>
      </w:r>
    </w:p>
    <w:p>
      <w:pPr>
        <w:spacing w:after="0" w:line="81" w:lineRule="exact"/>
        <w:rPr>
          <w:sz w:val="20"/>
          <w:szCs w:val="20"/>
          <w:color w:val="auto"/>
        </w:rPr>
      </w:pPr>
    </w:p>
    <w:p>
      <w:pPr>
        <w:ind w:left="884" w:right="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8"/>
          <w:szCs w:val="18"/>
          <w:color w:val="auto"/>
        </w:rPr>
        <w:t>If the Steering Committee fails to agree upon a solution of the disagreement the relevant issue should be escalated to the Strategic Board for decision.</w:t>
      </w:r>
    </w:p>
    <w:p>
      <w:pPr>
        <w:spacing w:after="0" w:line="63"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Changes.</w:t>
      </w:r>
    </w:p>
    <w:p>
      <w:pPr>
        <w:spacing w:after="0" w:line="135" w:lineRule="exact"/>
        <w:rPr>
          <w:sz w:val="20"/>
          <w:szCs w:val="20"/>
          <w:color w:val="auto"/>
        </w:rPr>
      </w:pPr>
    </w:p>
    <w:p>
      <w:pPr>
        <w:ind w:left="884" w:right="12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During the term of this Service Agreement, Purchaser can request changes to the Service Specification, which shall be handled in accordance with the governance procedure set forth in Section 12.1 above. Both Parties agree to act in good faith to address and respond to any change request within a reasonable period of time.</w:t>
      </w:r>
    </w:p>
    <w:p>
      <w:pPr>
        <w:spacing w:after="0" w:line="81" w:lineRule="exact"/>
        <w:rPr>
          <w:sz w:val="20"/>
          <w:szCs w:val="20"/>
          <w:color w:val="auto"/>
        </w:rPr>
      </w:pPr>
    </w:p>
    <w:p>
      <w:pPr>
        <w:jc w:val="both"/>
        <w:ind w:left="884" w:right="8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461" w:name="page462"/>
    <w:bookmarkEnd w:id="461"/>
    <w:p>
      <w:pPr>
        <w:ind w:left="884" w:hanging="884"/>
        <w:spacing w:after="0"/>
        <w:tabs>
          <w:tab w:leader="none" w:pos="884"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The Parties shall take any and all necessary measures to comply with the security and confidentiality procedures of the other Party.</w:t>
      </w:r>
    </w:p>
    <w:p>
      <w:pPr>
        <w:spacing w:after="0" w:line="131" w:lineRule="exact"/>
        <w:rPr>
          <w:sz w:val="20"/>
          <w:szCs w:val="20"/>
          <w:color w:val="auto"/>
        </w:rPr>
      </w:pPr>
    </w:p>
    <w:p>
      <w:pPr>
        <w:ind w:left="884" w:right="140" w:hanging="876"/>
        <w:spacing w:after="0" w:line="256" w:lineRule="auto"/>
        <w:tabs>
          <w:tab w:leader="none" w:pos="864"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w:t>
      </w:r>
    </w:p>
    <w:p>
      <w:pPr>
        <w:spacing w:after="0" w:line="93" w:lineRule="exact"/>
        <w:rPr>
          <w:sz w:val="20"/>
          <w:szCs w:val="20"/>
          <w:color w:val="auto"/>
        </w:rPr>
      </w:pPr>
    </w:p>
    <w:p>
      <w:pPr>
        <w:ind w:left="1964" w:hanging="655"/>
        <w:spacing w:after="0"/>
        <w:tabs>
          <w:tab w:leader="none" w:pos="196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public domain other than by breach of this undertaking, or by another confidentiality undertaking;</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in the possession of the Receiving Party before its receipt from the Disclosing Party;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from a Third Party who is free to divulge the same;</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required to be disclosed by mandatory law, court order, lawful government action or applicable stock exchange regulations;</w:t>
      </w:r>
    </w:p>
    <w:p>
      <w:pPr>
        <w:spacing w:after="0" w:line="142" w:lineRule="exact"/>
        <w:rPr>
          <w:rFonts w:ascii="Times New Roman" w:cs="Times New Roman" w:eastAsia="Times New Roman" w:hAnsi="Times New Roman"/>
          <w:sz w:val="17"/>
          <w:szCs w:val="17"/>
          <w:color w:val="auto"/>
        </w:rPr>
      </w:pPr>
    </w:p>
    <w:p>
      <w:pPr>
        <w:ind w:left="1964" w:hanging="655"/>
        <w:spacing w:after="0"/>
        <w:tabs>
          <w:tab w:leader="none" w:pos="196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necessary for either Party to utilize its rights and use of its Intellectual Property Rights; or</w:t>
      </w:r>
    </w:p>
    <w:p>
      <w:pPr>
        <w:spacing w:after="0" w:line="130" w:lineRule="exact"/>
        <w:rPr>
          <w:rFonts w:ascii="Times New Roman" w:cs="Times New Roman" w:eastAsia="Times New Roman" w:hAnsi="Times New Roman"/>
          <w:sz w:val="18"/>
          <w:szCs w:val="18"/>
          <w:color w:val="auto"/>
        </w:rPr>
      </w:pPr>
    </w:p>
    <w:p>
      <w:pPr>
        <w:ind w:left="1964" w:right="220" w:hanging="655"/>
        <w:spacing w:after="0" w:line="282" w:lineRule="auto"/>
        <w:tabs>
          <w:tab w:leader="none" w:pos="196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or created by one Party independently of the other, without any part thereof having been developed or created with assistance or information received from the other Party.</w:t>
      </w:r>
    </w:p>
    <w:p>
      <w:pPr>
        <w:spacing w:after="0" w:line="67" w:lineRule="exact"/>
        <w:rPr>
          <w:sz w:val="20"/>
          <w:szCs w:val="20"/>
          <w:color w:val="auto"/>
        </w:rPr>
      </w:pPr>
    </w:p>
    <w:p>
      <w:pPr>
        <w:ind w:left="884"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w:t>
      </w:r>
    </w:p>
    <w:p>
      <w:pPr>
        <w:spacing w:after="0" w:line="89" w:lineRule="exact"/>
        <w:rPr>
          <w:sz w:val="20"/>
          <w:szCs w:val="20"/>
          <w:color w:val="auto"/>
        </w:rPr>
      </w:pPr>
    </w:p>
    <w:p>
      <w:pPr>
        <w:ind w:left="884" w:right="40"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462" w:name="page463"/>
    <w:bookmarkEnd w:id="462"/>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r>
      <w:r>
        <w:rPr>
          <w:sz w:val="20"/>
          <w:szCs w:val="20"/>
          <w:color w:val="auto"/>
        </w:rPr>
        <w:tab/>
      </w:r>
      <w:r>
        <w:rPr>
          <w:rFonts w:ascii="Times New Roman" w:cs="Times New Roman" w:eastAsia="Times New Roman" w:hAnsi="Times New Roman"/>
          <w:sz w:val="17"/>
          <w:szCs w:val="17"/>
          <w:color w:val="auto"/>
        </w:rPr>
        <w:t>If any Party violates any of its obligations described in this Section 13, the violating Party shall, upon notification from the other Party,</w:t>
      </w:r>
    </w:p>
    <w:p>
      <w:pPr>
        <w:spacing w:after="0" w:line="27" w:lineRule="exact"/>
        <w:rPr>
          <w:sz w:val="20"/>
          <w:szCs w:val="20"/>
          <w:color w:val="auto"/>
        </w:rPr>
      </w:pPr>
    </w:p>
    <w:p>
      <w:pPr>
        <w:ind w:left="884" w:hanging="7"/>
        <w:spacing w:after="0" w:line="255" w:lineRule="auto"/>
        <w:tabs>
          <w:tab w:leader="none" w:pos="109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to proceed such harmful violation and take all actions needed to rectify said behaviour and (ii) financially compensate for the harm suffered as determined by an arbitral tribunal pursuant to Section 17.2 below. All legal remedies (compensatory but not punitive in nature) according to law shall apply.</w:t>
      </w:r>
    </w:p>
    <w:p>
      <w:pPr>
        <w:spacing w:after="0" w:line="91" w:lineRule="exact"/>
        <w:rPr>
          <w:sz w:val="20"/>
          <w:szCs w:val="20"/>
          <w:color w:val="auto"/>
        </w:rPr>
      </w:pPr>
    </w:p>
    <w:p>
      <w:pPr>
        <w:jc w:val="both"/>
        <w:ind w:left="884" w:right="34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w:t>
      </w:r>
    </w:p>
    <w:p>
      <w:pPr>
        <w:spacing w:after="0" w:line="8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7"/>
          <w:szCs w:val="17"/>
          <w:color w:val="auto"/>
        </w:rPr>
        <w:t>This confidentiality provision shall survive the expiration or termination of this Service Agreement without limitation in time.</w:t>
      </w:r>
    </w:p>
    <w:p>
      <w:pPr>
        <w:spacing w:after="0" w:line="127" w:lineRule="exact"/>
        <w:rPr>
          <w:sz w:val="20"/>
          <w:szCs w:val="20"/>
          <w:color w:val="auto"/>
        </w:rPr>
      </w:pPr>
    </w:p>
    <w:p>
      <w:pPr>
        <w:ind w:left="884" w:hanging="884"/>
        <w:spacing w:after="0"/>
        <w:tabs>
          <w:tab w:leader="none" w:pos="884"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5" w:lineRule="exact"/>
        <w:rPr>
          <w:sz w:val="20"/>
          <w:szCs w:val="20"/>
          <w:color w:val="auto"/>
        </w:rPr>
      </w:pPr>
    </w:p>
    <w:p>
      <w:pPr>
        <w:ind w:left="884" w:right="1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This Service Agreement shall become effective when the Main Document is signed by duly authorised signatories of each Party and shall, unless terminated in accordance with this Section 14 below, remain in force until the Services are completed.</w:t>
      </w:r>
    </w:p>
    <w:p>
      <w:pPr>
        <w:spacing w:after="0" w:line="6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Either Party shall be entitled to terminate this Service Agreement with immediate effect in the event:</w:t>
      </w:r>
    </w:p>
    <w:p>
      <w:pPr>
        <w:spacing w:after="0" w:line="131" w:lineRule="exact"/>
        <w:rPr>
          <w:sz w:val="20"/>
          <w:szCs w:val="20"/>
          <w:color w:val="auto"/>
        </w:rPr>
      </w:pPr>
    </w:p>
    <w:p>
      <w:pPr>
        <w:ind w:left="1964" w:right="240" w:hanging="655"/>
        <w:spacing w:after="0" w:line="282" w:lineRule="auto"/>
        <w:tabs>
          <w:tab w:leader="none" w:pos="19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commits a material breach of the terms of this Service Agreement, which has not been remedied within 30 days from written notice from the other Party to remedy such breach (if capable of being remedied); or</w:t>
      </w:r>
    </w:p>
    <w:p>
      <w:pPr>
        <w:spacing w:after="0" w:line="67" w:lineRule="exact"/>
        <w:rPr>
          <w:rFonts w:ascii="Times New Roman" w:cs="Times New Roman" w:eastAsia="Times New Roman" w:hAnsi="Times New Roman"/>
          <w:sz w:val="18"/>
          <w:szCs w:val="18"/>
          <w:color w:val="auto"/>
        </w:rPr>
      </w:pPr>
    </w:p>
    <w:p>
      <w:pPr>
        <w:ind w:left="1964" w:right="600" w:hanging="655"/>
        <w:spacing w:after="0" w:line="282" w:lineRule="auto"/>
        <w:tabs>
          <w:tab w:leader="none" w:pos="19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should become insolvent or enter into negotiations on composition with its creditors or a petition in bankruptcy should be filed by it or it should make an assignment for the benefit of its creditors.</w:t>
      </w:r>
    </w:p>
    <w:p>
      <w:pPr>
        <w:spacing w:after="0" w:line="67" w:lineRule="exact"/>
        <w:rPr>
          <w:sz w:val="20"/>
          <w:szCs w:val="20"/>
          <w:color w:val="auto"/>
        </w:rPr>
      </w:pPr>
    </w:p>
    <w:p>
      <w:pPr>
        <w:ind w:left="884" w:right="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avoidance of doubt, Purchaser not paying the Service Charges, without legitimate reasons for withholding payment, shall be considered in material breach for the purpose of this Service Agreement.</w:t>
      </w:r>
    </w:p>
    <w:p>
      <w:pPr>
        <w:spacing w:after="0" w:line="6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Furthermore, Purchaser is entitled to terminate this Service Agreement with immediate effect in case Service Provider acts in breach, which</w:t>
      </w:r>
    </w:p>
    <w:p>
      <w:pPr>
        <w:spacing w:after="0" w:line="27" w:lineRule="exact"/>
        <w:rPr>
          <w:sz w:val="20"/>
          <w:szCs w:val="20"/>
          <w:color w:val="auto"/>
        </w:rPr>
      </w:pPr>
    </w:p>
    <w:p>
      <w:pPr>
        <w:ind w:left="884" w:right="920"/>
        <w:spacing w:after="0" w:line="260" w:lineRule="auto"/>
        <w:rPr>
          <w:sz w:val="20"/>
          <w:szCs w:val="20"/>
          <w:color w:val="auto"/>
        </w:rPr>
      </w:pPr>
      <w:r>
        <w:rPr>
          <w:rFonts w:ascii="Times New Roman" w:cs="Times New Roman" w:eastAsia="Times New Roman" w:hAnsi="Times New Roman"/>
          <w:sz w:val="18"/>
          <w:szCs w:val="18"/>
          <w:color w:val="auto"/>
        </w:rPr>
        <w:t>is not insignificant, of what is set forth in Section 4.3 and 4.4 provided that the issue first has been escalated in accordance with Section 17.1.</w:t>
      </w:r>
    </w:p>
    <w:p>
      <w:pPr>
        <w:spacing w:after="0" w:line="87" w:lineRule="exact"/>
        <w:rPr>
          <w:sz w:val="20"/>
          <w:szCs w:val="20"/>
          <w:color w:val="auto"/>
        </w:rPr>
      </w:pPr>
    </w:p>
    <w:p>
      <w:pPr>
        <w:ind w:left="884" w:right="6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Purchaser shall in addition be entitled to cancel the Services performed by Service Provider for convenience upon 30 days written notice to Service Provider.</w:t>
      </w:r>
    </w:p>
    <w:p>
      <w:pPr>
        <w:spacing w:after="0" w:line="67" w:lineRule="exact"/>
        <w:rPr>
          <w:sz w:val="20"/>
          <w:szCs w:val="20"/>
          <w:color w:val="auto"/>
        </w:rPr>
      </w:pPr>
    </w:p>
    <w:p>
      <w:pPr>
        <w:jc w:val="right"/>
        <w:ind w:left="4" w:right="100"/>
        <w:spacing w:after="0" w:line="282" w:lineRule="auto"/>
        <w:rPr>
          <w:sz w:val="20"/>
          <w:szCs w:val="20"/>
          <w:color w:val="auto"/>
        </w:rPr>
      </w:pPr>
      <w:r>
        <w:rPr>
          <w:rFonts w:ascii="Times New Roman" w:cs="Times New Roman" w:eastAsia="Times New Roman" w:hAnsi="Times New Roman"/>
          <w:sz w:val="18"/>
          <w:szCs w:val="18"/>
          <w:color w:val="auto"/>
        </w:rPr>
        <w:t>14.6      In the event Purchaser cancels the Services in accordance with Section 14.5 above, the Service Charges shall, in addition to what is set out in the Main Document, include any other reasonable proven costs Service Provider has incurred until the effective date of the cancellation.</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463" w:name="page464"/>
    <w:bookmarkEnd w:id="463"/>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14.7</w:t>
      </w:r>
      <w:r>
        <w:rPr>
          <w:sz w:val="20"/>
          <w:szCs w:val="20"/>
          <w:color w:val="auto"/>
        </w:rPr>
        <w:tab/>
      </w:r>
      <w:r>
        <w:rPr>
          <w:rFonts w:ascii="Times New Roman" w:cs="Times New Roman" w:eastAsia="Times New Roman" w:hAnsi="Times New Roman"/>
          <w:sz w:val="17"/>
          <w:szCs w:val="17"/>
          <w:color w:val="auto"/>
        </w:rPr>
        <w:t>Either Party shall in addition be entitled to terminate the Service Agreement for convenience upon 60 days written notice to the other Party.</w:t>
      </w:r>
    </w:p>
    <w:p>
      <w:pPr>
        <w:spacing w:after="0" w:line="127" w:lineRule="exact"/>
        <w:rPr>
          <w:sz w:val="20"/>
          <w:szCs w:val="20"/>
          <w:color w:val="auto"/>
        </w:rPr>
      </w:pPr>
    </w:p>
    <w:p>
      <w:pPr>
        <w:ind w:left="884" w:hanging="884"/>
        <w:spacing w:after="0"/>
        <w:tabs>
          <w:tab w:leader="none" w:pos="884"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135" w:lineRule="exact"/>
        <w:rPr>
          <w:sz w:val="20"/>
          <w:szCs w:val="20"/>
          <w:color w:val="auto"/>
        </w:rPr>
      </w:pPr>
    </w:p>
    <w:p>
      <w:pPr>
        <w:ind w:left="884" w:hanging="876"/>
        <w:spacing w:after="0" w:line="254" w:lineRule="auto"/>
        <w:tabs>
          <w:tab w:leader="none" w:pos="864"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8"/>
          <w:szCs w:val="18"/>
          <w:color w:val="auto"/>
        </w:rPr>
        <w:t>Neither Party shall be liable for any failure or delay in performing its obligations under the Service Agreement to the extent that such failure or delay is caused by a Force Majeure Event.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w:t>
      </w:r>
    </w:p>
    <w:p>
      <w:pPr>
        <w:spacing w:after="0" w:line="94" w:lineRule="exact"/>
        <w:rPr>
          <w:sz w:val="20"/>
          <w:szCs w:val="20"/>
          <w:color w:val="auto"/>
        </w:rPr>
      </w:pPr>
    </w:p>
    <w:p>
      <w:pPr>
        <w:ind w:left="884" w:right="20" w:hanging="876"/>
        <w:spacing w:after="0" w:line="261" w:lineRule="auto"/>
        <w:tabs>
          <w:tab w:leader="none" w:pos="864"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color w:val="auto"/>
        </w:rPr>
        <w:t>A non-performing Party, which claims there is a Force Majeure Event, and cannot perform its obligations under the Service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w:t>
      </w:r>
    </w:p>
    <w:p>
      <w:pPr>
        <w:spacing w:after="0" w:line="81" w:lineRule="exact"/>
        <w:rPr>
          <w:sz w:val="20"/>
          <w:szCs w:val="20"/>
          <w:color w:val="auto"/>
        </w:rPr>
      </w:pPr>
    </w:p>
    <w:p>
      <w:pPr>
        <w:ind w:left="884" w:right="120" w:hanging="876"/>
        <w:spacing w:after="0" w:line="262" w:lineRule="auto"/>
        <w:tabs>
          <w:tab w:leader="none" w:pos="86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demands, requests and other communications to any Party as set forth in, or in any way relating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w:t>
      </w:r>
    </w:p>
    <w:p>
      <w:pPr>
        <w:spacing w:after="0" w:line="86" w:lineRule="exact"/>
        <w:rPr>
          <w:sz w:val="20"/>
          <w:szCs w:val="20"/>
          <w:color w:val="auto"/>
        </w:rPr>
      </w:pPr>
    </w:p>
    <w:p>
      <w:pPr>
        <w:ind w:left="1964" w:hanging="655"/>
        <w:spacing w:after="0"/>
        <w:tabs>
          <w:tab w:leader="none" w:pos="1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personal delivery, at the time and on the date of personal delivery;</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transmission, at the time and date indicated on a response confirming such successful email transmission;</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at the time and on the date of delivery as confirmed in the records of such courier service; or</w:t>
      </w:r>
    </w:p>
    <w:p>
      <w:pPr>
        <w:spacing w:after="0" w:line="130"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and date as delivery by personal delivery or courier is refused by the addressee upon presentation;</w:t>
      </w:r>
    </w:p>
    <w:p>
      <w:pPr>
        <w:spacing w:after="0" w:line="117" w:lineRule="exact"/>
        <w:rPr>
          <w:sz w:val="20"/>
          <w:szCs w:val="20"/>
          <w:color w:val="auto"/>
        </w:rPr>
      </w:pPr>
    </w:p>
    <w:p>
      <w:pPr>
        <w:ind w:left="884" w:right="80"/>
        <w:spacing w:after="0" w:line="258" w:lineRule="auto"/>
        <w:rPr>
          <w:sz w:val="20"/>
          <w:szCs w:val="20"/>
          <w:color w:val="auto"/>
        </w:rPr>
      </w:pPr>
      <w:r>
        <w:rPr>
          <w:rFonts w:ascii="Times New Roman" w:cs="Times New Roman" w:eastAsia="Times New Roman" w:hAnsi="Times New Roman"/>
          <w:sz w:val="18"/>
          <w:szCs w:val="18"/>
          <w:color w:val="auto"/>
        </w:rPr>
        <w:t>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464" w:name="page465"/>
    <w:bookmarkEnd w:id="464"/>
    <w:p>
      <w:pPr>
        <w:spacing w:after="0"/>
        <w:tabs>
          <w:tab w:leader="none" w:pos="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w:t>
      </w:r>
      <w:r>
        <w:rPr>
          <w:sz w:val="20"/>
          <w:szCs w:val="20"/>
          <w:color w:val="auto"/>
        </w:rPr>
        <w:tab/>
      </w:r>
      <w:r>
        <w:rPr>
          <w:rFonts w:ascii="Times New Roman" w:cs="Times New Roman" w:eastAsia="Times New Roman" w:hAnsi="Times New Roman"/>
          <w:sz w:val="17"/>
          <w:szCs w:val="17"/>
          <w:b w:val="1"/>
          <w:bCs w:val="1"/>
          <w:color w:val="auto"/>
        </w:rPr>
        <w:t>Assignment.</w:t>
      </w:r>
    </w:p>
    <w:p>
      <w:pPr>
        <w:spacing w:after="0" w:line="135" w:lineRule="exact"/>
        <w:rPr>
          <w:sz w:val="20"/>
          <w:szCs w:val="20"/>
          <w:color w:val="auto"/>
        </w:rPr>
      </w:pPr>
    </w:p>
    <w:p>
      <w:pPr>
        <w:ind w:left="880" w:right="34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15.3.1</w:t>
      </w:r>
      <w:r>
        <w:rPr>
          <w:sz w:val="20"/>
          <w:szCs w:val="20"/>
          <w:color w:val="auto"/>
        </w:rPr>
        <w:tab/>
      </w:r>
      <w:r>
        <w:rPr>
          <w:rFonts w:ascii="Times New Roman" w:cs="Times New Roman" w:eastAsia="Times New Roman" w:hAnsi="Times New Roman"/>
          <w:sz w:val="18"/>
          <w:szCs w:val="18"/>
          <w:color w:val="auto"/>
        </w:rPr>
        <w:t>Neither Party may, wholly or partly, assign, pledge or otherwise dispose of its rights and/or obligations under this Service Agreement without the other Party’s prior written consent.</w:t>
      </w:r>
    </w:p>
    <w:p>
      <w:pPr>
        <w:spacing w:after="0" w:line="67" w:lineRule="exact"/>
        <w:rPr>
          <w:sz w:val="20"/>
          <w:szCs w:val="20"/>
          <w:color w:val="auto"/>
        </w:rPr>
      </w:pPr>
    </w:p>
    <w:p>
      <w:pPr>
        <w:ind w:left="880" w:right="24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15.3.2</w:t>
      </w:r>
      <w:r>
        <w:rPr>
          <w:sz w:val="20"/>
          <w:szCs w:val="20"/>
          <w:color w:val="auto"/>
        </w:rPr>
        <w:tab/>
      </w:r>
      <w:r>
        <w:rPr>
          <w:rFonts w:ascii="Times New Roman" w:cs="Times New Roman" w:eastAsia="Times New Roman" w:hAnsi="Times New Roman"/>
          <w:sz w:val="18"/>
          <w:szCs w:val="18"/>
          <w:color w:val="auto"/>
        </w:rPr>
        <w:t>Notwithstanding the above, each Party may assign this Service Agreement to an Affiliate without the prior written consent of the other Party.</w:t>
      </w:r>
    </w:p>
    <w:p>
      <w:pPr>
        <w:spacing w:after="0" w:line="63" w:lineRule="exact"/>
        <w:rPr>
          <w:sz w:val="20"/>
          <w:szCs w:val="20"/>
          <w:color w:val="auto"/>
        </w:rPr>
      </w:pPr>
    </w:p>
    <w:p>
      <w:pPr>
        <w:jc w:val="both"/>
        <w:ind w:left="880" w:right="180" w:hanging="876"/>
        <w:spacing w:after="0" w:line="268" w:lineRule="auto"/>
        <w:tabs>
          <w:tab w:leader="none" w:pos="86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Neither Party shall be deprived of any right under this Service Agreement because of its failure to exercise any right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Agreement or failure to notify the infringing party of a breach in connection with the Service Agreement. Notwithstanding the foregoing, rules on complaints and limitation periods shall apply.</w:t>
      </w:r>
    </w:p>
    <w:p>
      <w:pPr>
        <w:spacing w:after="0" w:line="76" w:lineRule="exact"/>
        <w:rPr>
          <w:sz w:val="20"/>
          <w:szCs w:val="20"/>
          <w:color w:val="auto"/>
        </w:rPr>
      </w:pPr>
    </w:p>
    <w:p>
      <w:pPr>
        <w:jc w:val="both"/>
        <w:ind w:left="880" w:right="100" w:hanging="876"/>
        <w:spacing w:after="0" w:line="268" w:lineRule="auto"/>
        <w:tabs>
          <w:tab w:leader="none" w:pos="86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any provision of this Service Agreement is wholly or partly invalid, the validity of the Service Agreement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shall not be affected and the remaining provisions of the Service Agreement shall remain valid. To the extent that such invalidity materially affects a Party’s benefit from, or performance under, the Service Agreement, it shall be reasonably amended.</w:t>
      </w:r>
    </w:p>
    <w:p>
      <w:pPr>
        <w:spacing w:after="0" w:line="76" w:lineRule="exact"/>
        <w:rPr>
          <w:sz w:val="20"/>
          <w:szCs w:val="20"/>
          <w:color w:val="auto"/>
        </w:rPr>
      </w:pPr>
    </w:p>
    <w:p>
      <w:pPr>
        <w:ind w:left="880" w:right="140" w:hanging="876"/>
        <w:spacing w:after="0" w:line="317" w:lineRule="auto"/>
        <w:tabs>
          <w:tab w:leader="none" w:pos="86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All arrangements, commitments and undertakings in connection with the subject matter of this Service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written or oral) made before the date of this Service Agreement are superseded by this Service Agreement and its Appendices.</w:t>
      </w:r>
    </w:p>
    <w:p>
      <w:pPr>
        <w:spacing w:after="0" w:line="3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b w:val="1"/>
          <w:bCs w:val="1"/>
          <w:color w:val="auto"/>
        </w:rPr>
        <w:t xml:space="preserve">Amendments. </w:t>
      </w:r>
      <w:r>
        <w:rPr>
          <w:rFonts w:ascii="Times New Roman" w:cs="Times New Roman" w:eastAsia="Times New Roman" w:hAnsi="Times New Roman"/>
          <w:sz w:val="17"/>
          <w:szCs w:val="17"/>
          <w:color w:val="auto"/>
        </w:rPr>
        <w:t>Any amendment or addition to this Service Agreement must be made in writing and signed by the Parties to be valid.</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133" w:lineRule="exact"/>
        <w:rPr>
          <w:sz w:val="20"/>
          <w:szCs w:val="20"/>
          <w:color w:val="auto"/>
        </w:rPr>
      </w:pPr>
    </w:p>
    <w:p>
      <w:pPr>
        <w:jc w:val="both"/>
        <w:ind w:left="880" w:hanging="876"/>
        <w:spacing w:after="0" w:line="267" w:lineRule="auto"/>
        <w:tabs>
          <w:tab w:leader="none" w:pos="860" w:val="left"/>
        </w:tabs>
        <w:rPr>
          <w:sz w:val="20"/>
          <w:szCs w:val="20"/>
          <w:color w:val="auto"/>
        </w:rPr>
      </w:pPr>
      <w:r>
        <w:rPr>
          <w:rFonts w:ascii="Times New Roman" w:cs="Times New Roman" w:eastAsia="Times New Roman" w:hAnsi="Times New Roman"/>
          <w:sz w:val="18"/>
          <w:szCs w:val="18"/>
          <w:color w:val="auto"/>
        </w:rPr>
        <w:t>15.8.1</w:t>
      </w:r>
      <w:r>
        <w:rPr>
          <w:sz w:val="20"/>
          <w:szCs w:val="20"/>
          <w:color w:val="auto"/>
        </w:rPr>
        <w:tab/>
      </w:r>
      <w:r>
        <w:rPr>
          <w:rFonts w:ascii="Times New Roman" w:cs="Times New Roman" w:eastAsia="Times New Roman" w:hAnsi="Times New Roman"/>
          <w:sz w:val="18"/>
          <w:szCs w:val="18"/>
          <w:color w:val="auto"/>
        </w:rPr>
        <w:t>If this Service Agreement is terminated or expires pursuant to Section 14 above, Section 5.3 (</w:t>
      </w:r>
      <w:r>
        <w:rPr>
          <w:rFonts w:ascii="Times New Roman" w:cs="Times New Roman" w:eastAsia="Times New Roman" w:hAnsi="Times New Roman"/>
          <w:sz w:val="18"/>
          <w:szCs w:val="18"/>
          <w:i w:val="1"/>
          <w:iCs w:val="1"/>
          <w:color w:val="auto"/>
        </w:rPr>
        <w:t>License grant</w:t>
      </w:r>
      <w:r>
        <w:rPr>
          <w:rFonts w:ascii="Times New Roman" w:cs="Times New Roman" w:eastAsia="Times New Roman" w:hAnsi="Times New Roman"/>
          <w:sz w:val="18"/>
          <w:szCs w:val="18"/>
          <w:color w:val="auto"/>
        </w:rPr>
        <w:t>), Section 13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Section 16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Section 17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as well as this Section 15.8, shall survive any termination or expiration and remain in force as between the Parties after such termination or expiration.</w:t>
      </w:r>
    </w:p>
    <w:p>
      <w:pPr>
        <w:spacing w:after="0" w:line="81" w:lineRule="exact"/>
        <w:rPr>
          <w:sz w:val="20"/>
          <w:szCs w:val="20"/>
          <w:color w:val="auto"/>
        </w:rPr>
      </w:pPr>
    </w:p>
    <w:p>
      <w:pPr>
        <w:ind w:left="880" w:right="80" w:hanging="876"/>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15.8.2</w:t>
      </w:r>
      <w:r>
        <w:rPr>
          <w:sz w:val="20"/>
          <w:szCs w:val="20"/>
          <w:color w:val="auto"/>
        </w:rPr>
        <w:tab/>
      </w:r>
      <w:r>
        <w:rPr>
          <w:rFonts w:ascii="Times New Roman" w:cs="Times New Roman" w:eastAsia="Times New Roman" w:hAnsi="Times New Roman"/>
          <w:sz w:val="18"/>
          <w:szCs w:val="18"/>
          <w:color w:val="auto"/>
        </w:rPr>
        <w:t>Notwithstanding Section 15.8.1 above, if this Service Agreement is terminated due to Purchaser not paying the Service Charges, without legitimate reasons for withholding payment, pursuant to Section 14 above, Section 5.3 (</w:t>
      </w:r>
      <w:r>
        <w:rPr>
          <w:rFonts w:ascii="Times New Roman" w:cs="Times New Roman" w:eastAsia="Times New Roman" w:hAnsi="Times New Roman"/>
          <w:sz w:val="18"/>
          <w:szCs w:val="18"/>
          <w:i w:val="1"/>
          <w:iCs w:val="1"/>
          <w:color w:val="auto"/>
        </w:rPr>
        <w:t>License Grant</w:t>
      </w:r>
      <w:r>
        <w:rPr>
          <w:rFonts w:ascii="Times New Roman" w:cs="Times New Roman" w:eastAsia="Times New Roman" w:hAnsi="Times New Roman"/>
          <w:sz w:val="18"/>
          <w:szCs w:val="18"/>
          <w:color w:val="auto"/>
        </w:rPr>
        <w: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00"/>
          </w:cols>
          <w:pgMar w:left="440" w:top="266" w:right="659" w:bottom="1440" w:gutter="0" w:footer="0" w:header="0"/>
        </w:sectPr>
      </w:pPr>
    </w:p>
    <w:bookmarkStart w:id="465" w:name="page466"/>
    <w:bookmarkEnd w:id="465"/>
    <w:p>
      <w:pPr>
        <w:ind w:left="884" w:hanging="884"/>
        <w:spacing w:after="0"/>
        <w:tabs>
          <w:tab w:leader="none" w:pos="884"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35" w:lineRule="exact"/>
        <w:rPr>
          <w:sz w:val="20"/>
          <w:szCs w:val="20"/>
          <w:color w:val="auto"/>
        </w:rPr>
      </w:pPr>
    </w:p>
    <w:p>
      <w:pPr>
        <w:ind w:left="884" w:right="6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This Service Agreement and all non-contractual obligations in connection with this Service Agreement shall be governed by the substantive laws of:</w:t>
      </w:r>
    </w:p>
    <w:p>
      <w:pPr>
        <w:spacing w:after="0" w:line="67" w:lineRule="exact"/>
        <w:rPr>
          <w:sz w:val="20"/>
          <w:szCs w:val="20"/>
          <w:color w:val="auto"/>
        </w:rPr>
      </w:pPr>
    </w:p>
    <w:p>
      <w:pPr>
        <w:ind w:left="1964" w:right="440" w:hanging="655"/>
        <w:spacing w:after="0" w:line="282" w:lineRule="auto"/>
        <w:tabs>
          <w:tab w:leader="none" w:pos="196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People’s Republic of China, if the Party that is providing the Services is incorporated under the laws of the People’s Republic of China; and</w:t>
      </w:r>
    </w:p>
    <w:p>
      <w:pPr>
        <w:spacing w:after="0" w:line="67" w:lineRule="exact"/>
        <w:rPr>
          <w:rFonts w:ascii="Times New Roman" w:cs="Times New Roman" w:eastAsia="Times New Roman" w:hAnsi="Times New Roman"/>
          <w:sz w:val="18"/>
          <w:szCs w:val="18"/>
          <w:color w:val="auto"/>
        </w:rPr>
      </w:pPr>
    </w:p>
    <w:p>
      <w:pPr>
        <w:ind w:left="1964" w:hanging="655"/>
        <w:spacing w:after="0"/>
        <w:tabs>
          <w:tab w:leader="none" w:pos="196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Sweden, if the Party that is providing the Services is incorporated under the laws of Sweden,</w:t>
      </w:r>
    </w:p>
    <w:p>
      <w:pPr>
        <w:spacing w:after="0" w:line="11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without giving regard to its conflict of laws principles.</w:t>
      </w:r>
    </w:p>
    <w:p>
      <w:pPr>
        <w:spacing w:after="0" w:line="127" w:lineRule="exact"/>
        <w:rPr>
          <w:sz w:val="20"/>
          <w:szCs w:val="20"/>
          <w:color w:val="auto"/>
        </w:rPr>
      </w:pPr>
    </w:p>
    <w:p>
      <w:pPr>
        <w:ind w:left="884" w:hanging="884"/>
        <w:spacing w:after="0"/>
        <w:tabs>
          <w:tab w:leader="none" w:pos="884"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3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Escalation principles.</w:t>
      </w:r>
    </w:p>
    <w:p>
      <w:pPr>
        <w:spacing w:after="0" w:line="135" w:lineRule="exact"/>
        <w:rPr>
          <w:sz w:val="20"/>
          <w:szCs w:val="20"/>
          <w:color w:val="auto"/>
        </w:rPr>
      </w:pPr>
    </w:p>
    <w:p>
      <w:pPr>
        <w:ind w:left="884" w:right="60" w:hanging="876"/>
        <w:spacing w:after="0" w:line="256" w:lineRule="auto"/>
        <w:tabs>
          <w:tab w:leader="none" w:pos="864"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w:t>
      </w:r>
    </w:p>
    <w:p>
      <w:pPr>
        <w:spacing w:after="0" w:line="93" w:lineRule="exact"/>
        <w:rPr>
          <w:sz w:val="20"/>
          <w:szCs w:val="20"/>
          <w:color w:val="auto"/>
        </w:rPr>
      </w:pPr>
    </w:p>
    <w:p>
      <w:pPr>
        <w:ind w:left="884"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8"/>
          <w:szCs w:val="18"/>
          <w:color w:val="auto"/>
        </w:rPr>
        <w:t>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w:t>
      </w:r>
    </w:p>
    <w:p>
      <w:pPr>
        <w:spacing w:after="0" w:line="89" w:lineRule="exact"/>
        <w:rPr>
          <w:sz w:val="20"/>
          <w:szCs w:val="20"/>
          <w:color w:val="auto"/>
        </w:rPr>
      </w:pPr>
    </w:p>
    <w:p>
      <w:pPr>
        <w:ind w:left="884" w:right="160" w:hanging="876"/>
        <w:spacing w:after="0" w:line="258" w:lineRule="auto"/>
        <w:tabs>
          <w:tab w:leader="none" w:pos="864"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8"/>
          <w:szCs w:val="18"/>
          <w:color w:val="auto"/>
        </w:rPr>
        <w:t>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17.2 below.</w:t>
      </w:r>
    </w:p>
    <w:p>
      <w:pPr>
        <w:spacing w:after="0" w:line="89" w:lineRule="exact"/>
        <w:rPr>
          <w:sz w:val="20"/>
          <w:szCs w:val="20"/>
          <w:color w:val="auto"/>
        </w:rPr>
      </w:pPr>
    </w:p>
    <w:p>
      <w:pPr>
        <w:ind w:left="884" w:right="12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color w:val="auto"/>
        </w:rPr>
        <w:t>All notices and communications exchanged in the course of a deadlock resolution proceeding shall be considered Confidential Information of each Party and be subject to the confidentiality undertaking in Section 13 above.</w:t>
      </w:r>
    </w:p>
    <w:p>
      <w:pPr>
        <w:spacing w:after="0" w:line="67" w:lineRule="exact"/>
        <w:rPr>
          <w:sz w:val="20"/>
          <w:szCs w:val="20"/>
          <w:color w:val="auto"/>
        </w:rPr>
      </w:pPr>
    </w:p>
    <w:p>
      <w:pPr>
        <w:ind w:left="884" w:right="12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17.1.5</w:t>
      </w:r>
      <w:r>
        <w:rPr>
          <w:sz w:val="20"/>
          <w:szCs w:val="20"/>
          <w:color w:val="auto"/>
        </w:rPr>
        <w:tab/>
      </w:r>
      <w:r>
        <w:rPr>
          <w:rFonts w:ascii="Times New Roman" w:cs="Times New Roman" w:eastAsia="Times New Roman" w:hAnsi="Times New Roman"/>
          <w:sz w:val="18"/>
          <w:szCs w:val="18"/>
          <w:color w:val="auto"/>
        </w:rPr>
        <w:t>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466" w:name="page467"/>
    <w:bookmarkEnd w:id="466"/>
    <w:p>
      <w:pPr>
        <w:spacing w:after="0"/>
        <w:tabs>
          <w:tab w:leader="none" w:pos="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17.2</w:t>
      </w:r>
      <w:r>
        <w:rPr>
          <w:sz w:val="20"/>
          <w:szCs w:val="20"/>
          <w:color w:val="auto"/>
        </w:rPr>
        <w:tab/>
      </w:r>
      <w:r>
        <w:rPr>
          <w:rFonts w:ascii="Times New Roman" w:cs="Times New Roman" w:eastAsia="Times New Roman" w:hAnsi="Times New Roman"/>
          <w:sz w:val="17"/>
          <w:szCs w:val="17"/>
          <w:b w:val="1"/>
          <w:bCs w:val="1"/>
          <w:color w:val="auto"/>
        </w:rPr>
        <w:t>Arbitration.</w:t>
      </w:r>
    </w:p>
    <w:p>
      <w:pPr>
        <w:spacing w:after="0" w:line="13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17.2.1</w:t>
      </w:r>
      <w:r>
        <w:rPr>
          <w:sz w:val="20"/>
          <w:szCs w:val="20"/>
          <w:color w:val="auto"/>
        </w:rPr>
        <w:tab/>
      </w:r>
      <w:r>
        <w:rPr>
          <w:rFonts w:ascii="Times New Roman" w:cs="Times New Roman" w:eastAsia="Times New Roman" w:hAnsi="Times New Roman"/>
          <w:sz w:val="17"/>
          <w:szCs w:val="17"/>
          <w:color w:val="auto"/>
        </w:rPr>
        <w:t>Any dispute, controversy or claim arising out of or in connection with this Agreement, or the breach, termination or invalidity thereof, shall:</w:t>
      </w:r>
    </w:p>
    <w:p>
      <w:pPr>
        <w:spacing w:after="0" w:line="131" w:lineRule="exact"/>
        <w:rPr>
          <w:sz w:val="20"/>
          <w:szCs w:val="20"/>
          <w:color w:val="auto"/>
        </w:rPr>
      </w:pPr>
    </w:p>
    <w:p>
      <w:pPr>
        <w:ind w:left="1960" w:right="40" w:hanging="655"/>
        <w:spacing w:after="0" w:line="261" w:lineRule="auto"/>
        <w:tabs>
          <w:tab w:leader="none" w:pos="19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that is providing the Services is incorporated under the laws of the People’s Republic of China,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and</w:t>
      </w:r>
    </w:p>
    <w:p>
      <w:pPr>
        <w:spacing w:after="0" w:line="85" w:lineRule="exact"/>
        <w:rPr>
          <w:rFonts w:ascii="Times New Roman" w:cs="Times New Roman" w:eastAsia="Times New Roman" w:hAnsi="Times New Roman"/>
          <w:sz w:val="18"/>
          <w:szCs w:val="18"/>
          <w:color w:val="auto"/>
        </w:rPr>
      </w:pPr>
    </w:p>
    <w:p>
      <w:pPr>
        <w:ind w:left="1960" w:right="80" w:hanging="655"/>
        <w:spacing w:after="0" w:line="261" w:lineRule="auto"/>
        <w:tabs>
          <w:tab w:leader="none" w:pos="19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w:t>
      </w:r>
    </w:p>
    <w:p>
      <w:pPr>
        <w:spacing w:after="0" w:line="85" w:lineRule="exact"/>
        <w:rPr>
          <w:sz w:val="20"/>
          <w:szCs w:val="20"/>
          <w:color w:val="auto"/>
        </w:rPr>
      </w:pPr>
    </w:p>
    <w:p>
      <w:pPr>
        <w:ind w:left="880" w:right="66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17.2.2</w:t>
      </w:r>
      <w:r>
        <w:rPr>
          <w:sz w:val="20"/>
          <w:szCs w:val="20"/>
          <w:color w:val="auto"/>
        </w:rPr>
        <w:tab/>
      </w:r>
      <w:r>
        <w:rPr>
          <w:rFonts w:ascii="Times New Roman" w:cs="Times New Roman" w:eastAsia="Times New Roman" w:hAnsi="Times New Roman"/>
          <w:sz w:val="18"/>
          <w:szCs w:val="18"/>
          <w:color w:val="auto"/>
        </w:rPr>
        <w:t>Irrespective of any discussions or disputes between the Parties, each Party shall always continue to fulfil its undertakings under this Agreement unless an arbitral tribunal or court (as the case may be) decides otherwise.</w:t>
      </w:r>
    </w:p>
    <w:p>
      <w:pPr>
        <w:spacing w:after="0" w:line="67" w:lineRule="exact"/>
        <w:rPr>
          <w:sz w:val="20"/>
          <w:szCs w:val="20"/>
          <w:color w:val="auto"/>
        </w:rPr>
      </w:pPr>
    </w:p>
    <w:p>
      <w:pPr>
        <w:ind w:left="880" w:hanging="876"/>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17.2.3</w:t>
      </w:r>
      <w:r>
        <w:rPr>
          <w:sz w:val="20"/>
          <w:szCs w:val="20"/>
          <w:color w:val="auto"/>
        </w:rPr>
        <w:tab/>
      </w:r>
      <w:r>
        <w:rPr>
          <w:rFonts w:ascii="Times New Roman" w:cs="Times New Roman" w:eastAsia="Times New Roman" w:hAnsi="Times New Roman"/>
          <w:sz w:val="18"/>
          <w:szCs w:val="18"/>
          <w:color w:val="auto"/>
        </w:rPr>
        <w:t>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w:t>
      </w:r>
    </w:p>
    <w:p>
      <w:pPr>
        <w:spacing w:after="0" w:line="85" w:lineRule="exact"/>
        <w:rPr>
          <w:sz w:val="20"/>
          <w:szCs w:val="20"/>
          <w:color w:val="auto"/>
        </w:rPr>
      </w:pPr>
    </w:p>
    <w:p>
      <w:pPr>
        <w:ind w:left="880" w:right="22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17.2.4</w:t>
      </w:r>
      <w:r>
        <w:rPr>
          <w:sz w:val="20"/>
          <w:szCs w:val="20"/>
          <w:color w:val="auto"/>
        </w:rPr>
        <w:tab/>
      </w:r>
      <w:r>
        <w:rPr>
          <w:rFonts w:ascii="Times New Roman" w:cs="Times New Roman" w:eastAsia="Times New Roman" w:hAnsi="Times New Roman"/>
          <w:sz w:val="18"/>
          <w:szCs w:val="18"/>
          <w:color w:val="auto"/>
        </w:rPr>
        <w:t>All arbitral proceedings as well as any and all information, documentation and materials in any form disclosed in the proceedings shall be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122555</wp:posOffset>
            </wp:positionV>
            <wp:extent cx="14744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467" w:name="page468"/>
    <w:bookmarkEnd w:id="46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February 19, 2021, with respect to the financial statements of Gores Guggenheim, Inc., included herein and to the reference to our firm under the heading “Experts” in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2022</w:t>
      </w:r>
    </w:p>
    <w:p>
      <w:pPr>
        <w:sectPr>
          <w:pgSz w:w="11900" w:h="16838" w:orient="portrait"/>
          <w:cols w:equalWidth="0" w:num="1">
            <w:col w:w="11020"/>
          </w:cols>
          <w:pgMar w:left="440" w:top="117" w:right="439" w:bottom="1440" w:gutter="0" w:footer="0" w:header="0"/>
        </w:sectPr>
      </w:pPr>
    </w:p>
    <w:bookmarkStart w:id="468" w:name="page469"/>
    <w:bookmarkEnd w:id="46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on Form F-1 of our report dated February 24, 2022, relating to the financial statements of Gores Guggenheim, Inc. which is contained in that Prospectus. We also consent to the reference to our firm under the caption “Experts” in the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2022</w:t>
      </w:r>
    </w:p>
    <w:p>
      <w:pPr>
        <w:sectPr>
          <w:pgSz w:w="11900" w:h="16838" w:orient="portrait"/>
          <w:cols w:equalWidth="0" w:num="1">
            <w:col w:w="11020"/>
          </w:cols>
          <w:pgMar w:left="440" w:top="117" w:right="439" w:bottom="1440" w:gutter="0" w:footer="0" w:header="0"/>
        </w:sectPr>
      </w:pPr>
    </w:p>
    <w:bookmarkStart w:id="469" w:name="page470"/>
    <w:bookmarkEnd w:id="469"/>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F-1 of our report dated April 21, 2022, relating to the financial statements of Polestar Automotive Holding Limited.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2022</w:t>
      </w:r>
    </w:p>
    <w:p>
      <w:pPr>
        <w:sectPr>
          <w:pgSz w:w="11900" w:h="16838" w:orient="portrait"/>
          <w:cols w:equalWidth="0" w:num="1">
            <w:col w:w="11020"/>
          </w:cols>
          <w:pgMar w:left="440" w:top="117" w:right="43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F-1 of our report dated April 21, 2022, relating to the financial statements of Polestar Automotive Holding UK PLC (formerly known as Polestar Automotive Holding UK Limited).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2022</w:t>
      </w:r>
    </w:p>
    <w:p>
      <w:pPr>
        <w:sectPr>
          <w:pgSz w:w="11900" w:h="16838" w:orient="portrait"/>
          <w:cols w:equalWidth="0" w:num="1">
            <w:col w:w="11020"/>
          </w:cols>
          <w:pgMar w:left="440" w:top="117" w:right="439" w:bottom="1440" w:gutter="0" w:footer="0" w:header="0"/>
        </w:sectPr>
      </w:pPr>
    </w:p>
    <w:bookmarkStart w:id="471" w:name="page472"/>
    <w:bookmarkEnd w:id="47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8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2"/>
                <w:szCs w:val="12"/>
                <w:color w:val="auto"/>
              </w:rPr>
            </w:pPr>
          </w:p>
        </w:tc>
        <w:tc>
          <w:tcPr>
            <w:tcW w:w="16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8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488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0"/>
                <w:szCs w:val="10"/>
                <w:b w:val="1"/>
                <w:bCs w:val="1"/>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Offering</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Shares issuable upon conversion of the Class C</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26"/>
                <w:szCs w:val="26"/>
                <w:color w:val="auto"/>
                <w:vertAlign w:val="superscript"/>
              </w:rPr>
              <w:t>(2)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24,999,965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line="235" w:lineRule="exact"/>
              <w:rPr>
                <w:sz w:val="20"/>
                <w:szCs w:val="20"/>
                <w:color w:val="auto"/>
              </w:rPr>
            </w:pPr>
            <w:r>
              <w:rPr>
                <w:rFonts w:ascii="Times New Roman" w:cs="Times New Roman" w:eastAsia="Times New Roman" w:hAnsi="Times New Roman"/>
                <w:sz w:val="18"/>
                <w:szCs w:val="18"/>
                <w:color w:val="auto"/>
              </w:rPr>
              <w:t>13.72</w:t>
            </w:r>
            <w:r>
              <w:rPr>
                <w:rFonts w:ascii="Times New Roman" w:cs="Times New Roman" w:eastAsia="Times New Roman" w:hAnsi="Times New Roman"/>
                <w:sz w:val="26"/>
                <w:szCs w:val="26"/>
                <w:color w:val="auto"/>
                <w:vertAlign w:val="superscript"/>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342,999,519.80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Class A Shares</w:t>
            </w:r>
            <w:r>
              <w:rPr>
                <w:rFonts w:ascii="Times New Roman" w:cs="Times New Roman" w:eastAsia="Times New Roman" w:hAnsi="Times New Roman"/>
                <w:sz w:val="25"/>
                <w:szCs w:val="25"/>
                <w:color w:val="auto"/>
                <w:vertAlign w:val="superscript"/>
              </w:rPr>
              <w:t>(4)</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2,203,977,609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10.00</w:t>
            </w:r>
            <w:r>
              <w:rPr>
                <w:rFonts w:ascii="Times New Roman" w:cs="Times New Roman" w:eastAsia="Times New Roman" w:hAnsi="Times New Roman"/>
                <w:sz w:val="25"/>
                <w:szCs w:val="25"/>
                <w:color w:val="auto"/>
                <w:vertAlign w:val="superscript"/>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22,039,776,090.00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2,043,088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Class C-2 Shares</w:t>
            </w:r>
            <w:r>
              <w:rPr>
                <w:rFonts w:ascii="Times New Roman" w:cs="Times New Roman" w:eastAsia="Times New Roman" w:hAnsi="Times New Roman"/>
                <w:sz w:val="25"/>
                <w:szCs w:val="25"/>
                <w:color w:val="auto"/>
                <w:vertAlign w:val="superscript"/>
              </w:rPr>
              <w:t>(6)</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2,074,885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40" w:hanging="424"/>
        <w:spacing w:after="0" w:line="261" w:lineRule="auto"/>
        <w:tabs>
          <w:tab w:leader="none" w:pos="4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registrant is also registering an indeterminate number of additional securities that may become issuable as a result of any stock dividend, stock split, recapitalization or other similar transaction.</w:t>
      </w:r>
    </w:p>
    <w:p>
      <w:pPr>
        <w:ind w:left="424" w:hanging="424"/>
        <w:spacing w:after="0"/>
        <w:tabs>
          <w:tab w:leader="none" w:pos="4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24,999,965 Class A Shares issuable upon conversion of the Class C Shares.</w:t>
      </w:r>
    </w:p>
    <w:p>
      <w:pPr>
        <w:spacing w:after="0" w:line="9"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(a) $2.22, the average of the high and low prices for the Class C-1 ADSs as reported on the The Nasdaq Stock Market (the “Nasdaq”) on July 8, 2022, and (b) $11.50, the conversion price of the Class C Shares, resulting in a combined maximum offering price per Class C Share of $13.72. The maximum number of Class C Shares and Class A Shares issuable upon conversion of Class C Shares are being simultaneously registered hereunder. Consistent with the response to Question 240.06 of the Securities Act Rules Compliance and Disclosure Interpretations, the registration fee with respect to the Class C Shares has been allocated to the underlying Class A Shares and those Class A Shares are included in the registration fee.</w:t>
      </w:r>
    </w:p>
    <w:p>
      <w:pPr>
        <w:spacing w:after="0" w:line="2" w:lineRule="exact"/>
        <w:rPr>
          <w:rFonts w:ascii="Times New Roman" w:cs="Times New Roman" w:eastAsia="Times New Roman" w:hAnsi="Times New Roman"/>
          <w:sz w:val="18"/>
          <w:szCs w:val="18"/>
          <w:color w:val="auto"/>
        </w:rPr>
      </w:pPr>
    </w:p>
    <w:p>
      <w:pPr>
        <w:ind w:left="424" w:right="80" w:hanging="424"/>
        <w:spacing w:after="0" w:line="265" w:lineRule="auto"/>
        <w:tabs>
          <w:tab w:leader="none" w:pos="424"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resale of up to (i) 294,877,349 Class A Shares issued to Parent at closing of the Business Combination, (ii) 24,078,638 Earn Out Class A Shares which are issuable, as further described in this registration statement/prospectus, to certain Selling Securityholders upon the achievement of certain price thresholds for the Class A ADSs previously registered pursuant to the Form F-4 related to the Business Combination,</w:t>
      </w:r>
    </w:p>
    <w:p>
      <w:pPr>
        <w:ind w:left="424" w:right="60" w:firstLine="8"/>
        <w:spacing w:after="0" w:line="265" w:lineRule="auto"/>
        <w:tabs>
          <w:tab w:leader="none" w:pos="739"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1,642,233,575 Class A Shares issuable upon conversion of Class B Shares, (iv) 134,098,971 Class A Shares issuable upon conversion of Earn Out Class B Shares which are issuable, as further described in this registration statement/prospectus, to certain Selling Securityholders upon the achievement of certain price thresholds for the Class A ADSs previously registered pursuant to the Form F-4 related to the Business Combination,</w:t>
      </w:r>
    </w:p>
    <w:p>
      <w:pPr>
        <w:ind w:left="424" w:right="100" w:firstLine="8"/>
        <w:spacing w:after="0" w:line="250" w:lineRule="auto"/>
        <w:tabs>
          <w:tab w:leader="none" w:pos="67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18,459,165 Class A Shares issued to the GGI Sponsor in connection with the Business Combination in exchange for the 18,459,165 shares of GGI Class F Common Stock that the GGI Sponsor retained after forfeiture of a certain amount of shares of GGI Class F Common Stock in connection with the Business Combination, (vi) 26,540,835 Class A Shares issued to GGI Sponsor, the PIPE Investors and Snita; (vii) 58,882,610 Class A Shares issued to Snita upon conversion of the Volvo Cars Preference Subscription Shares at the time of the Business Combination, (viii) 4,306,466 Class A Shares that were issued to Parent Convertible Note Holders upon conversion of the Parent Convertible Notes at the time of the Business Combination, and (ix) 500,000 Class A Shares issuable to a service provider in exchange for the performance of marketing consulting services.</w:t>
      </w:r>
    </w:p>
    <w:p>
      <w:pPr>
        <w:spacing w:after="0" w:line="2"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and Rule 457(g) under the Securities Act, based on the average of the high and low prices of the registrant’s Class A ADSs on July 8, 2022, as reported on Nasdaq, which was $10.00 per Class A ADS.</w:t>
      </w:r>
    </w:p>
    <w:p>
      <w:pPr>
        <w:sectPr>
          <w:pgSz w:w="11900" w:h="16838" w:orient="portrait"/>
          <w:cols w:equalWidth="0" w:num="1">
            <w:col w:w="11024"/>
          </w:cols>
          <w:pgMar w:left="436" w:top="117" w:right="439" w:bottom="1440" w:gutter="0" w:footer="0" w:header="0"/>
        </w:sectPr>
      </w:pPr>
    </w:p>
    <w:bookmarkStart w:id="472" w:name="page473"/>
    <w:bookmarkEnd w:id="472"/>
    <w:p>
      <w:pPr>
        <w:ind w:left="424" w:right="240" w:hanging="424"/>
        <w:spacing w:after="0" w:line="276" w:lineRule="auto"/>
        <w:tabs>
          <w:tab w:leader="none" w:pos="424"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the resale of up to 9,000,000 Class C-2 Shares. In accordance with Rule 457(g), the entire registration fee for the resale of the Class C-2 Shares is allocated to the Class A Shares underlying the Class C-2 Shares, and no separate fee is payable for the Class C-2 Shares.</w:t>
      </w:r>
    </w:p>
    <w:p>
      <w:pPr>
        <w:ind w:left="424" w:hanging="424"/>
        <w:spacing w:after="0" w:line="260" w:lineRule="auto"/>
        <w:tabs>
          <w:tab w:leader="none" w:pos="42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depositary securities issuable upon deposit of the securities registered hereby and that may be evidenced by American depositary receipts will be registered pursuant to separate registration statements on Form F-6.</w:t>
      </w:r>
    </w:p>
    <w:sectPr>
      <w:pgSz w:w="11900" w:h="16838" w:orient="portrait"/>
      <w:cols w:equalWidth="0" w:num="1">
        <w:col w:w="10784"/>
      </w:cols>
      <w:pgMar w:left="436"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D53685"/>
    <w:multiLevelType w:val="hybridMultilevel"/>
    <w:lvl w:ilvl="0">
      <w:lvlJc w:val="left"/>
      <w:lvlText w:val="†"/>
      <w:numFmt w:val="bullet"/>
      <w:start w:val="1"/>
    </w:lvl>
  </w:abstractNum>
  <w:abstractNum w:abstractNumId="1">
    <w:nsid w:val="230F856C"/>
    <w:multiLevelType w:val="hybridMultilevel"/>
    <w:lvl w:ilvl="0">
      <w:lvlJc w:val="left"/>
      <w:lvlText w:val="(%1)"/>
      <w:numFmt w:val="lowerRoman"/>
      <w:start w:val="10"/>
    </w:lvl>
  </w:abstractNum>
  <w:abstractNum w:abstractNumId="2">
    <w:nsid w:val="6EAA85FB"/>
    <w:multiLevelType w:val="hybridMultilevel"/>
    <w:lvl w:ilvl="0">
      <w:lvlJc w:val="left"/>
      <w:lvlText w:val="•"/>
      <w:numFmt w:val="bullet"/>
      <w:start w:val="1"/>
    </w:lvl>
  </w:abstractNum>
  <w:abstractNum w:abstractNumId="3">
    <w:nsid w:val="3F06ECB2"/>
    <w:multiLevelType w:val="hybridMultilevel"/>
    <w:lvl w:ilvl="0">
      <w:lvlJc w:val="left"/>
      <w:lvlText w:val="•"/>
      <w:numFmt w:val="bullet"/>
      <w:start w:val="1"/>
    </w:lvl>
  </w:abstractNum>
  <w:abstractNum w:abstractNumId="4">
    <w:nsid w:val="3B594807"/>
    <w:multiLevelType w:val="hybridMultilevel"/>
    <w:lvl w:ilvl="0">
      <w:lvlJc w:val="left"/>
      <w:lvlText w:val="•"/>
      <w:numFmt w:val="bullet"/>
      <w:start w:val="1"/>
    </w:lvl>
  </w:abstractNum>
  <w:abstractNum w:abstractNumId="5">
    <w:nsid w:val="6CAA2304"/>
    <w:multiLevelType w:val="hybridMultilevel"/>
    <w:lvl w:ilvl="0">
      <w:lvlJc w:val="left"/>
      <w:lvlText w:val="•"/>
      <w:numFmt w:val="bullet"/>
      <w:start w:val="1"/>
    </w:lvl>
  </w:abstractNum>
  <w:abstractNum w:abstractNumId="6">
    <w:nsid w:val="3F7C2FF4"/>
    <w:multiLevelType w:val="hybridMultilevel"/>
    <w:lvl w:ilvl="0">
      <w:lvlJc w:val="left"/>
      <w:lvlText w:val="•"/>
      <w:numFmt w:val="bullet"/>
      <w:start w:val="1"/>
    </w:lvl>
  </w:abstractNum>
  <w:abstractNum w:abstractNumId="7">
    <w:nsid w:val="25413BEC"/>
    <w:multiLevelType w:val="hybridMultilevel"/>
    <w:lvl w:ilvl="0">
      <w:lvlJc w:val="left"/>
      <w:lvlText w:val="•"/>
      <w:numFmt w:val="bullet"/>
      <w:start w:val="1"/>
    </w:lvl>
  </w:abstractNum>
  <w:abstractNum w:abstractNumId="8">
    <w:nsid w:val="17180B0B"/>
    <w:multiLevelType w:val="hybridMultilevel"/>
    <w:lvl w:ilvl="0">
      <w:lvlJc w:val="left"/>
      <w:lvlText w:val="•"/>
      <w:numFmt w:val="bullet"/>
      <w:start w:val="1"/>
    </w:lvl>
  </w:abstractNum>
  <w:abstractNum w:abstractNumId="9">
    <w:nsid w:val="579328B9"/>
    <w:multiLevelType w:val="hybridMultilevel"/>
    <w:lvl w:ilvl="0">
      <w:lvlJc w:val="left"/>
      <w:lvlText w:val="•"/>
      <w:numFmt w:val="bullet"/>
      <w:start w:val="1"/>
    </w:lvl>
  </w:abstractNum>
  <w:abstractNum w:abstractNumId="10">
    <w:nsid w:val="5D205E20"/>
    <w:multiLevelType w:val="hybridMultilevel"/>
    <w:lvl w:ilvl="0">
      <w:lvlJc w:val="left"/>
      <w:lvlText w:val="•"/>
      <w:numFmt w:val="bullet"/>
      <w:start w:val="1"/>
    </w:lvl>
  </w:abstractNum>
  <w:abstractNum w:abstractNumId="11">
    <w:nsid w:val="11CCA8BA"/>
    <w:multiLevelType w:val="hybridMultilevel"/>
    <w:lvl w:ilvl="0">
      <w:lvlJc w:val="left"/>
      <w:lvlText w:val="•"/>
      <w:numFmt w:val="bullet"/>
      <w:start w:val="1"/>
    </w:lvl>
  </w:abstractNum>
  <w:abstractNum w:abstractNumId="12">
    <w:nsid w:val="4D32AB86"/>
    <w:multiLevelType w:val="hybridMultilevel"/>
    <w:lvl w:ilvl="0">
      <w:lvlJc w:val="left"/>
      <w:lvlText w:val="•"/>
      <w:numFmt w:val="bullet"/>
      <w:start w:val="1"/>
    </w:lvl>
  </w:abstractNum>
  <w:abstractNum w:abstractNumId="13">
    <w:nsid w:val="3F07ACC3"/>
    <w:multiLevelType w:val="hybridMultilevel"/>
    <w:lvl w:ilvl="0">
      <w:lvlJc w:val="left"/>
      <w:lvlText w:val="•"/>
      <w:numFmt w:val="bullet"/>
      <w:start w:val="1"/>
    </w:lvl>
  </w:abstractNum>
  <w:abstractNum w:abstractNumId="14">
    <w:nsid w:val="6B47F63E"/>
    <w:multiLevelType w:val="hybridMultilevel"/>
    <w:lvl w:ilvl="0">
      <w:lvlJc w:val="left"/>
      <w:lvlText w:val="•"/>
      <w:numFmt w:val="bullet"/>
      <w:start w:val="1"/>
    </w:lvl>
  </w:abstractNum>
  <w:abstractNum w:abstractNumId="15">
    <w:nsid w:val="5CB44A05"/>
    <w:multiLevelType w:val="hybridMultilevel"/>
    <w:lvl w:ilvl="0">
      <w:lvlJc w:val="left"/>
      <w:lvlText w:val="•"/>
      <w:numFmt w:val="bullet"/>
      <w:start w:val="1"/>
    </w:lvl>
  </w:abstractNum>
  <w:abstractNum w:abstractNumId="16">
    <w:nsid w:val="16CF80F1"/>
    <w:multiLevelType w:val="hybridMultilevel"/>
    <w:lvl w:ilvl="0">
      <w:lvlJc w:val="left"/>
      <w:lvlText w:val="•"/>
      <w:numFmt w:val="bullet"/>
      <w:start w:val="1"/>
    </w:lvl>
  </w:abstractNum>
  <w:abstractNum w:abstractNumId="17">
    <w:nsid w:val="1C695DEC"/>
    <w:multiLevelType w:val="hybridMultilevel"/>
    <w:lvl w:ilvl="0">
      <w:lvlJc w:val="left"/>
      <w:lvlText w:val="•"/>
      <w:numFmt w:val="bullet"/>
      <w:start w:val="1"/>
    </w:lvl>
  </w:abstractNum>
  <w:abstractNum w:abstractNumId="18">
    <w:nsid w:val="3FCFAED9"/>
    <w:multiLevelType w:val="hybridMultilevel"/>
    <w:lvl w:ilvl="0">
      <w:lvlJc w:val="left"/>
      <w:lvlText w:val="•"/>
      <w:numFmt w:val="bullet"/>
      <w:start w:val="1"/>
    </w:lvl>
  </w:abstractNum>
  <w:abstractNum w:abstractNumId="19">
    <w:nsid w:val="F856867"/>
    <w:multiLevelType w:val="hybridMultilevel"/>
    <w:lvl w:ilvl="0">
      <w:lvlJc w:val="left"/>
      <w:lvlText w:val="•"/>
      <w:numFmt w:val="bullet"/>
      <w:start w:val="1"/>
    </w:lvl>
  </w:abstractNum>
  <w:abstractNum w:abstractNumId="20">
    <w:nsid w:val="11B1CC33"/>
    <w:multiLevelType w:val="hybridMultilevel"/>
    <w:lvl w:ilvl="0">
      <w:lvlJc w:val="left"/>
      <w:lvlText w:val="•"/>
      <w:numFmt w:val="bullet"/>
      <w:start w:val="1"/>
    </w:lvl>
  </w:abstractNum>
  <w:abstractNum w:abstractNumId="21">
    <w:nsid w:val="2E22FBB7"/>
    <w:multiLevelType w:val="hybridMultilevel"/>
    <w:lvl w:ilvl="0">
      <w:lvlJc w:val="left"/>
      <w:lvlText w:val="•"/>
      <w:numFmt w:val="bullet"/>
      <w:start w:val="1"/>
    </w:lvl>
  </w:abstractNum>
  <w:abstractNum w:abstractNumId="22">
    <w:nsid w:val="29934699"/>
    <w:multiLevelType w:val="hybridMultilevel"/>
    <w:lvl w:ilvl="0">
      <w:lvlJc w:val="left"/>
      <w:lvlText w:val="(%1)"/>
      <w:numFmt w:val="lowerRoman"/>
      <w:start w:val="1"/>
    </w:lvl>
  </w:abstractNum>
  <w:abstractNum w:abstractNumId="23">
    <w:nsid w:val="77485850"/>
    <w:multiLevelType w:val="hybridMultilevel"/>
    <w:lvl w:ilvl="0">
      <w:lvlJc w:val="left"/>
      <w:lvlText w:val="•"/>
      <w:numFmt w:val="bullet"/>
      <w:start w:val="1"/>
    </w:lvl>
  </w:abstractNum>
  <w:abstractNum w:abstractNumId="24">
    <w:nsid w:val="744939A3"/>
    <w:multiLevelType w:val="hybridMultilevel"/>
    <w:lvl w:ilvl="0">
      <w:lvlJc w:val="left"/>
      <w:lvlText w:val="•"/>
      <w:numFmt w:val="bullet"/>
      <w:start w:val="1"/>
    </w:lvl>
  </w:abstractNum>
  <w:abstractNum w:abstractNumId="25">
    <w:nsid w:val="4FA0D2E3"/>
    <w:multiLevelType w:val="hybridMultilevel"/>
    <w:lvl w:ilvl="0">
      <w:lvlJc w:val="left"/>
      <w:lvlText w:val="(%1)"/>
      <w:numFmt w:val="lowerRoman"/>
      <w:start w:val="3"/>
    </w:lvl>
  </w:abstractNum>
  <w:abstractNum w:abstractNumId="26">
    <w:nsid w:val="6B1D2C14"/>
    <w:multiLevelType w:val="hybridMultilevel"/>
    <w:lvl w:ilvl="0">
      <w:lvlJc w:val="left"/>
      <w:lvlText w:val="•"/>
      <w:numFmt w:val="bullet"/>
      <w:start w:val="1"/>
    </w:lvl>
  </w:abstractNum>
  <w:abstractNum w:abstractNumId="27">
    <w:nsid w:val="68B867D3"/>
    <w:multiLevelType w:val="hybridMultilevel"/>
    <w:lvl w:ilvl="0">
      <w:lvlJc w:val="left"/>
      <w:lvlText w:val="•"/>
      <w:numFmt w:val="bullet"/>
      <w:start w:val="1"/>
    </w:lvl>
  </w:abstractNum>
  <w:abstractNum w:abstractNumId="28">
    <w:nsid w:val="3F7F5DD9"/>
    <w:multiLevelType w:val="hybridMultilevel"/>
    <w:lvl w:ilvl="0">
      <w:lvlJc w:val="left"/>
      <w:lvlText w:val="(%1)"/>
      <w:numFmt w:val="lowerRoman"/>
      <w:start w:val="1"/>
    </w:lvl>
  </w:abstractNum>
  <w:abstractNum w:abstractNumId="29">
    <w:nsid w:val="2AE05A34"/>
    <w:multiLevelType w:val="hybridMultilevel"/>
    <w:lvl w:ilvl="0">
      <w:lvlJc w:val="left"/>
      <w:lvlText w:val="•"/>
      <w:numFmt w:val="bullet"/>
      <w:start w:val="1"/>
    </w:lvl>
  </w:abstractNum>
  <w:abstractNum w:abstractNumId="30">
    <w:nsid w:val="32794FF7"/>
    <w:multiLevelType w:val="hybridMultilevel"/>
    <w:lvl w:ilvl="0">
      <w:lvlJc w:val="left"/>
      <w:lvlText w:val="(%1)"/>
      <w:numFmt w:val="lowerRoman"/>
      <w:start w:val="1"/>
    </w:lvl>
  </w:abstractNum>
  <w:abstractNum w:abstractNumId="31">
    <w:nsid w:val="5454945E"/>
    <w:multiLevelType w:val="hybridMultilevel"/>
    <w:lvl w:ilvl="0">
      <w:lvlJc w:val="left"/>
      <w:lvlText w:val="•"/>
      <w:numFmt w:val="bullet"/>
      <w:start w:val="1"/>
    </w:lvl>
  </w:abstractNum>
  <w:abstractNum w:abstractNumId="32">
    <w:nsid w:val="4DEFDFA0"/>
    <w:multiLevelType w:val="hybridMultilevel"/>
    <w:lvl w:ilvl="0">
      <w:lvlJc w:val="left"/>
      <w:lvlText w:val="•"/>
      <w:numFmt w:val="bullet"/>
      <w:start w:val="1"/>
    </w:lvl>
  </w:abstractNum>
  <w:abstractNum w:abstractNumId="33">
    <w:nsid w:val="2123D5F2"/>
    <w:multiLevelType w:val="hybridMultilevel"/>
    <w:lvl w:ilvl="0">
      <w:lvlJc w:val="left"/>
      <w:lvlText w:val="•"/>
      <w:numFmt w:val="bullet"/>
      <w:start w:val="1"/>
    </w:lvl>
    <w:lvl w:ilvl="1">
      <w:lvlJc w:val="left"/>
      <w:lvlText w:val="•"/>
      <w:numFmt w:val="bullet"/>
      <w:start w:val="1"/>
    </w:lvl>
  </w:abstractNum>
  <w:abstractNum w:abstractNumId="34">
    <w:nsid w:val="135B8110"/>
    <w:multiLevelType w:val="hybridMultilevel"/>
    <w:lvl w:ilvl="0">
      <w:lvlJc w:val="left"/>
      <w:lvlText w:val="•"/>
      <w:numFmt w:val="bullet"/>
      <w:start w:val="1"/>
    </w:lvl>
  </w:abstractNum>
  <w:abstractNum w:abstractNumId="35">
    <w:nsid w:val="94927A8"/>
    <w:multiLevelType w:val="hybridMultilevel"/>
    <w:lvl w:ilvl="0">
      <w:lvlJc w:val="left"/>
      <w:lvlText w:val="•"/>
      <w:numFmt w:val="bullet"/>
      <w:start w:val="1"/>
    </w:lvl>
  </w:abstractNum>
  <w:abstractNum w:abstractNumId="36">
    <w:nsid w:val="DCDF8F6"/>
    <w:multiLevelType w:val="hybridMultilevel"/>
    <w:lvl w:ilvl="0">
      <w:lvlJc w:val="left"/>
      <w:lvlText w:val="•"/>
      <w:numFmt w:val="bullet"/>
      <w:start w:val="1"/>
    </w:lvl>
  </w:abstractNum>
  <w:abstractNum w:abstractNumId="37">
    <w:nsid w:val="52D7B105"/>
    <w:multiLevelType w:val="hybridMultilevel"/>
    <w:lvl w:ilvl="0">
      <w:lvlJc w:val="left"/>
      <w:lvlText w:val="•"/>
      <w:numFmt w:val="bullet"/>
      <w:start w:val="1"/>
    </w:lvl>
  </w:abstractNum>
  <w:abstractNum w:abstractNumId="38">
    <w:nsid w:val="2E8A6394"/>
    <w:multiLevelType w:val="hybridMultilevel"/>
    <w:lvl w:ilvl="0">
      <w:lvlJc w:val="left"/>
      <w:lvlText w:val="•"/>
      <w:numFmt w:val="bullet"/>
      <w:start w:val="1"/>
    </w:lvl>
  </w:abstractNum>
  <w:abstractNum w:abstractNumId="39">
    <w:nsid w:val="24E60401"/>
    <w:multiLevelType w:val="hybridMultilevel"/>
    <w:lvl w:ilvl="0">
      <w:lvlJc w:val="left"/>
      <w:lvlText w:val="•"/>
      <w:numFmt w:val="bullet"/>
      <w:start w:val="1"/>
    </w:lvl>
  </w:abstractNum>
  <w:abstractNum w:abstractNumId="40">
    <w:nsid w:val="2A6AD9BE"/>
    <w:multiLevelType w:val="hybridMultilevel"/>
    <w:lvl w:ilvl="0">
      <w:lvlJc w:val="left"/>
      <w:lvlText w:val="%1)"/>
      <w:numFmt w:val="decimal"/>
      <w:start w:val="1"/>
    </w:lvl>
  </w:abstractNum>
  <w:abstractNum w:abstractNumId="41">
    <w:nsid w:val="BAAC1B4"/>
    <w:multiLevelType w:val="hybridMultilevel"/>
    <w:lvl w:ilvl="0">
      <w:lvlJc w:val="left"/>
      <w:lvlText w:val="%1."/>
      <w:numFmt w:val="decimal"/>
      <w:start w:val="1"/>
    </w:lvl>
  </w:abstractNum>
  <w:abstractNum w:abstractNumId="42">
    <w:nsid w:val="36B2ACBC"/>
    <w:multiLevelType w:val="hybridMultilevel"/>
    <w:lvl w:ilvl="0">
      <w:lvlJc w:val="left"/>
      <w:lvlText w:val="•"/>
      <w:numFmt w:val="bullet"/>
      <w:start w:val="1"/>
    </w:lvl>
  </w:abstractNum>
  <w:abstractNum w:abstractNumId="43">
    <w:nsid w:val="779D8544"/>
    <w:multiLevelType w:val="hybridMultilevel"/>
    <w:lvl w:ilvl="0">
      <w:lvlJc w:val="left"/>
      <w:lvlText w:val="%1."/>
      <w:numFmt w:val="decimal"/>
      <w:start w:val="2"/>
    </w:lvl>
  </w:abstractNum>
  <w:abstractNum w:abstractNumId="44">
    <w:nsid w:val="4AB26E78"/>
    <w:multiLevelType w:val="hybridMultilevel"/>
    <w:lvl w:ilvl="0">
      <w:lvlJc w:val="left"/>
      <w:lvlText w:val="(%1)"/>
      <w:numFmt w:val="decimal"/>
      <w:start w:val="1"/>
    </w:lvl>
  </w:abstractNum>
  <w:abstractNum w:abstractNumId="45">
    <w:nsid w:val="21FAA2FA"/>
    <w:multiLevelType w:val="hybridMultilevel"/>
    <w:lvl w:ilvl="0">
      <w:lvlJc w:val="left"/>
      <w:lvlText w:val="%1."/>
      <w:numFmt w:val="decimal"/>
      <w:start w:val="3"/>
    </w:lvl>
  </w:abstractNum>
  <w:abstractNum w:abstractNumId="46">
    <w:nsid w:val="5451CF49"/>
    <w:multiLevelType w:val="hybridMultilevel"/>
    <w:lvl w:ilvl="0">
      <w:lvlJc w:val="left"/>
      <w:lvlText w:val="%1)"/>
      <w:numFmt w:val="decimal"/>
      <w:start w:val="1"/>
    </w:lvl>
  </w:abstractNum>
  <w:abstractNum w:abstractNumId="47">
    <w:nsid w:val="6181EF69"/>
    <w:multiLevelType w:val="hybridMultilevel"/>
    <w:lvl w:ilvl="0">
      <w:lvlJc w:val="left"/>
      <w:lvlText w:val="(%1)"/>
      <w:numFmt w:val="upperLetter"/>
      <w:start w:val="12"/>
    </w:lvl>
  </w:abstractNum>
  <w:abstractNum w:abstractNumId="48">
    <w:nsid w:val="3E6400E6"/>
    <w:multiLevelType w:val="hybridMultilevel"/>
    <w:lvl w:ilvl="0">
      <w:lvlJc w:val="left"/>
      <w:lvlText w:val="(%1)"/>
      <w:numFmt w:val="upperLetter"/>
      <w:start w:val="13"/>
    </w:lvl>
  </w:abstractNum>
  <w:abstractNum w:abstractNumId="49">
    <w:nsid w:val="14217E23"/>
    <w:multiLevelType w:val="hybridMultilevel"/>
    <w:lvl w:ilvl="0">
      <w:lvlJc w:val="left"/>
      <w:lvlText w:val="(%1)"/>
      <w:numFmt w:val="upperLetter"/>
      <w:start w:val="14"/>
    </w:lvl>
  </w:abstractNum>
  <w:abstractNum w:abstractNumId="50">
    <w:nsid w:val="710757D0"/>
    <w:multiLevelType w:val="hybridMultilevel"/>
    <w:lvl w:ilvl="0">
      <w:lvlJc w:val="left"/>
      <w:lvlText w:val="%1)"/>
      <w:numFmt w:val="decimal"/>
      <w:start w:val="1"/>
    </w:lvl>
  </w:abstractNum>
  <w:abstractNum w:abstractNumId="51">
    <w:nsid w:val="5015CD1A"/>
    <w:multiLevelType w:val="hybridMultilevel"/>
    <w:lvl w:ilvl="0">
      <w:lvlJc w:val="left"/>
      <w:lvlText w:val="•"/>
      <w:numFmt w:val="bullet"/>
      <w:start w:val="1"/>
    </w:lvl>
  </w:abstractNum>
  <w:abstractNum w:abstractNumId="52">
    <w:nsid w:val="424479DA"/>
    <w:multiLevelType w:val="hybridMultilevel"/>
    <w:lvl w:ilvl="0">
      <w:lvlJc w:val="left"/>
      <w:lvlText w:val="•"/>
      <w:numFmt w:val="bullet"/>
      <w:start w:val="1"/>
    </w:lvl>
  </w:abstractNum>
  <w:abstractNum w:abstractNumId="53">
    <w:nsid w:val="1A9A9E69"/>
    <w:multiLevelType w:val="hybridMultilevel"/>
    <w:lvl w:ilvl="0">
      <w:lvlJc w:val="left"/>
      <w:lvlText w:val="•"/>
      <w:numFmt w:val="bullet"/>
      <w:start w:val="1"/>
    </w:lvl>
  </w:abstractNum>
  <w:abstractNum w:abstractNumId="54">
    <w:nsid w:val="475E256A"/>
    <w:multiLevelType w:val="hybridMultilevel"/>
    <w:lvl w:ilvl="0">
      <w:lvlJc w:val="left"/>
      <w:lvlText w:val="•"/>
      <w:numFmt w:val="bullet"/>
      <w:start w:val="1"/>
    </w:lvl>
  </w:abstractNum>
  <w:abstractNum w:abstractNumId="55">
    <w:nsid w:val="368DB37E"/>
    <w:multiLevelType w:val="hybridMultilevel"/>
    <w:lvl w:ilvl="0">
      <w:lvlJc w:val="left"/>
      <w:lvlText w:val="•"/>
      <w:numFmt w:val="bullet"/>
      <w:start w:val="1"/>
    </w:lvl>
  </w:abstractNum>
  <w:abstractNum w:abstractNumId="56">
    <w:nsid w:val="6A3B714C"/>
    <w:multiLevelType w:val="hybridMultilevel"/>
    <w:lvl w:ilvl="0">
      <w:lvlJc w:val="left"/>
      <w:lvlText w:val="•"/>
      <w:numFmt w:val="bullet"/>
      <w:start w:val="1"/>
    </w:lvl>
  </w:abstractNum>
  <w:abstractNum w:abstractNumId="57">
    <w:nsid w:val="327B517E"/>
    <w:multiLevelType w:val="hybridMultilevel"/>
    <w:lvl w:ilvl="0">
      <w:lvlJc w:val="left"/>
      <w:lvlText w:val="•"/>
      <w:numFmt w:val="bullet"/>
      <w:start w:val="1"/>
    </w:lvl>
  </w:abstractNum>
  <w:abstractNum w:abstractNumId="58">
    <w:nsid w:val="1F461B51"/>
    <w:multiLevelType w:val="hybridMultilevel"/>
    <w:lvl w:ilvl="0">
      <w:lvlJc w:val="left"/>
      <w:lvlText w:val="•"/>
      <w:numFmt w:val="bullet"/>
      <w:start w:val="1"/>
    </w:lvl>
  </w:abstractNum>
  <w:abstractNum w:abstractNumId="59">
    <w:nsid w:val="29BACF25"/>
    <w:multiLevelType w:val="hybridMultilevel"/>
    <w:lvl w:ilvl="0">
      <w:lvlJc w:val="left"/>
      <w:lvlText w:val="(%1)"/>
      <w:numFmt w:val="decimal"/>
      <w:start w:val="1"/>
    </w:lvl>
  </w:abstractNum>
  <w:abstractNum w:abstractNumId="60">
    <w:nsid w:val="5D5BABB3"/>
    <w:multiLevelType w:val="hybridMultilevel"/>
    <w:lvl w:ilvl="0">
      <w:lvlJc w:val="left"/>
      <w:lvlText w:val="•"/>
      <w:numFmt w:val="bullet"/>
      <w:start w:val="1"/>
    </w:lvl>
  </w:abstractNum>
  <w:abstractNum w:abstractNumId="61">
    <w:nsid w:val="51BF6B48"/>
    <w:multiLevelType w:val="hybridMultilevel"/>
    <w:lvl w:ilvl="0">
      <w:lvlJc w:val="left"/>
      <w:lvlText w:val="•"/>
      <w:numFmt w:val="bullet"/>
      <w:start w:val="1"/>
    </w:lvl>
  </w:abstractNum>
  <w:abstractNum w:abstractNumId="62">
    <w:nsid w:val="7E0F6384"/>
    <w:multiLevelType w:val="hybridMultilevel"/>
    <w:lvl w:ilvl="0">
      <w:lvlJc w:val="left"/>
      <w:lvlText w:val="(%1)"/>
      <w:numFmt w:val="lowerRoman"/>
      <w:start w:val="3"/>
    </w:lvl>
  </w:abstractNum>
  <w:abstractNum w:abstractNumId="63">
    <w:nsid w:val="2B4B8B53"/>
    <w:multiLevelType w:val="hybridMultilevel"/>
    <w:lvl w:ilvl="0">
      <w:lvlJc w:val="left"/>
      <w:lvlText w:val="(%1)"/>
      <w:numFmt w:val="lowerRoman"/>
      <w:start w:val="3"/>
    </w:lvl>
  </w:abstractNum>
  <w:abstractNum w:abstractNumId="64">
    <w:nsid w:val="72E3413A"/>
    <w:multiLevelType w:val="hybridMultilevel"/>
    <w:lvl w:ilvl="0">
      <w:lvlJc w:val="left"/>
      <w:lvlText w:val="•"/>
      <w:numFmt w:val="bullet"/>
      <w:start w:val="1"/>
    </w:lvl>
  </w:abstractNum>
  <w:abstractNum w:abstractNumId="65">
    <w:nsid w:val="116AE494"/>
    <w:multiLevelType w:val="hybridMultilevel"/>
    <w:lvl w:ilvl="0">
      <w:lvlJc w:val="left"/>
      <w:lvlText w:val="(%1)"/>
      <w:numFmt w:val="lowerRoman"/>
      <w:start w:val="2"/>
    </w:lvl>
  </w:abstractNum>
  <w:abstractNum w:abstractNumId="66">
    <w:nsid w:val="3494B2FB"/>
    <w:multiLevelType w:val="hybridMultilevel"/>
    <w:lvl w:ilvl="0">
      <w:lvlJc w:val="left"/>
      <w:lvlText w:val="•"/>
      <w:numFmt w:val="bullet"/>
      <w:start w:val="1"/>
    </w:lvl>
  </w:abstractNum>
  <w:abstractNum w:abstractNumId="67">
    <w:nsid w:val="B13A31"/>
    <w:multiLevelType w:val="hybridMultilevel"/>
    <w:lvl w:ilvl="0">
      <w:lvlJc w:val="left"/>
      <w:lvlText w:val="•"/>
      <w:numFmt w:val="bullet"/>
      <w:start w:val="1"/>
    </w:lvl>
  </w:abstractNum>
  <w:abstractNum w:abstractNumId="68">
    <w:nsid w:val="64429599"/>
    <w:multiLevelType w:val="hybridMultilevel"/>
    <w:lvl w:ilvl="0">
      <w:lvlJc w:val="left"/>
      <w:lvlText w:val="•"/>
      <w:numFmt w:val="bullet"/>
      <w:start w:val="1"/>
    </w:lvl>
  </w:abstractNum>
  <w:abstractNum w:abstractNumId="69">
    <w:nsid w:val="631F1690"/>
    <w:multiLevelType w:val="hybridMultilevel"/>
    <w:lvl w:ilvl="0">
      <w:lvlJc w:val="left"/>
      <w:lvlText w:val="•"/>
      <w:numFmt w:val="bullet"/>
      <w:start w:val="1"/>
    </w:lvl>
  </w:abstractNum>
  <w:abstractNum w:abstractNumId="70">
    <w:nsid w:val="25973E32"/>
    <w:multiLevelType w:val="hybridMultilevel"/>
    <w:lvl w:ilvl="0">
      <w:lvlJc w:val="left"/>
      <w:lvlText w:val="•"/>
      <w:numFmt w:val="bullet"/>
      <w:start w:val="1"/>
    </w:lvl>
  </w:abstractNum>
  <w:abstractNum w:abstractNumId="71">
    <w:nsid w:val="EAD6F57"/>
    <w:multiLevelType w:val="hybridMultilevel"/>
    <w:lvl w:ilvl="0">
      <w:lvlJc w:val="left"/>
      <w:lvlText w:val="•"/>
      <w:numFmt w:val="bullet"/>
      <w:start w:val="1"/>
    </w:lvl>
  </w:abstractNum>
  <w:abstractNum w:abstractNumId="72">
    <w:nsid w:val="6EC9D844"/>
    <w:multiLevelType w:val="hybridMultilevel"/>
    <w:lvl w:ilvl="0">
      <w:lvlJc w:val="left"/>
      <w:lvlText w:val="•"/>
      <w:numFmt w:val="bullet"/>
      <w:start w:val="1"/>
    </w:lvl>
  </w:abstractNum>
  <w:abstractNum w:abstractNumId="73">
    <w:nsid w:val="5C49EAEE"/>
    <w:multiLevelType w:val="hybridMultilevel"/>
    <w:lvl w:ilvl="0">
      <w:lvlJc w:val="left"/>
      <w:lvlText w:val="(%1)"/>
      <w:numFmt w:val="lowerRoman"/>
      <w:start w:val="2"/>
    </w:lvl>
  </w:abstractNum>
  <w:abstractNum w:abstractNumId="74">
    <w:nsid w:val="64AF49B"/>
    <w:multiLevelType w:val="hybridMultilevel"/>
    <w:lvl w:ilvl="0">
      <w:lvlJc w:val="left"/>
      <w:lvlText w:val="(%1)"/>
      <w:numFmt w:val="lowerRoman"/>
      <w:start w:val="2"/>
    </w:lvl>
  </w:abstractNum>
  <w:abstractNum w:abstractNumId="75">
    <w:nsid w:val="397C46BC"/>
    <w:multiLevelType w:val="hybridMultilevel"/>
    <w:lvl w:ilvl="0">
      <w:lvlJc w:val="left"/>
      <w:lvlText w:val="•"/>
      <w:numFmt w:val="bullet"/>
      <w:start w:val="1"/>
    </w:lvl>
  </w:abstractNum>
  <w:abstractNum w:abstractNumId="76">
    <w:nsid w:val="7E448DE9"/>
    <w:multiLevelType w:val="hybridMultilevel"/>
    <w:lvl w:ilvl="0">
      <w:lvlJc w:val="left"/>
      <w:lvlText w:val="*"/>
      <w:numFmt w:val="bullet"/>
      <w:start w:val="1"/>
    </w:lvl>
  </w:abstractNum>
  <w:abstractNum w:abstractNumId="77">
    <w:nsid w:val="5A9CC3E5"/>
    <w:multiLevelType w:val="hybridMultilevel"/>
    <w:lvl w:ilvl="0">
      <w:lvlJc w:val="left"/>
      <w:lvlText w:val="(%1)"/>
      <w:numFmt w:val="decimal"/>
      <w:start w:val="1"/>
    </w:lvl>
  </w:abstractNum>
  <w:abstractNum w:abstractNumId="78">
    <w:nsid w:val="1AFE3625"/>
    <w:multiLevelType w:val="hybridMultilevel"/>
    <w:lvl w:ilvl="0">
      <w:lvlJc w:val="left"/>
      <w:lvlText w:val="*"/>
      <w:numFmt w:val="bullet"/>
      <w:start w:val="1"/>
    </w:lvl>
  </w:abstractNum>
  <w:abstractNum w:abstractNumId="79">
    <w:nsid w:val="3CA88ECF"/>
    <w:multiLevelType w:val="hybridMultilevel"/>
    <w:lvl w:ilvl="0">
      <w:lvlJc w:val="left"/>
      <w:lvlText w:val="(%1)"/>
      <w:numFmt w:val="decimal"/>
      <w:start w:val="1"/>
    </w:lvl>
  </w:abstractNum>
  <w:abstractNum w:abstractNumId="80">
    <w:nsid w:val="6EBE4208"/>
    <w:multiLevelType w:val="hybridMultilevel"/>
    <w:lvl w:ilvl="0">
      <w:lvlJc w:val="left"/>
      <w:lvlText w:val="(%1)"/>
      <w:numFmt w:val="decimal"/>
      <w:start w:val="9"/>
    </w:lvl>
  </w:abstractNum>
  <w:abstractNum w:abstractNumId="81">
    <w:nsid w:val="C058DF5"/>
    <w:multiLevelType w:val="hybridMultilevel"/>
    <w:lvl w:ilvl="0">
      <w:lvlJc w:val="left"/>
      <w:lvlText w:val="(%1)"/>
      <w:numFmt w:val="decimal"/>
      <w:start w:val="17"/>
    </w:lvl>
  </w:abstractNum>
  <w:abstractNum w:abstractNumId="82">
    <w:nsid w:val="CBE5BE9"/>
    <w:multiLevelType w:val="hybridMultilevel"/>
    <w:lvl w:ilvl="0">
      <w:lvlJc w:val="left"/>
      <w:lvlText w:val="(%1)"/>
      <w:numFmt w:val="decimal"/>
      <w:start w:val="25"/>
    </w:lvl>
  </w:abstractNum>
  <w:abstractNum w:abstractNumId="83">
    <w:nsid w:val="3102BBE2"/>
    <w:multiLevelType w:val="hybridMultilevel"/>
    <w:lvl w:ilvl="0">
      <w:lvlJc w:val="left"/>
      <w:lvlText w:val="(%1)"/>
      <w:numFmt w:val="decimal"/>
      <w:start w:val="32"/>
    </w:lvl>
  </w:abstractNum>
  <w:abstractNum w:abstractNumId="84">
    <w:nsid w:val="26A02C5E"/>
    <w:multiLevelType w:val="hybridMultilevel"/>
    <w:lvl w:ilvl="0">
      <w:lvlJc w:val="left"/>
      <w:lvlText w:val="(%1)"/>
      <w:numFmt w:val="decimal"/>
      <w:start w:val="37"/>
    </w:lvl>
  </w:abstractNum>
  <w:abstractNum w:abstractNumId="85">
    <w:nsid w:val="541C8153"/>
    <w:multiLevelType w:val="hybridMultilevel"/>
    <w:lvl w:ilvl="0">
      <w:lvlJc w:val="left"/>
      <w:lvlText w:val="(%1)"/>
      <w:numFmt w:val="lowerLetter"/>
      <w:start w:val="1"/>
    </w:lvl>
  </w:abstractNum>
  <w:abstractNum w:abstractNumId="86">
    <w:nsid w:val="67906F60"/>
    <w:multiLevelType w:val="hybridMultilevel"/>
    <w:lvl w:ilvl="0">
      <w:lvlJc w:val="left"/>
      <w:lvlText w:val="(%1)"/>
      <w:numFmt w:val="lowerLetter"/>
      <w:start w:val="2"/>
    </w:lvl>
  </w:abstractNum>
  <w:abstractNum w:abstractNumId="87">
    <w:nsid w:val="10DB9DAA"/>
    <w:multiLevelType w:val="hybridMultilevel"/>
    <w:lvl w:ilvl="0">
      <w:lvlJc w:val="left"/>
      <w:lvlText w:val="%1)"/>
      <w:numFmt w:val="lowerLetter"/>
      <w:start w:val="1"/>
    </w:lvl>
    <w:lvl w:ilvl="1">
      <w:lvlJc w:val="left"/>
      <w:lvlText w:val="•"/>
      <w:numFmt w:val="bullet"/>
      <w:start w:val="1"/>
    </w:lvl>
  </w:abstractNum>
  <w:abstractNum w:abstractNumId="88">
    <w:nsid w:val="697D2D2"/>
    <w:multiLevelType w:val="hybridMultilevel"/>
    <w:lvl w:ilvl="0">
      <w:lvlJc w:val="left"/>
      <w:lvlText w:val="(%1)"/>
      <w:numFmt w:val="lowerLetter"/>
      <w:start w:val="1"/>
    </w:lvl>
  </w:abstractNum>
  <w:abstractNum w:abstractNumId="89">
    <w:nsid w:val="6D68AB2"/>
    <w:multiLevelType w:val="hybridMultilevel"/>
    <w:lvl w:ilvl="0">
      <w:lvlJc w:val="left"/>
      <w:lvlText w:val="(%1)"/>
      <w:numFmt w:val="lowerRoman"/>
      <w:start w:val="1"/>
    </w:lvl>
  </w:abstractNum>
  <w:abstractNum w:abstractNumId="90">
    <w:nsid w:val="3A966CD0"/>
    <w:multiLevelType w:val="hybridMultilevel"/>
    <w:lvl w:ilvl="0">
      <w:lvlJc w:val="left"/>
      <w:lvlText w:val="(%1)"/>
      <w:numFmt w:val="lowerLetter"/>
      <w:start w:val="1"/>
    </w:lvl>
  </w:abstractNum>
  <w:abstractNum w:abstractNumId="91">
    <w:nsid w:val="63F37E85"/>
    <w:multiLevelType w:val="hybridMultilevel"/>
    <w:lvl w:ilvl="0">
      <w:lvlJc w:val="left"/>
      <w:lvlText w:val="(%1)"/>
      <w:numFmt w:val="lowerLetter"/>
      <w:start w:val="1"/>
    </w:lvl>
  </w:abstractNum>
  <w:abstractNum w:abstractNumId="92">
    <w:nsid w:val="5895F5FA"/>
    <w:multiLevelType w:val="hybridMultilevel"/>
    <w:lvl w:ilvl="0">
      <w:lvlJc w:val="left"/>
      <w:lvlText w:val="•"/>
      <w:numFmt w:val="bullet"/>
      <w:start w:val="1"/>
    </w:lvl>
  </w:abstractNum>
  <w:abstractNum w:abstractNumId="93">
    <w:nsid w:val="38A5D054"/>
    <w:multiLevelType w:val="hybridMultilevel"/>
    <w:lvl w:ilvl="0">
      <w:lvlJc w:val="left"/>
      <w:lvlText w:val="•"/>
      <w:numFmt w:val="bullet"/>
      <w:start w:val="1"/>
    </w:lvl>
  </w:abstractNum>
  <w:abstractNum w:abstractNumId="94">
    <w:nsid w:val="F3F09D8"/>
    <w:multiLevelType w:val="hybridMultilevel"/>
    <w:lvl w:ilvl="0">
      <w:lvlJc w:val="left"/>
      <w:lvlText w:val="(%1)"/>
      <w:numFmt w:val="lowerRoman"/>
      <w:start w:val="1"/>
    </w:lvl>
  </w:abstractNum>
  <w:abstractNum w:abstractNumId="95">
    <w:nsid w:val="4B793735"/>
    <w:multiLevelType w:val="hybridMultilevel"/>
    <w:lvl w:ilvl="0">
      <w:lvlJc w:val="left"/>
      <w:lvlText w:val="•"/>
      <w:numFmt w:val="bullet"/>
      <w:start w:val="1"/>
    </w:lvl>
  </w:abstractNum>
  <w:abstractNum w:abstractNumId="96">
    <w:nsid w:val="4A10B4E8"/>
    <w:multiLevelType w:val="hybridMultilevel"/>
    <w:lvl w:ilvl="0">
      <w:lvlJc w:val="left"/>
      <w:lvlText w:val="•"/>
      <w:numFmt w:val="bullet"/>
      <w:start w:val="1"/>
    </w:lvl>
  </w:abstractNum>
  <w:abstractNum w:abstractNumId="97">
    <w:nsid w:val="43D3BCD4"/>
    <w:multiLevelType w:val="hybridMultilevel"/>
    <w:lvl w:ilvl="0">
      <w:lvlJc w:val="left"/>
      <w:lvlText w:val="•"/>
      <w:numFmt w:val="bullet"/>
      <w:start w:val="1"/>
    </w:lvl>
  </w:abstractNum>
  <w:abstractNum w:abstractNumId="98">
    <w:nsid w:val="4C2A7166"/>
    <w:multiLevelType w:val="hybridMultilevel"/>
    <w:lvl w:ilvl="0">
      <w:lvlJc w:val="left"/>
      <w:lvlText w:val="•"/>
      <w:numFmt w:val="bullet"/>
      <w:start w:val="1"/>
    </w:lvl>
  </w:abstractNum>
  <w:abstractNum w:abstractNumId="99">
    <w:nsid w:val="2E534A82"/>
    <w:multiLevelType w:val="hybridMultilevel"/>
    <w:lvl w:ilvl="0">
      <w:lvlJc w:val="left"/>
      <w:lvlText w:val="•"/>
      <w:numFmt w:val="bullet"/>
      <w:start w:val="1"/>
    </w:lvl>
  </w:abstractNum>
  <w:abstractNum w:abstractNumId="100">
    <w:nsid w:val="26F2D364"/>
    <w:multiLevelType w:val="hybridMultilevel"/>
    <w:lvl w:ilvl="0">
      <w:lvlJc w:val="left"/>
      <w:lvlText w:val="•"/>
      <w:numFmt w:val="bullet"/>
      <w:start w:val="1"/>
    </w:lvl>
  </w:abstractNum>
  <w:abstractNum w:abstractNumId="101">
    <w:nsid w:val="71C1AF98"/>
    <w:multiLevelType w:val="hybridMultilevel"/>
    <w:lvl w:ilvl="0">
      <w:lvlJc w:val="left"/>
      <w:lvlText w:val="•"/>
      <w:numFmt w:val="bullet"/>
      <w:start w:val="1"/>
    </w:lvl>
  </w:abstractNum>
  <w:abstractNum w:abstractNumId="102">
    <w:nsid w:val="3D00B9D9"/>
    <w:multiLevelType w:val="hybridMultilevel"/>
    <w:lvl w:ilvl="0">
      <w:lvlJc w:val="left"/>
      <w:lvlText w:val="(%1)"/>
      <w:numFmt w:val="lowerRoman"/>
      <w:start w:val="1"/>
    </w:lvl>
  </w:abstractNum>
  <w:abstractNum w:abstractNumId="103">
    <w:nsid w:val="15BCABA8"/>
    <w:multiLevelType w:val="hybridMultilevel"/>
    <w:lvl w:ilvl="0">
      <w:lvlJc w:val="left"/>
      <w:lvlText w:val="•"/>
      <w:numFmt w:val="bullet"/>
      <w:start w:val="1"/>
    </w:lvl>
  </w:abstractNum>
  <w:abstractNum w:abstractNumId="104">
    <w:nsid w:val="4E0B9A87"/>
    <w:multiLevelType w:val="hybridMultilevel"/>
    <w:lvl w:ilvl="0">
      <w:lvlJc w:val="left"/>
      <w:lvlText w:val="•"/>
      <w:numFmt w:val="bullet"/>
      <w:start w:val="1"/>
    </w:lvl>
  </w:abstractNum>
  <w:abstractNum w:abstractNumId="105">
    <w:nsid w:val="434BAE75"/>
    <w:multiLevelType w:val="hybridMultilevel"/>
    <w:lvl w:ilvl="0">
      <w:lvlJc w:val="left"/>
      <w:lvlText w:val="•"/>
      <w:numFmt w:val="bullet"/>
      <w:start w:val="1"/>
    </w:lvl>
  </w:abstractNum>
  <w:abstractNum w:abstractNumId="106">
    <w:nsid w:val="4F38F265"/>
    <w:multiLevelType w:val="hybridMultilevel"/>
    <w:lvl w:ilvl="0">
      <w:lvlJc w:val="left"/>
      <w:lvlText w:val="•"/>
      <w:numFmt w:val="bullet"/>
      <w:start w:val="1"/>
    </w:lvl>
  </w:abstractNum>
  <w:abstractNum w:abstractNumId="107">
    <w:nsid w:val="4C502870"/>
    <w:multiLevelType w:val="hybridMultilevel"/>
    <w:lvl w:ilvl="0">
      <w:lvlJc w:val="left"/>
      <w:lvlText w:val="•"/>
      <w:numFmt w:val="bullet"/>
      <w:start w:val="1"/>
    </w:lvl>
  </w:abstractNum>
  <w:abstractNum w:abstractNumId="108">
    <w:nsid w:val="1DE8725A"/>
    <w:multiLevelType w:val="hybridMultilevel"/>
    <w:lvl w:ilvl="0">
      <w:lvlJc w:val="left"/>
      <w:lvlText w:val="•"/>
      <w:numFmt w:val="bullet"/>
      <w:start w:val="1"/>
    </w:lvl>
  </w:abstractNum>
  <w:abstractNum w:abstractNumId="109">
    <w:nsid w:val="6A37288A"/>
    <w:multiLevelType w:val="hybridMultilevel"/>
    <w:lvl w:ilvl="0">
      <w:lvlJc w:val="left"/>
      <w:lvlText w:val="•"/>
      <w:numFmt w:val="bullet"/>
      <w:start w:val="1"/>
    </w:lvl>
  </w:abstractNum>
  <w:abstractNum w:abstractNumId="110">
    <w:nsid w:val="8F8B73F"/>
    <w:multiLevelType w:val="hybridMultilevel"/>
    <w:lvl w:ilvl="0">
      <w:lvlJc w:val="left"/>
      <w:lvlText w:val="(%1)"/>
      <w:numFmt w:val="lowerRoman"/>
      <w:start w:val="3"/>
    </w:lvl>
  </w:abstractNum>
  <w:abstractNum w:abstractNumId="111">
    <w:nsid w:val="CA6B462"/>
    <w:multiLevelType w:val="hybridMultilevel"/>
    <w:lvl w:ilvl="0">
      <w:lvlJc w:val="left"/>
      <w:lvlText w:val="•"/>
      <w:numFmt w:val="bullet"/>
      <w:start w:val="1"/>
    </w:lvl>
  </w:abstractNum>
  <w:abstractNum w:abstractNumId="112">
    <w:nsid w:val="763CB680"/>
    <w:multiLevelType w:val="hybridMultilevel"/>
    <w:lvl w:ilvl="0">
      <w:lvlJc w:val="left"/>
      <w:lvlText w:val="•"/>
      <w:numFmt w:val="bullet"/>
      <w:start w:val="1"/>
    </w:lvl>
  </w:abstractNum>
  <w:abstractNum w:abstractNumId="113">
    <w:nsid w:val="15B71329"/>
    <w:multiLevelType w:val="hybridMultilevel"/>
    <w:lvl w:ilvl="0">
      <w:lvlJc w:val="left"/>
      <w:lvlText w:val="•"/>
      <w:numFmt w:val="bullet"/>
      <w:start w:val="1"/>
    </w:lvl>
  </w:abstractNum>
  <w:abstractNum w:abstractNumId="114">
    <w:nsid w:val="3DA97044"/>
    <w:multiLevelType w:val="hybridMultilevel"/>
    <w:lvl w:ilvl="0">
      <w:lvlJc w:val="left"/>
      <w:lvlText w:val="•"/>
      <w:numFmt w:val="bullet"/>
      <w:start w:val="1"/>
    </w:lvl>
  </w:abstractNum>
  <w:abstractNum w:abstractNumId="115">
    <w:nsid w:val="1CDCE2DE"/>
    <w:multiLevelType w:val="hybridMultilevel"/>
    <w:lvl w:ilvl="0">
      <w:lvlJc w:val="left"/>
      <w:lvlText w:val="•"/>
      <w:numFmt w:val="bullet"/>
      <w:start w:val="1"/>
    </w:lvl>
  </w:abstractNum>
  <w:abstractNum w:abstractNumId="116">
    <w:nsid w:val="69D3947C"/>
    <w:multiLevelType w:val="hybridMultilevel"/>
    <w:lvl w:ilvl="0">
      <w:lvlJc w:val="left"/>
      <w:lvlText w:val="%1."/>
      <w:numFmt w:val="lowerLetter"/>
      <w:start w:val="1"/>
    </w:lvl>
  </w:abstractNum>
  <w:abstractNum w:abstractNumId="117">
    <w:nsid w:val="2539DFA5"/>
    <w:multiLevelType w:val="hybridMultilevel"/>
    <w:lvl w:ilvl="0">
      <w:lvlJc w:val="left"/>
      <w:lvlText w:val="%1."/>
      <w:numFmt w:val="lowerLetter"/>
      <w:start w:val="2"/>
    </w:lvl>
  </w:abstractNum>
  <w:abstractNum w:abstractNumId="118">
    <w:nsid w:val="2DB88089"/>
    <w:multiLevelType w:val="hybridMultilevel"/>
    <w:lvl w:ilvl="0">
      <w:lvlJc w:val="left"/>
      <w:lvlText w:val="(%1)"/>
      <w:numFmt w:val="lowerRoman"/>
      <w:start w:val="2"/>
    </w:lvl>
  </w:abstractNum>
  <w:abstractNum w:abstractNumId="119">
    <w:nsid w:val="706B674E"/>
    <w:multiLevelType w:val="hybridMultilevel"/>
    <w:lvl w:ilvl="0">
      <w:lvlJc w:val="left"/>
      <w:lvlText w:val="%1."/>
      <w:numFmt w:val="lowerLetter"/>
      <w:start w:val="1"/>
    </w:lvl>
  </w:abstractNum>
  <w:abstractNum w:abstractNumId="120">
    <w:nsid w:val="2C106A57"/>
    <w:multiLevelType w:val="hybridMultilevel"/>
    <w:lvl w:ilvl="0">
      <w:lvlJc w:val="left"/>
      <w:lvlText w:val="%1."/>
      <w:numFmt w:val="lowerRoman"/>
      <w:start w:val="1"/>
    </w:lvl>
  </w:abstractNum>
  <w:abstractNum w:abstractNumId="121">
    <w:nsid w:val="684EED59"/>
    <w:multiLevelType w:val="hybridMultilevel"/>
    <w:lvl w:ilvl="0">
      <w:lvlJc w:val="left"/>
      <w:lvlText w:val="%1."/>
      <w:numFmt w:val="lowerRoman"/>
      <w:start w:val="2"/>
    </w:lvl>
  </w:abstractNum>
  <w:abstractNum w:abstractNumId="122">
    <w:nsid w:val="545EE5D3"/>
    <w:multiLevelType w:val="hybridMultilevel"/>
    <w:lvl w:ilvl="0">
      <w:lvlJc w:val="left"/>
      <w:lvlText w:val="%1."/>
      <w:numFmt w:val="lowerLetter"/>
      <w:start w:val="2"/>
    </w:lvl>
  </w:abstractNum>
  <w:abstractNum w:abstractNumId="123">
    <w:nsid w:val="4A66051"/>
    <w:multiLevelType w:val="hybridMultilevel"/>
    <w:lvl w:ilvl="0">
      <w:lvlJc w:val="left"/>
      <w:lvlText w:val="%1."/>
      <w:numFmt w:val="lowerRoman"/>
      <w:start w:val="1"/>
    </w:lvl>
  </w:abstractNum>
  <w:abstractNum w:abstractNumId="124">
    <w:nsid w:val="20F4BDAD"/>
    <w:multiLevelType w:val="hybridMultilevel"/>
    <w:lvl w:ilvl="0">
      <w:lvlJc w:val="left"/>
      <w:lvlText w:val="%1."/>
      <w:numFmt w:val="lowerRoman"/>
      <w:start w:val="2"/>
    </w:lvl>
  </w:abstractNum>
  <w:abstractNum w:abstractNumId="125">
    <w:nsid w:val="639DEFAC"/>
    <w:multiLevelType w:val="hybridMultilevel"/>
    <w:lvl w:ilvl="0">
      <w:lvlJc w:val="left"/>
      <w:lvlText w:val="•"/>
      <w:numFmt w:val="bullet"/>
      <w:start w:val="1"/>
    </w:lvl>
  </w:abstractNum>
  <w:abstractNum w:abstractNumId="126">
    <w:nsid w:val="501F9786"/>
    <w:multiLevelType w:val="hybridMultilevel"/>
    <w:lvl w:ilvl="0">
      <w:lvlJc w:val="left"/>
      <w:lvlText w:val="(%1)"/>
      <w:numFmt w:val="lowerRoman"/>
      <w:start w:val="1"/>
    </w:lvl>
  </w:abstractNum>
  <w:abstractNum w:abstractNumId="127">
    <w:nsid w:val="6B057295"/>
    <w:multiLevelType w:val="hybridMultilevel"/>
    <w:lvl w:ilvl="0">
      <w:lvlJc w:val="left"/>
      <w:lvlText w:val="•"/>
      <w:numFmt w:val="bullet"/>
      <w:start w:val="1"/>
    </w:lvl>
  </w:abstractNum>
  <w:abstractNum w:abstractNumId="128">
    <w:nsid w:val="2771AC80"/>
    <w:multiLevelType w:val="hybridMultilevel"/>
    <w:lvl w:ilvl="0">
      <w:lvlJc w:val="left"/>
      <w:lvlText w:val="•"/>
      <w:numFmt w:val="bullet"/>
      <w:start w:val="1"/>
    </w:lvl>
  </w:abstractNum>
  <w:abstractNum w:abstractNumId="129">
    <w:nsid w:val="1C4A08EC"/>
    <w:multiLevelType w:val="hybridMultilevel"/>
    <w:lvl w:ilvl="0">
      <w:lvlJc w:val="left"/>
      <w:lvlText w:val="•"/>
      <w:numFmt w:val="bullet"/>
      <w:start w:val="1"/>
    </w:lvl>
  </w:abstractNum>
  <w:abstractNum w:abstractNumId="130">
    <w:nsid w:val="1958BD17"/>
    <w:multiLevelType w:val="hybridMultilevel"/>
    <w:lvl w:ilvl="0">
      <w:lvlJc w:val="left"/>
      <w:lvlText w:val="(%1)"/>
      <w:numFmt w:val="lowerRoman"/>
      <w:start w:val="1"/>
    </w:lvl>
  </w:abstractNum>
  <w:abstractNum w:abstractNumId="131">
    <w:nsid w:val="4E647FE4"/>
    <w:multiLevelType w:val="hybridMultilevel"/>
    <w:lvl w:ilvl="0">
      <w:lvlJc w:val="left"/>
      <w:lvlText w:val="•"/>
      <w:numFmt w:val="bullet"/>
      <w:start w:val="1"/>
    </w:lvl>
  </w:abstractNum>
  <w:abstractNum w:abstractNumId="132">
    <w:nsid w:val="E0BB885"/>
    <w:multiLevelType w:val="hybridMultilevel"/>
    <w:lvl w:ilvl="0">
      <w:lvlJc w:val="left"/>
      <w:lvlText w:val="•"/>
      <w:numFmt w:val="bullet"/>
      <w:start w:val="1"/>
    </w:lvl>
  </w:abstractNum>
  <w:abstractNum w:abstractNumId="133">
    <w:nsid w:val="565976F1"/>
    <w:multiLevelType w:val="hybridMultilevel"/>
    <w:lvl w:ilvl="0">
      <w:lvlJc w:val="left"/>
      <w:lvlText w:val="(%1)"/>
      <w:numFmt w:val="lowerLetter"/>
      <w:start w:val="1"/>
    </w:lvl>
  </w:abstractNum>
  <w:abstractNum w:abstractNumId="134">
    <w:nsid w:val="64212B8C"/>
    <w:multiLevelType w:val="hybridMultilevel"/>
    <w:lvl w:ilvl="0">
      <w:lvlJc w:val="left"/>
      <w:lvlText w:val="(%1)"/>
      <w:numFmt w:val="lowerLetter"/>
      <w:start w:val="3"/>
    </w:lvl>
  </w:abstractNum>
  <w:abstractNum w:abstractNumId="135">
    <w:nsid w:val="5C17530C"/>
    <w:multiLevelType w:val="hybridMultilevel"/>
    <w:lvl w:ilvl="0">
      <w:lvlJc w:val="left"/>
      <w:lvlText w:val="*"/>
      <w:numFmt w:val="bullet"/>
      <w:start w:val="1"/>
    </w:lvl>
  </w:abstractNum>
  <w:abstractNum w:abstractNumId="136">
    <w:nsid w:val="19A52566"/>
    <w:multiLevelType w:val="hybridMultilevel"/>
    <w:lvl w:ilvl="0">
      <w:lvlJc w:val="left"/>
      <w:lvlText w:val="%1."/>
      <w:numFmt w:val="decimal"/>
      <w:start w:val="1"/>
    </w:lvl>
  </w:abstractNum>
  <w:abstractNum w:abstractNumId="137">
    <w:nsid w:val="335A1DF1"/>
    <w:multiLevelType w:val="hybridMultilevel"/>
    <w:lvl w:ilvl="0">
      <w:lvlJc w:val="left"/>
      <w:lvlText w:val="%1."/>
      <w:numFmt w:val="decimal"/>
      <w:start w:val="2"/>
    </w:lvl>
  </w:abstractNum>
  <w:abstractNum w:abstractNumId="138">
    <w:nsid w:val="28677B7C"/>
    <w:multiLevelType w:val="hybridMultilevel"/>
    <w:lvl w:ilvl="0">
      <w:lvlJc w:val="left"/>
      <w:lvlText w:val="\endash "/>
      <w:numFmt w:val="bullet"/>
      <w:start w:val="1"/>
    </w:lvl>
  </w:abstractNum>
  <w:abstractNum w:abstractNumId="139">
    <w:nsid w:val="378D97C0"/>
    <w:multiLevelType w:val="hybridMultilevel"/>
    <w:lvl w:ilvl="0">
      <w:lvlJc w:val="left"/>
      <w:lvlText w:val="%1."/>
      <w:numFmt w:val="decimal"/>
      <w:start w:val="3"/>
    </w:lvl>
  </w:abstractNum>
  <w:abstractNum w:abstractNumId="140">
    <w:nsid w:val="1D91467C"/>
    <w:multiLevelType w:val="hybridMultilevel"/>
    <w:lvl w:ilvl="0">
      <w:lvlJc w:val="left"/>
      <w:lvlText w:val="%1."/>
      <w:numFmt w:val="decimal"/>
      <w:start w:val="5"/>
    </w:lvl>
  </w:abstractNum>
  <w:abstractNum w:abstractNumId="141">
    <w:nsid w:val="316032BB"/>
    <w:multiLevelType w:val="hybridMultilevel"/>
    <w:lvl w:ilvl="0">
      <w:lvlJc w:val="left"/>
      <w:lvlText w:val="%1."/>
      <w:numFmt w:val="decimal"/>
      <w:start w:val="6"/>
    </w:lvl>
  </w:abstractNum>
  <w:abstractNum w:abstractNumId="142">
    <w:nsid w:val="44344C22"/>
    <w:multiLevelType w:val="hybridMultilevel"/>
    <w:lvl w:ilvl="0">
      <w:lvlJc w:val="left"/>
      <w:lvlText w:val="%1."/>
      <w:numFmt w:val="decimal"/>
      <w:start w:val="7"/>
    </w:lvl>
  </w:abstractNum>
  <w:abstractNum w:abstractNumId="143">
    <w:nsid w:val="13CDFCFC"/>
    <w:multiLevelType w:val="hybridMultilevel"/>
    <w:lvl w:ilvl="0">
      <w:lvlJc w:val="left"/>
      <w:lvlText w:val="%1."/>
      <w:numFmt w:val="decimal"/>
      <w:start w:val="8"/>
    </w:lvl>
  </w:abstractNum>
  <w:abstractNum w:abstractNumId="144">
    <w:nsid w:val="471745E4"/>
    <w:multiLevelType w:val="hybridMultilevel"/>
    <w:lvl w:ilvl="0">
      <w:lvlJc w:val="left"/>
      <w:lvlText w:val="%1."/>
      <w:numFmt w:val="decimal"/>
      <w:start w:val="9"/>
    </w:lvl>
  </w:abstractNum>
  <w:abstractNum w:abstractNumId="145">
    <w:nsid w:val="1DDBC66"/>
    <w:multiLevelType w:val="hybridMultilevel"/>
    <w:lvl w:ilvl="0">
      <w:lvlJc w:val="left"/>
      <w:lvlText w:val="%1."/>
      <w:numFmt w:val="decimal"/>
      <w:start w:val="10"/>
    </w:lvl>
  </w:abstractNum>
  <w:abstractNum w:abstractNumId="146">
    <w:nsid w:val="30AADFDA"/>
    <w:multiLevelType w:val="hybridMultilevel"/>
    <w:lvl w:ilvl="0">
      <w:lvlJc w:val="left"/>
      <w:lvlText w:val="%1."/>
      <w:numFmt w:val="decimal"/>
      <w:start w:val="1"/>
    </w:lvl>
  </w:abstractNum>
  <w:abstractNum w:abstractNumId="147">
    <w:nsid w:val="30EADA61"/>
    <w:multiLevelType w:val="hybridMultilevel"/>
    <w:lvl w:ilvl="0">
      <w:lvlJc w:val="left"/>
      <w:lvlText w:val="(%1)"/>
      <w:numFmt w:val="lowerLetter"/>
      <w:start w:val="1"/>
    </w:lvl>
  </w:abstractNum>
  <w:abstractNum w:abstractNumId="148">
    <w:nsid w:val="27179C0B"/>
    <w:multiLevelType w:val="hybridMultilevel"/>
    <w:lvl w:ilvl="0">
      <w:lvlJc w:val="left"/>
      <w:lvlText w:val="(%1)"/>
      <w:numFmt w:val="lowerRoman"/>
      <w:start w:val="3"/>
    </w:lvl>
  </w:abstractNum>
  <w:abstractNum w:abstractNumId="149">
    <w:nsid w:val="5E636063"/>
    <w:multiLevelType w:val="hybridMultilevel"/>
    <w:lvl w:ilvl="0">
      <w:lvlJc w:val="left"/>
      <w:lvlText w:val="(%1)"/>
      <w:numFmt w:val="lowerRoman"/>
      <w:start w:val="2"/>
    </w:lvl>
  </w:abstractNum>
  <w:abstractNum w:abstractNumId="150">
    <w:nsid w:val="215641AF"/>
    <w:multiLevelType w:val="hybridMultilevel"/>
    <w:lvl w:ilvl="0">
      <w:lvlJc w:val="left"/>
      <w:lvlText w:val="%1."/>
      <w:numFmt w:val="decimal"/>
      <w:start w:val="2"/>
    </w:lvl>
  </w:abstractNum>
  <w:abstractNum w:abstractNumId="151">
    <w:nsid w:val="53280662"/>
    <w:multiLevelType w:val="hybridMultilevel"/>
    <w:lvl w:ilvl="0">
      <w:lvlJc w:val="left"/>
      <w:lvlText w:val="\endash "/>
      <w:numFmt w:val="bullet"/>
      <w:start w:val="1"/>
    </w:lvl>
  </w:abstractNum>
  <w:abstractNum w:abstractNumId="152">
    <w:nsid w:val="46B24DBC"/>
    <w:multiLevelType w:val="hybridMultilevel"/>
    <w:lvl w:ilvl="0">
      <w:lvlJc w:val="left"/>
      <w:lvlText w:val="%1."/>
      <w:numFmt w:val="decimal"/>
      <w:start w:val="3"/>
    </w:lvl>
  </w:abstractNum>
  <w:abstractNum w:abstractNumId="153">
    <w:nsid w:val="75B52783"/>
    <w:multiLevelType w:val="hybridMultilevel"/>
    <w:lvl w:ilvl="0">
      <w:lvlJc w:val="left"/>
      <w:lvlText w:val="%1."/>
      <w:numFmt w:val="decimal"/>
      <w:start w:val="5"/>
    </w:lvl>
  </w:abstractNum>
  <w:abstractNum w:abstractNumId="154">
    <w:nsid w:val="57CE66B4"/>
    <w:multiLevelType w:val="hybridMultilevel"/>
    <w:lvl w:ilvl="0">
      <w:lvlJc w:val="left"/>
      <w:lvlText w:val="%1."/>
      <w:numFmt w:val="decimal"/>
      <w:start w:val="6"/>
    </w:lvl>
  </w:abstractNum>
  <w:abstractNum w:abstractNumId="155">
    <w:nsid w:val="67A70B69"/>
    <w:multiLevelType w:val="hybridMultilevel"/>
    <w:lvl w:ilvl="0">
      <w:lvlJc w:val="left"/>
      <w:lvlText w:val="%1."/>
      <w:numFmt w:val="decimal"/>
      <w:start w:val="7"/>
    </w:lvl>
  </w:abstractNum>
  <w:abstractNum w:abstractNumId="156">
    <w:nsid w:val="5953172F"/>
    <w:multiLevelType w:val="hybridMultilevel"/>
    <w:lvl w:ilvl="0">
      <w:lvlJc w:val="left"/>
      <w:lvlText w:val="%1."/>
      <w:numFmt w:val="decimal"/>
      <w:start w:val="8"/>
    </w:lvl>
  </w:abstractNum>
  <w:abstractNum w:abstractNumId="157">
    <w:nsid w:val="27EDFE3A"/>
    <w:multiLevelType w:val="hybridMultilevel"/>
    <w:lvl w:ilvl="0">
      <w:lvlJc w:val="left"/>
      <w:lvlText w:val="%1."/>
      <w:numFmt w:val="decimal"/>
      <w:start w:val="9"/>
    </w:lvl>
  </w:abstractNum>
  <w:abstractNum w:abstractNumId="158">
    <w:nsid w:val="52AC7DFF"/>
    <w:multiLevelType w:val="hybridMultilevel"/>
    <w:lvl w:ilvl="0">
      <w:lvlJc w:val="left"/>
      <w:lvlText w:val="%1."/>
      <w:numFmt w:val="decimal"/>
      <w:start w:val="10"/>
    </w:lvl>
  </w:abstractNum>
  <w:abstractNum w:abstractNumId="159">
    <w:nsid w:val="C4C3AF"/>
    <w:multiLevelType w:val="hybridMultilevel"/>
    <w:lvl w:ilvl="0">
      <w:lvlJc w:val="left"/>
      <w:lvlText w:val="(%1)"/>
      <w:numFmt w:val="decimal"/>
      <w:start w:val="2"/>
    </w:lvl>
  </w:abstractNum>
  <w:abstractNum w:abstractNumId="160">
    <w:nsid w:val="44380727"/>
    <w:multiLevelType w:val="hybridMultilevel"/>
    <w:lvl w:ilvl="0">
      <w:lvlJc w:val="left"/>
      <w:lvlText w:val="•"/>
      <w:numFmt w:val="bullet"/>
      <w:start w:val="1"/>
    </w:lvl>
    <w:lvl w:ilvl="1">
      <w:lvlJc w:val="left"/>
      <w:lvlText w:val="•"/>
      <w:numFmt w:val="bullet"/>
      <w:start w:val="1"/>
    </w:lvl>
  </w:abstractNum>
  <w:abstractNum w:abstractNumId="161">
    <w:nsid w:val="6C053B16"/>
    <w:multiLevelType w:val="hybridMultilevel"/>
    <w:lvl w:ilvl="0">
      <w:lvlJc w:val="left"/>
      <w:lvlText w:val="1"/>
      <w:numFmt w:val="bullet"/>
      <w:start w:val="1"/>
    </w:lvl>
  </w:abstractNum>
  <w:abstractNum w:abstractNumId="162">
    <w:nsid w:val="4F294393"/>
    <w:multiLevelType w:val="hybridMultilevel"/>
    <w:lvl w:ilvl="0">
      <w:lvlJc w:val="left"/>
      <w:lvlText w:val="%1)"/>
      <w:numFmt w:val="lowerLetter"/>
      <w:start w:val="1"/>
    </w:lvl>
  </w:abstractNum>
  <w:abstractNum w:abstractNumId="163">
    <w:nsid w:val="5243BFAC"/>
    <w:multiLevelType w:val="hybridMultilevel"/>
    <w:lvl w:ilvl="0">
      <w:lvlJc w:val="left"/>
      <w:lvlText w:val="(%1)"/>
      <w:numFmt w:val="decimal"/>
      <w:start w:val="3"/>
    </w:lvl>
  </w:abstractNum>
  <w:abstractNum w:abstractNumId="164">
    <w:nsid w:val="425EB207"/>
    <w:multiLevelType w:val="hybridMultilevel"/>
    <w:lvl w:ilvl="0">
      <w:lvlJc w:val="left"/>
      <w:lvlText w:val="1"/>
      <w:numFmt w:val="bullet"/>
      <w:start w:val="1"/>
    </w:lvl>
  </w:abstractNum>
  <w:abstractNum w:abstractNumId="165">
    <w:nsid w:val="334A6F1F"/>
    <w:multiLevelType w:val="hybridMultilevel"/>
    <w:lvl w:ilvl="0">
      <w:lvlJc w:val="left"/>
      <w:lvlText w:val="%1)"/>
      <w:numFmt w:val="lowerLetter"/>
      <w:start w:val="1"/>
    </w:lvl>
  </w:abstractNum>
  <w:abstractNum w:abstractNumId="166">
    <w:nsid w:val="2E5B12B8"/>
    <w:multiLevelType w:val="hybridMultilevel"/>
    <w:lvl w:ilvl="0">
      <w:lvlJc w:val="left"/>
      <w:lvlText w:val="%1)"/>
      <w:numFmt w:val="lowerLetter"/>
      <w:start w:val="1"/>
    </w:lvl>
  </w:abstractNum>
  <w:abstractNum w:abstractNumId="167">
    <w:nsid w:val="5C03D76D"/>
    <w:multiLevelType w:val="hybridMultilevel"/>
    <w:lvl w:ilvl="0">
      <w:lvlJc w:val="left"/>
      <w:lvlText w:val="%1)"/>
      <w:numFmt w:val="lowerLetter"/>
      <w:start w:val="1"/>
    </w:lvl>
  </w:abstractNum>
  <w:abstractNum w:abstractNumId="168">
    <w:nsid w:val="66A48D11"/>
    <w:multiLevelType w:val="hybridMultilevel"/>
    <w:lvl w:ilvl="0">
      <w:lvlJc w:val="left"/>
      <w:lvlText w:val="1"/>
      <w:numFmt w:val="bullet"/>
      <w:start w:val="1"/>
    </w:lvl>
  </w:abstractNum>
  <w:abstractNum w:abstractNumId="169">
    <w:nsid w:val="56C28E34"/>
    <w:multiLevelType w:val="hybridMultilevel"/>
    <w:lvl w:ilvl="0">
      <w:lvlJc w:val="left"/>
      <w:lvlText w:val="%1)"/>
      <w:numFmt w:val="lowerLetter"/>
      <w:start w:val="1"/>
    </w:lvl>
  </w:abstractNum>
  <w:abstractNum w:abstractNumId="170">
    <w:nsid w:val="13916F2D"/>
    <w:multiLevelType w:val="hybridMultilevel"/>
    <w:lvl w:ilvl="0">
      <w:lvlJc w:val="left"/>
      <w:lvlText w:val="%1)"/>
      <w:numFmt w:val="lowerLetter"/>
      <w:start w:val="3"/>
    </w:lvl>
  </w:abstractNum>
  <w:abstractNum w:abstractNumId="171">
    <w:nsid w:val="435D38D"/>
    <w:multiLevelType w:val="hybridMultilevel"/>
    <w:lvl w:ilvl="0">
      <w:lvlJc w:val="left"/>
      <w:lvlText w:val="%1)"/>
      <w:numFmt w:val="lowerLetter"/>
      <w:start w:val="1"/>
    </w:lvl>
  </w:abstractNum>
  <w:abstractNum w:abstractNumId="172">
    <w:nsid w:val="822C0EF"/>
    <w:multiLevelType w:val="hybridMultilevel"/>
    <w:lvl w:ilvl="0">
      <w:lvlJc w:val="left"/>
      <w:lvlText w:val="%1)"/>
      <w:numFmt w:val="lowerLetter"/>
      <w:start w:val="1"/>
    </w:lvl>
  </w:abstractNum>
  <w:abstractNum w:abstractNumId="173">
    <w:nsid w:val="57C5BB4F"/>
    <w:multiLevelType w:val="hybridMultilevel"/>
    <w:lvl w:ilvl="0">
      <w:lvlJc w:val="left"/>
      <w:lvlText w:val="•"/>
      <w:numFmt w:val="bullet"/>
      <w:start w:val="1"/>
    </w:lvl>
  </w:abstractNum>
  <w:abstractNum w:abstractNumId="174">
    <w:nsid w:val="1803D089"/>
    <w:multiLevelType w:val="hybridMultilevel"/>
    <w:lvl w:ilvl="0">
      <w:lvlJc w:val="left"/>
      <w:lvlText w:val="(%1)"/>
      <w:numFmt w:val="lowerRoman"/>
      <w:start w:val="3"/>
    </w:lvl>
  </w:abstractNum>
  <w:abstractNum w:abstractNumId="175">
    <w:nsid w:val="4F3A06D4"/>
    <w:multiLevelType w:val="hybridMultilevel"/>
    <w:lvl w:ilvl="0">
      <w:lvlJc w:val="left"/>
      <w:lvlText w:val="•"/>
      <w:numFmt w:val="bullet"/>
      <w:start w:val="1"/>
    </w:lvl>
  </w:abstractNum>
  <w:abstractNum w:abstractNumId="176">
    <w:nsid w:val="59A377B6"/>
    <w:multiLevelType w:val="hybridMultilevel"/>
    <w:lvl w:ilvl="0">
      <w:lvlJc w:val="left"/>
      <w:lvlText w:val="•"/>
      <w:numFmt w:val="bullet"/>
      <w:start w:val="1"/>
    </w:lvl>
  </w:abstractNum>
  <w:abstractNum w:abstractNumId="177">
    <w:nsid w:val="48AEB063"/>
    <w:multiLevelType w:val="hybridMultilevel"/>
    <w:lvl w:ilvl="0">
      <w:lvlJc w:val="left"/>
      <w:lvlText w:val="*"/>
      <w:numFmt w:val="bullet"/>
      <w:start w:val="1"/>
    </w:lvl>
  </w:abstractNum>
  <w:abstractNum w:abstractNumId="178">
    <w:nsid w:val="24E135"/>
    <w:multiLevelType w:val="hybridMultilevel"/>
    <w:lvl w:ilvl="0">
      <w:lvlJc w:val="left"/>
      <w:lvlText w:val="**"/>
      <w:numFmt w:val="bullet"/>
      <w:start w:val="1"/>
    </w:lvl>
  </w:abstractNum>
  <w:abstractNum w:abstractNumId="179">
    <w:nsid w:val="BB13C1"/>
    <w:multiLevelType w:val="hybridMultilevel"/>
    <w:lvl w:ilvl="0">
      <w:lvlJc w:val="left"/>
      <w:lvlText w:val="***"/>
      <w:numFmt w:val="bullet"/>
      <w:start w:val="1"/>
    </w:lvl>
  </w:abstractNum>
  <w:abstractNum w:abstractNumId="180">
    <w:nsid w:val="271210C7"/>
    <w:multiLevelType w:val="hybridMultilevel"/>
    <w:lvl w:ilvl="0">
      <w:lvlJc w:val="left"/>
      <w:lvlText w:val="+"/>
      <w:numFmt w:val="bullet"/>
      <w:start w:val="1"/>
    </w:lvl>
  </w:abstractNum>
  <w:abstractNum w:abstractNumId="181">
    <w:nsid w:val="217B22E4"/>
    <w:multiLevelType w:val="hybridMultilevel"/>
    <w:lvl w:ilvl="0">
      <w:lvlJc w:val="left"/>
      <w:lvlText w:val="†"/>
      <w:numFmt w:val="bullet"/>
      <w:start w:val="1"/>
    </w:lvl>
  </w:abstractNum>
  <w:abstractNum w:abstractNumId="182">
    <w:nsid w:val="53E31A24"/>
    <w:multiLevelType w:val="hybridMultilevel"/>
    <w:lvl w:ilvl="0">
      <w:lvlJc w:val="left"/>
      <w:lvlText w:val="##"/>
      <w:numFmt w:val="bullet"/>
      <w:start w:val="1"/>
    </w:lvl>
  </w:abstractNum>
  <w:abstractNum w:abstractNumId="183">
    <w:nsid w:val="6DC45E8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84">
    <w:nsid w:val="17304A67"/>
    <w:multiLevelType w:val="hybridMultilevel"/>
    <w:lvl w:ilvl="0">
      <w:lvlJc w:val="left"/>
      <w:lvlText w:val="%1"/>
      <w:numFmt w:val="decimal"/>
      <w:start w:val="1"/>
    </w:lvl>
    <w:lvl w:ilvl="1">
      <w:lvlJc w:val="left"/>
      <w:lvlText w:val="(%2)"/>
      <w:numFmt w:val="lowerRoman"/>
      <w:start w:val="1"/>
    </w:lvl>
  </w:abstractNum>
  <w:abstractNum w:abstractNumId="185">
    <w:nsid w:val="2BB180D8"/>
    <w:multiLevelType w:val="hybridMultilevel"/>
    <w:lvl w:ilvl="0">
      <w:lvlJc w:val="left"/>
      <w:lvlText w:val="(%1)"/>
      <w:numFmt w:val="decimal"/>
      <w:start w:val="6"/>
    </w:lvl>
    <w:lvl w:ilvl="1">
      <w:lvlJc w:val="left"/>
      <w:lvlText w:val="(%2)"/>
      <w:numFmt w:val="lowerRoman"/>
      <w:start w:val="1"/>
    </w:lvl>
  </w:abstractNum>
  <w:abstractNum w:abstractNumId="186">
    <w:nsid w:val="556B69ED"/>
    <w:multiLevelType w:val="hybridMultilevel"/>
    <w:lvl w:ilvl="0">
      <w:lvlJc w:val="left"/>
      <w:lvlText w:val="(%1)"/>
      <w:numFmt w:val="decimal"/>
      <w:start w:val="1"/>
    </w:lvl>
  </w:abstractNum>
  <w:abstractNum w:abstractNumId="187">
    <w:nsid w:val="70836196"/>
    <w:multiLevelType w:val="hybridMultilevel"/>
    <w:lvl w:ilvl="0">
      <w:lvlJc w:val="left"/>
      <w:lvlText w:val="(%1)"/>
      <w:numFmt w:val="decimal"/>
      <w:start w:val="2"/>
    </w:lvl>
  </w:abstractNum>
  <w:abstractNum w:abstractNumId="188">
    <w:nsid w:val="539F7F12"/>
    <w:multiLevelType w:val="hybridMultilevel"/>
    <w:lvl w:ilvl="0">
      <w:lvlJc w:val="left"/>
      <w:lvlText w:val="•"/>
      <w:numFmt w:val="bullet"/>
      <w:start w:val="1"/>
    </w:lvl>
  </w:abstractNum>
  <w:abstractNum w:abstractNumId="189">
    <w:nsid w:val="2817E7EC"/>
    <w:multiLevelType w:val="hybridMultilevel"/>
    <w:lvl w:ilvl="0">
      <w:lvlJc w:val="left"/>
      <w:lvlText w:val="1"/>
      <w:numFmt w:val="bullet"/>
      <w:start w:val="1"/>
    </w:lvl>
  </w:abstractNum>
  <w:abstractNum w:abstractNumId="190">
    <w:nsid w:val="71482545"/>
    <w:multiLevelType w:val="hybridMultilevel"/>
    <w:lvl w:ilvl="0">
      <w:lvlJc w:val="left"/>
      <w:lvlText w:val="2"/>
      <w:numFmt w:val="bullet"/>
      <w:start w:val="1"/>
    </w:lvl>
  </w:abstractNum>
  <w:abstractNum w:abstractNumId="191">
    <w:nsid w:val="17D78639"/>
    <w:multiLevelType w:val="hybridMultilevel"/>
    <w:lvl w:ilvl="0">
      <w:lvlJc w:val="left"/>
      <w:lvlText w:val="(%1)"/>
      <w:numFmt w:val="lowerLetter"/>
      <w:start w:val="1"/>
    </w:lvl>
  </w:abstractNum>
  <w:abstractNum w:abstractNumId="192">
    <w:nsid w:val="141D2302"/>
    <w:multiLevelType w:val="hybridMultilevel"/>
    <w:lvl w:ilvl="0">
      <w:lvlJc w:val="left"/>
      <w:lvlText w:val="3"/>
      <w:numFmt w:val="bullet"/>
      <w:start w:val="1"/>
    </w:lvl>
  </w:abstractNum>
  <w:abstractNum w:abstractNumId="193">
    <w:nsid w:val="407168D8"/>
    <w:multiLevelType w:val="hybridMultilevel"/>
    <w:lvl w:ilvl="0">
      <w:lvlJc w:val="left"/>
      <w:lvlText w:val="(%1)"/>
      <w:numFmt w:val="lowerLetter"/>
      <w:start w:val="1"/>
    </w:lvl>
  </w:abstractNum>
  <w:abstractNum w:abstractNumId="194">
    <w:nsid w:val="6A1B45E5"/>
    <w:multiLevelType w:val="hybridMultilevel"/>
    <w:lvl w:ilvl="0">
      <w:lvlJc w:val="left"/>
      <w:lvlText w:val="(%1)"/>
      <w:numFmt w:val="lowerLetter"/>
      <w:start w:val="5"/>
    </w:lvl>
  </w:abstractNum>
  <w:abstractNum w:abstractNumId="195">
    <w:nsid w:val="567BD50A"/>
    <w:multiLevelType w:val="hybridMultilevel"/>
    <w:lvl w:ilvl="0">
      <w:lvlJc w:val="left"/>
      <w:lvlText w:val="4"/>
      <w:numFmt w:val="bullet"/>
      <w:start w:val="1"/>
    </w:lvl>
  </w:abstractNum>
  <w:abstractNum w:abstractNumId="196">
    <w:nsid w:val="73BBD7F8"/>
    <w:multiLevelType w:val="hybridMultilevel"/>
    <w:lvl w:ilvl="0">
      <w:lvlJc w:val="left"/>
      <w:lvlText w:val="5"/>
      <w:numFmt w:val="bullet"/>
      <w:start w:val="1"/>
    </w:lvl>
  </w:abstractNum>
  <w:abstractNum w:abstractNumId="197">
    <w:nsid w:val="1876589D"/>
    <w:multiLevelType w:val="hybridMultilevel"/>
    <w:lvl w:ilvl="0">
      <w:lvlJc w:val="left"/>
      <w:lvlText w:val="1"/>
      <w:numFmt w:val="bullet"/>
      <w:start w:val="1"/>
    </w:lvl>
  </w:abstractNum>
  <w:abstractNum w:abstractNumId="198">
    <w:nsid w:val="327FAC77"/>
    <w:multiLevelType w:val="hybridMultilevel"/>
    <w:lvl w:ilvl="0">
      <w:lvlJc w:val="left"/>
      <w:lvlText w:val="2"/>
      <w:numFmt w:val="bullet"/>
      <w:start w:val="1"/>
    </w:lvl>
  </w:abstractNum>
  <w:abstractNum w:abstractNumId="199">
    <w:nsid w:val="5A606509"/>
    <w:multiLevelType w:val="hybridMultilevel"/>
    <w:lvl w:ilvl="0">
      <w:lvlJc w:val="left"/>
      <w:lvlText w:val="3"/>
      <w:numFmt w:val="bullet"/>
      <w:start w:val="1"/>
    </w:lvl>
    <w:lvl w:ilvl="1">
      <w:lvlJc w:val="left"/>
      <w:lvlText w:val="(%2)"/>
      <w:numFmt w:val="lowerLetter"/>
      <w:start w:val="1"/>
    </w:lvl>
  </w:abstractNum>
  <w:abstractNum w:abstractNumId="200">
    <w:nsid w:val="6F38E6D1"/>
    <w:multiLevelType w:val="hybridMultilevel"/>
    <w:lvl w:ilvl="0">
      <w:lvlJc w:val="left"/>
      <w:lvlText w:val="4"/>
      <w:numFmt w:val="bullet"/>
      <w:start w:val="1"/>
    </w:lvl>
  </w:abstractNum>
  <w:abstractNum w:abstractNumId="201">
    <w:nsid w:val="46111BA5"/>
    <w:multiLevelType w:val="hybridMultilevel"/>
    <w:lvl w:ilvl="0">
      <w:lvlJc w:val="left"/>
      <w:lvlText w:val="5"/>
      <w:numFmt w:val="bullet"/>
      <w:start w:val="1"/>
    </w:lvl>
  </w:abstractNum>
  <w:abstractNum w:abstractNumId="202">
    <w:nsid w:val="5E963896"/>
    <w:multiLevelType w:val="hybridMultilevel"/>
    <w:lvl w:ilvl="0">
      <w:lvlJc w:val="left"/>
      <w:lvlText w:val="6"/>
      <w:numFmt w:val="bullet"/>
      <w:start w:val="1"/>
    </w:lvl>
  </w:abstractNum>
  <w:abstractNum w:abstractNumId="203">
    <w:nsid w:val="775BA7C1"/>
    <w:multiLevelType w:val="hybridMultilevel"/>
    <w:lvl w:ilvl="0">
      <w:lvlJc w:val="left"/>
      <w:lvlText w:val="7"/>
      <w:numFmt w:val="bullet"/>
      <w:start w:val="1"/>
    </w:lvl>
  </w:abstractNum>
  <w:abstractNum w:abstractNumId="204">
    <w:nsid w:val="1DD6D6F4"/>
    <w:multiLevelType w:val="hybridMultilevel"/>
    <w:lvl w:ilvl="0">
      <w:lvlJc w:val="left"/>
      <w:lvlText w:val="8"/>
      <w:numFmt w:val="bullet"/>
      <w:start w:val="1"/>
    </w:lvl>
  </w:abstractNum>
  <w:abstractNum w:abstractNumId="205">
    <w:nsid w:val="769A091F"/>
    <w:multiLevelType w:val="hybridMultilevel"/>
    <w:lvl w:ilvl="0">
      <w:lvlJc w:val="left"/>
      <w:lvlText w:val="9"/>
      <w:numFmt w:val="bullet"/>
      <w:start w:val="1"/>
    </w:lvl>
  </w:abstractNum>
  <w:abstractNum w:abstractNumId="206">
    <w:nsid w:val="4695AE95"/>
    <w:multiLevelType w:val="hybridMultilevel"/>
    <w:lvl w:ilvl="0">
      <w:lvlJc w:val="left"/>
      <w:lvlText w:val="%1"/>
      <w:numFmt w:val="decimal"/>
      <w:start w:val="10"/>
    </w:lvl>
  </w:abstractNum>
  <w:abstractNum w:abstractNumId="207">
    <w:nsid w:val="777A4EAA"/>
    <w:multiLevelType w:val="hybridMultilevel"/>
    <w:lvl w:ilvl="0">
      <w:lvlJc w:val="left"/>
      <w:lvlText w:val="1"/>
      <w:numFmt w:val="bullet"/>
      <w:start w:val="1"/>
    </w:lvl>
  </w:abstractNum>
  <w:abstractNum w:abstractNumId="208">
    <w:nsid w:val="3F48B982"/>
    <w:multiLevelType w:val="hybridMultilevel"/>
    <w:lvl w:ilvl="0">
      <w:lvlJc w:val="left"/>
      <w:lvlText w:val="2"/>
      <w:numFmt w:val="bullet"/>
      <w:start w:val="1"/>
    </w:lvl>
  </w:abstractNum>
  <w:abstractNum w:abstractNumId="209">
    <w:nsid w:val="46BA8FCA"/>
    <w:multiLevelType w:val="hybridMultilevel"/>
    <w:lvl w:ilvl="0">
      <w:lvlJc w:val="left"/>
      <w:lvlText w:val="(%1)"/>
      <w:numFmt w:val="lowerRoman"/>
      <w:start w:val="2"/>
    </w:lvl>
  </w:abstractNum>
  <w:abstractNum w:abstractNumId="210">
    <w:nsid w:val="7835626C"/>
    <w:multiLevelType w:val="hybridMultilevel"/>
    <w:lvl w:ilvl="0">
      <w:lvlJc w:val="left"/>
      <w:lvlText w:val="(%1)"/>
      <w:numFmt w:val="lowerRoman"/>
      <w:start w:val="1"/>
    </w:lvl>
  </w:abstractNum>
  <w:abstractNum w:abstractNumId="211">
    <w:nsid w:val="665ACA49"/>
    <w:multiLevelType w:val="hybridMultilevel"/>
    <w:lvl w:ilvl="0">
      <w:lvlJc w:val="left"/>
      <w:lvlText w:val="(%1)"/>
      <w:numFmt w:val="lowerRoman"/>
      <w:start w:val="1"/>
    </w:lvl>
  </w:abstractNum>
  <w:abstractNum w:abstractNumId="212">
    <w:nsid w:val="6835B2AE"/>
    <w:multiLevelType w:val="hybridMultilevel"/>
    <w:lvl w:ilvl="0">
      <w:lvlJc w:val="left"/>
      <w:lvlText w:val="(%1)"/>
      <w:numFmt w:val="lowerRoman"/>
      <w:start w:val="1"/>
    </w:lvl>
  </w:abstractNum>
  <w:abstractNum w:abstractNumId="213">
    <w:nsid w:val="4C187C90"/>
    <w:multiLevelType w:val="hybridMultilevel"/>
    <w:lvl w:ilvl="0">
      <w:lvlJc w:val="left"/>
      <w:lvlText w:val="%1."/>
      <w:numFmt w:val="upperLetter"/>
      <w:start w:val="1"/>
    </w:lvl>
  </w:abstractNum>
  <w:abstractNum w:abstractNumId="214">
    <w:nsid w:val="541F28CD"/>
    <w:multiLevelType w:val="hybridMultilevel"/>
    <w:lvl w:ilvl="0">
      <w:lvlJc w:val="left"/>
      <w:lvlText w:val="%1."/>
      <w:numFmt w:val="decimal"/>
      <w:start w:val="1"/>
    </w:lvl>
  </w:abstractNum>
  <w:abstractNum w:abstractNumId="215">
    <w:nsid w:val="7F65FD16"/>
    <w:multiLevelType w:val="hybridMultilevel"/>
    <w:lvl w:ilvl="0">
      <w:lvlJc w:val="left"/>
      <w:lvlText w:val="%1."/>
      <w:numFmt w:val="decimal"/>
      <w:start w:val="2"/>
    </w:lvl>
  </w:abstractNum>
  <w:abstractNum w:abstractNumId="216">
    <w:nsid w:val="77C9FD68"/>
    <w:multiLevelType w:val="hybridMultilevel"/>
    <w:lvl w:ilvl="0">
      <w:lvlJc w:val="left"/>
      <w:lvlText w:val="%1."/>
      <w:numFmt w:val="decimal"/>
      <w:start w:val="3"/>
    </w:lvl>
  </w:abstractNum>
  <w:abstractNum w:abstractNumId="217">
    <w:nsid w:val="298A92BA"/>
    <w:multiLevelType w:val="hybridMultilevel"/>
    <w:lvl w:ilvl="0">
      <w:lvlJc w:val="left"/>
      <w:lvlText w:val="%1."/>
      <w:numFmt w:val="decimal"/>
      <w:start w:val="4"/>
    </w:lvl>
  </w:abstractNum>
  <w:abstractNum w:abstractNumId="218">
    <w:nsid w:val="6FE95EAC"/>
    <w:multiLevelType w:val="hybridMultilevel"/>
    <w:lvl w:ilvl="0">
      <w:lvlJc w:val="left"/>
      <w:lvlText w:val="%1."/>
      <w:numFmt w:val="decimal"/>
      <w:start w:val="5"/>
    </w:lvl>
  </w:abstractNum>
  <w:abstractNum w:abstractNumId="219">
    <w:nsid w:val="4B697C7A"/>
    <w:multiLevelType w:val="hybridMultilevel"/>
    <w:lvl w:ilvl="0">
      <w:lvlJc w:val="left"/>
      <w:lvlText w:val="%1."/>
      <w:numFmt w:val="decimal"/>
      <w:start w:val="6"/>
    </w:lvl>
  </w:abstractNum>
  <w:abstractNum w:abstractNumId="220">
    <w:nsid w:val="51A27AA6"/>
    <w:multiLevelType w:val="hybridMultilevel"/>
    <w:lvl w:ilvl="0">
      <w:lvlJc w:val="left"/>
      <w:lvlText w:val="%1."/>
      <w:numFmt w:val="decimal"/>
      <w:start w:val="7"/>
    </w:lvl>
  </w:abstractNum>
  <w:abstractNum w:abstractNumId="221">
    <w:nsid w:val="613183F2"/>
    <w:multiLevelType w:val="hybridMultilevel"/>
    <w:lvl w:ilvl="0">
      <w:lvlJc w:val="left"/>
      <w:lvlText w:val="%1."/>
      <w:numFmt w:val="decimal"/>
      <w:start w:val="9"/>
    </w:lvl>
  </w:abstractNum>
  <w:abstractNum w:abstractNumId="222">
    <w:nsid w:val="634102B4"/>
    <w:multiLevelType w:val="hybridMultilevel"/>
    <w:lvl w:ilvl="0">
      <w:lvlJc w:val="left"/>
      <w:lvlText w:val="%1."/>
      <w:numFmt w:val="decimal"/>
      <w:start w:val="10"/>
    </w:lvl>
  </w:abstractNum>
  <w:abstractNum w:abstractNumId="223">
    <w:nsid w:val="65BF9DA8"/>
    <w:multiLevelType w:val="hybridMultilevel"/>
    <w:lvl w:ilvl="0">
      <w:lvlJc w:val="left"/>
      <w:lvlText w:val="(%1)"/>
      <w:numFmt w:val="decimal"/>
      <w:start w:val="1"/>
    </w:lvl>
  </w:abstractNum>
  <w:abstractNum w:abstractNumId="224">
    <w:nsid w:val="21A2ECCA"/>
    <w:multiLevelType w:val="hybridMultilevel"/>
    <w:lvl w:ilvl="0">
      <w:lvlJc w:val="left"/>
      <w:lvlText w:val="%1."/>
      <w:numFmt w:val="decimal"/>
      <w:start w:val="11"/>
    </w:lvl>
  </w:abstractNum>
  <w:abstractNum w:abstractNumId="225">
    <w:nsid w:val="4D5C4899"/>
    <w:multiLevelType w:val="hybridMultilevel"/>
    <w:lvl w:ilvl="0">
      <w:lvlJc w:val="left"/>
      <w:lvlText w:val="(%1)"/>
      <w:numFmt w:val="lowerLetter"/>
      <w:start w:val="1"/>
    </w:lvl>
  </w:abstractNum>
  <w:abstractNum w:abstractNumId="226">
    <w:nsid w:val="3C3B72B2"/>
    <w:multiLevelType w:val="hybridMultilevel"/>
    <w:lvl w:ilvl="0">
      <w:lvlJc w:val="left"/>
      <w:lvlText w:val="(%1)"/>
      <w:numFmt w:val="lowerLetter"/>
      <w:start w:val="2"/>
    </w:lvl>
  </w:abstractNum>
  <w:abstractNum w:abstractNumId="227">
    <w:nsid w:val="155EC4C2"/>
    <w:multiLevelType w:val="hybridMultilevel"/>
    <w:lvl w:ilvl="0">
      <w:lvlJc w:val="left"/>
      <w:lvlText w:val="%1."/>
      <w:numFmt w:val="decimal"/>
      <w:start w:val="1"/>
    </w:lvl>
  </w:abstractNum>
  <w:abstractNum w:abstractNumId="228">
    <w:nsid w:val="65D2A137"/>
    <w:multiLevelType w:val="hybridMultilevel"/>
    <w:lvl w:ilvl="0">
      <w:lvlJc w:val="left"/>
      <w:lvlText w:val="%1."/>
      <w:numFmt w:val="decimal"/>
      <w:start w:val="2"/>
    </w:lvl>
  </w:abstractNum>
  <w:abstractNum w:abstractNumId="229">
    <w:nsid w:val="6EBB1F2A"/>
    <w:multiLevelType w:val="hybridMultilevel"/>
    <w:lvl w:ilvl="0">
      <w:lvlJc w:val="left"/>
      <w:lvlText w:val="%1."/>
      <w:numFmt w:val="decimal"/>
      <w:start w:val="3"/>
    </w:lvl>
  </w:abstractNum>
  <w:abstractNum w:abstractNumId="230">
    <w:nsid w:val="6FBF29CB"/>
    <w:multiLevelType w:val="hybridMultilevel"/>
    <w:lvl w:ilvl="0">
      <w:lvlJc w:val="left"/>
      <w:lvlText w:val="(%1)"/>
      <w:numFmt w:val="lowerLetter"/>
      <w:start w:val="1"/>
    </w:lvl>
  </w:abstractNum>
  <w:abstractNum w:abstractNumId="231">
    <w:nsid w:val="550B8808"/>
    <w:multiLevelType w:val="hybridMultilevel"/>
    <w:lvl w:ilvl="0">
      <w:lvlJc w:val="left"/>
      <w:lvlText w:val="%1."/>
      <w:numFmt w:val="decimal"/>
      <w:start w:val="6"/>
    </w:lvl>
  </w:abstractNum>
  <w:abstractNum w:abstractNumId="232">
    <w:nsid w:val="34CC3ACF"/>
    <w:multiLevelType w:val="hybridMultilevel"/>
    <w:lvl w:ilvl="0">
      <w:lvlJc w:val="left"/>
      <w:lvlText w:val="%1."/>
      <w:numFmt w:val="decimal"/>
      <w:start w:val="7"/>
    </w:lvl>
  </w:abstractNum>
  <w:abstractNum w:abstractNumId="233">
    <w:nsid w:val="4E556261"/>
    <w:multiLevelType w:val="hybridMultilevel"/>
    <w:lvl w:ilvl="0">
      <w:lvlJc w:val="left"/>
      <w:lvlText w:val="%1."/>
      <w:numFmt w:val="decimal"/>
      <w:start w:val="8"/>
    </w:lvl>
  </w:abstractNum>
  <w:abstractNum w:abstractNumId="234">
    <w:nsid w:val="4C672FC9"/>
    <w:multiLevelType w:val="hybridMultilevel"/>
    <w:lvl w:ilvl="0">
      <w:lvlJc w:val="left"/>
      <w:lvlText w:val="(%1)"/>
      <w:numFmt w:val="lowerLetter"/>
      <w:start w:val="1"/>
    </w:lvl>
  </w:abstractNum>
  <w:abstractNum w:abstractNumId="235">
    <w:nsid w:val="52A311C3"/>
    <w:multiLevelType w:val="hybridMultilevel"/>
    <w:lvl w:ilvl="0">
      <w:lvlJc w:val="left"/>
      <w:lvlText w:val="(%1)"/>
      <w:numFmt w:val="lowerLetter"/>
      <w:start w:val="1"/>
    </w:lvl>
  </w:abstractNum>
  <w:abstractNum w:abstractNumId="236">
    <w:nsid w:val="44EF6B80"/>
    <w:multiLevelType w:val="hybridMultilevel"/>
    <w:lvl w:ilvl="0">
      <w:lvlJc w:val="left"/>
      <w:lvlText w:val="%1."/>
      <w:numFmt w:val="decimal"/>
      <w:start w:val="1"/>
    </w:lvl>
  </w:abstractNum>
  <w:abstractNum w:abstractNumId="237">
    <w:nsid w:val="12FCDE5E"/>
    <w:multiLevelType w:val="hybridMultilevel"/>
    <w:lvl w:ilvl="0">
      <w:lvlJc w:val="left"/>
      <w:lvlText w:val="%1."/>
      <w:numFmt w:val="decimal"/>
      <w:start w:val="3"/>
    </w:lvl>
  </w:abstractNum>
  <w:abstractNum w:abstractNumId="238">
    <w:nsid w:val="4A1D606E"/>
    <w:multiLevelType w:val="hybridMultilevel"/>
    <w:lvl w:ilvl="0">
      <w:lvlJc w:val="left"/>
      <w:lvlText w:val="%1."/>
      <w:numFmt w:val="decimal"/>
      <w:start w:val="4"/>
    </w:lvl>
  </w:abstractNum>
  <w:abstractNum w:abstractNumId="239">
    <w:nsid w:val="4382503"/>
    <w:multiLevelType w:val="hybridMultilevel"/>
    <w:lvl w:ilvl="0">
      <w:lvlJc w:val="left"/>
      <w:lvlText w:val="%1."/>
      <w:numFmt w:val="decimal"/>
      <w:start w:val="5"/>
    </w:lvl>
  </w:abstractNum>
  <w:abstractNum w:abstractNumId="240">
    <w:nsid w:val="59B76E28"/>
    <w:multiLevelType w:val="hybridMultilevel"/>
    <w:lvl w:ilvl="0">
      <w:lvlJc w:val="left"/>
      <w:lvlText w:val="(%1)"/>
      <w:numFmt w:val="lowerLetter"/>
      <w:start w:val="1"/>
    </w:lvl>
  </w:abstractNum>
  <w:abstractNum w:abstractNumId="241">
    <w:nsid w:val="4252C2DA"/>
    <w:multiLevelType w:val="hybridMultilevel"/>
    <w:lvl w:ilvl="0">
      <w:lvlJc w:val="left"/>
      <w:lvlText w:val="(%1)"/>
      <w:numFmt w:val="lowerLetter"/>
      <w:start w:val="1"/>
    </w:lvl>
  </w:abstractNum>
  <w:abstractNum w:abstractNumId="242">
    <w:nsid w:val="6A92EF4C"/>
    <w:multiLevelType w:val="hybridMultilevel"/>
    <w:lvl w:ilvl="0">
      <w:lvlJc w:val="left"/>
      <w:lvlText w:val="(%1)"/>
      <w:numFmt w:val="lowerLetter"/>
      <w:start w:val="2"/>
    </w:lvl>
  </w:abstractNum>
  <w:abstractNum w:abstractNumId="243">
    <w:nsid w:val="41ED20D7"/>
    <w:multiLevelType w:val="hybridMultilevel"/>
    <w:lvl w:ilvl="0">
      <w:lvlJc w:val="left"/>
      <w:lvlText w:val="%1."/>
      <w:numFmt w:val="decimal"/>
      <w:start w:val="6"/>
    </w:lvl>
  </w:abstractNum>
  <w:abstractNum w:abstractNumId="244">
    <w:nsid w:val="E6B3F6A"/>
    <w:multiLevelType w:val="hybridMultilevel"/>
    <w:lvl w:ilvl="0">
      <w:lvlJc w:val="left"/>
      <w:lvlText w:val="%1."/>
      <w:numFmt w:val="decimal"/>
      <w:start w:val="7"/>
    </w:lvl>
  </w:abstractNum>
  <w:abstractNum w:abstractNumId="245">
    <w:nsid w:val="3EB21819"/>
    <w:multiLevelType w:val="hybridMultilevel"/>
    <w:lvl w:ilvl="0">
      <w:lvlJc w:val="left"/>
      <w:lvlText w:val="%1."/>
      <w:numFmt w:val="decimal"/>
      <w:start w:val="8"/>
    </w:lvl>
  </w:abstractNum>
  <w:abstractNum w:abstractNumId="246">
    <w:nsid w:val="41531DED"/>
    <w:multiLevelType w:val="hybridMultilevel"/>
    <w:lvl w:ilvl="0">
      <w:lvlJc w:val="left"/>
      <w:lvlText w:val="(%1)"/>
      <w:numFmt w:val="lowerLetter"/>
      <w:start w:val="1"/>
    </w:lvl>
  </w:abstractNum>
  <w:abstractNum w:abstractNumId="247">
    <w:nsid w:val="6353CD2"/>
    <w:multiLevelType w:val="hybridMultilevel"/>
    <w:lvl w:ilvl="0">
      <w:lvlJc w:val="left"/>
      <w:lvlText w:val="(%1)"/>
      <w:numFmt w:val="lowerLetter"/>
      <w:start w:val="2"/>
    </w:lvl>
  </w:abstractNum>
  <w:abstractNum w:abstractNumId="248">
    <w:nsid w:val="683CAAD3"/>
    <w:multiLevelType w:val="hybridMultilevel"/>
    <w:lvl w:ilvl="0">
      <w:lvlJc w:val="left"/>
      <w:lvlText w:val="%1."/>
      <w:numFmt w:val="decimal"/>
      <w:start w:val="11"/>
    </w:lvl>
  </w:abstractNum>
  <w:abstractNum w:abstractNumId="249">
    <w:nsid w:val="313C7C99"/>
    <w:multiLevelType w:val="hybridMultilevel"/>
    <w:lvl w:ilvl="0">
      <w:lvlJc w:val="left"/>
      <w:lvlText w:val="(%1)"/>
      <w:numFmt w:val="lowerLetter"/>
      <w:start w:val="1"/>
    </w:lvl>
  </w:abstractNum>
  <w:abstractNum w:abstractNumId="250">
    <w:nsid w:val="519EB94C"/>
    <w:multiLevelType w:val="hybridMultilevel"/>
    <w:lvl w:ilvl="0">
      <w:lvlJc w:val="left"/>
      <w:lvlText w:val="%1."/>
      <w:numFmt w:val="decimal"/>
      <w:start w:val="12"/>
    </w:lvl>
  </w:abstractNum>
  <w:abstractNum w:abstractNumId="251">
    <w:nsid w:val="39DF2579"/>
    <w:multiLevelType w:val="hybridMultilevel"/>
    <w:lvl w:ilvl="0">
      <w:lvlJc w:val="left"/>
      <w:lvlText w:val="%1."/>
      <w:numFmt w:val="decimal"/>
      <w:start w:val="13"/>
    </w:lvl>
  </w:abstractNum>
  <w:abstractNum w:abstractNumId="252">
    <w:nsid w:val="126E008B"/>
    <w:multiLevelType w:val="hybridMultilevel"/>
    <w:lvl w:ilvl="0">
      <w:lvlJc w:val="left"/>
      <w:lvlText w:val="(%1)"/>
      <w:numFmt w:val="lowerLetter"/>
      <w:start w:val="1"/>
    </w:lvl>
  </w:abstractNum>
  <w:abstractNum w:abstractNumId="253">
    <w:nsid w:val="34DFBC00"/>
    <w:multiLevelType w:val="hybridMultilevel"/>
    <w:lvl w:ilvl="0">
      <w:lvlJc w:val="left"/>
      <w:lvlText w:val="(%1)"/>
      <w:numFmt w:val="lowerRoman"/>
      <w:start w:val="1"/>
    </w:lvl>
  </w:abstractNum>
  <w:abstractNum w:abstractNumId="254">
    <w:nsid w:val="1F9EC322"/>
    <w:multiLevelType w:val="hybridMultilevel"/>
    <w:lvl w:ilvl="0">
      <w:lvlJc w:val="left"/>
      <w:lvlText w:val="%1."/>
      <w:numFmt w:val="decimal"/>
      <w:start w:val="14"/>
    </w:lvl>
  </w:abstractNum>
  <w:abstractNum w:abstractNumId="255">
    <w:nsid w:val="3410ED56"/>
    <w:multiLevelType w:val="hybridMultilevel"/>
    <w:lvl w:ilvl="0">
      <w:lvlJc w:val="left"/>
      <w:lvlText w:val="(%1)"/>
      <w:numFmt w:val="lowerLetter"/>
      <w:start w:val="1"/>
    </w:lvl>
  </w:abstractNum>
  <w:abstractNum w:abstractNumId="256">
    <w:nsid w:val="23C049A"/>
    <w:multiLevelType w:val="hybridMultilevel"/>
    <w:lvl w:ilvl="0">
      <w:lvlJc w:val="left"/>
      <w:lvlText w:val="%1."/>
      <w:numFmt w:val="decimal"/>
      <w:start w:val="15"/>
    </w:lvl>
  </w:abstractNum>
  <w:abstractNum w:abstractNumId="257">
    <w:nsid w:val="5BDA35D4"/>
    <w:multiLevelType w:val="hybridMultilevel"/>
    <w:lvl w:ilvl="0">
      <w:lvlJc w:val="left"/>
      <w:lvlText w:val="(%1)"/>
      <w:numFmt w:val="lowerLetter"/>
      <w:start w:val="1"/>
    </w:lvl>
  </w:abstractNum>
  <w:abstractNum w:abstractNumId="258">
    <w:nsid w:val="496FB218"/>
    <w:multiLevelType w:val="hybridMultilevel"/>
    <w:lvl w:ilvl="0">
      <w:lvlJc w:val="left"/>
      <w:lvlText w:val="%1."/>
      <w:numFmt w:val="decimal"/>
      <w:start w:val="16"/>
    </w:lvl>
  </w:abstractNum>
  <w:abstractNum w:abstractNumId="259">
    <w:nsid w:val="680EA5D1"/>
    <w:multiLevelType w:val="hybridMultilevel"/>
    <w:lvl w:ilvl="0">
      <w:lvlJc w:val="left"/>
      <w:lvlText w:val="(%1)"/>
      <w:numFmt w:val="lowerLetter"/>
      <w:start w:val="1"/>
    </w:lvl>
  </w:abstractNum>
  <w:abstractNum w:abstractNumId="260">
    <w:nsid w:val="4A9554FE"/>
    <w:multiLevelType w:val="hybridMultilevel"/>
    <w:lvl w:ilvl="0">
      <w:lvlJc w:val="left"/>
      <w:lvlText w:val="%1."/>
      <w:numFmt w:val="decimal"/>
      <w:start w:val="17"/>
    </w:lvl>
  </w:abstractNum>
  <w:abstractNum w:abstractNumId="261">
    <w:nsid w:val="392EDBE4"/>
    <w:multiLevelType w:val="hybridMultilevel"/>
    <w:lvl w:ilvl="0">
      <w:lvlJc w:val="left"/>
      <w:lvlText w:val="(%1)"/>
      <w:numFmt w:val="lowerLetter"/>
      <w:start w:val="1"/>
    </w:lvl>
  </w:abstractNum>
  <w:abstractNum w:abstractNumId="262">
    <w:nsid w:val="3D1A2DD9"/>
    <w:multiLevelType w:val="hybridMultilevel"/>
    <w:lvl w:ilvl="0">
      <w:lvlJc w:val="left"/>
      <w:lvlText w:val="%1."/>
      <w:numFmt w:val="upperLetter"/>
      <w:start w:val="1"/>
    </w:lvl>
  </w:abstractNum>
  <w:abstractNum w:abstractNumId="263">
    <w:nsid w:val="7F618FCD"/>
    <w:multiLevelType w:val="hybridMultilevel"/>
    <w:lvl w:ilvl="0">
      <w:lvlJc w:val="left"/>
      <w:lvlText w:val="%1."/>
      <w:numFmt w:val="decimal"/>
      <w:start w:val="1"/>
    </w:lvl>
  </w:abstractNum>
  <w:abstractNum w:abstractNumId="264">
    <w:nsid w:val="7843E45"/>
    <w:multiLevelType w:val="hybridMultilevel"/>
    <w:lvl w:ilvl="0">
      <w:lvlJc w:val="left"/>
      <w:lvlText w:val="%1."/>
      <w:numFmt w:val="decimal"/>
      <w:start w:val="2"/>
    </w:lvl>
  </w:abstractNum>
  <w:abstractNum w:abstractNumId="265">
    <w:nsid w:val="9815DA3"/>
    <w:multiLevelType w:val="hybridMultilevel"/>
    <w:lvl w:ilvl="0">
      <w:lvlJc w:val="left"/>
      <w:lvlText w:val="%1."/>
      <w:numFmt w:val="decimal"/>
      <w:start w:val="3"/>
    </w:lvl>
  </w:abstractNum>
  <w:abstractNum w:abstractNumId="266">
    <w:nsid w:val="5204A191"/>
    <w:multiLevelType w:val="hybridMultilevel"/>
    <w:lvl w:ilvl="0">
      <w:lvlJc w:val="left"/>
      <w:lvlText w:val="%1."/>
      <w:numFmt w:val="decimal"/>
      <w:start w:val="4"/>
    </w:lvl>
  </w:abstractNum>
  <w:abstractNum w:abstractNumId="267">
    <w:nsid w:val="4C73A9C6"/>
    <w:multiLevelType w:val="hybridMultilevel"/>
    <w:lvl w:ilvl="0">
      <w:lvlJc w:val="left"/>
      <w:lvlText w:val="%1."/>
      <w:numFmt w:val="decimal"/>
      <w:start w:val="5"/>
    </w:lvl>
  </w:abstractNum>
  <w:abstractNum w:abstractNumId="268">
    <w:nsid w:val="1C7E3C01"/>
    <w:multiLevelType w:val="hybridMultilevel"/>
    <w:lvl w:ilvl="0">
      <w:lvlJc w:val="left"/>
      <w:lvlText w:val="%1."/>
      <w:numFmt w:val="decimal"/>
      <w:start w:val="6"/>
    </w:lvl>
  </w:abstractNum>
  <w:abstractNum w:abstractNumId="269">
    <w:nsid w:val="1C2201FF"/>
    <w:multiLevelType w:val="hybridMultilevel"/>
    <w:lvl w:ilvl="0">
      <w:lvlJc w:val="left"/>
      <w:lvlText w:val="%1."/>
      <w:numFmt w:val="decimal"/>
      <w:start w:val="7"/>
    </w:lvl>
  </w:abstractNum>
  <w:abstractNum w:abstractNumId="270">
    <w:nsid w:val="50ABCEC9"/>
    <w:multiLevelType w:val="hybridMultilevel"/>
    <w:lvl w:ilvl="0">
      <w:lvlJc w:val="left"/>
      <w:lvlText w:val="%1."/>
      <w:numFmt w:val="decimal"/>
      <w:start w:val="8"/>
    </w:lvl>
  </w:abstractNum>
  <w:abstractNum w:abstractNumId="271">
    <w:nsid w:val="7635AA2A"/>
    <w:multiLevelType w:val="hybridMultilevel"/>
    <w:lvl w:ilvl="0">
      <w:lvlJc w:val="left"/>
      <w:lvlText w:val="%1"/>
      <w:numFmt w:val="decimal"/>
      <w:start w:val="1"/>
    </w:lvl>
    <w:lvl w:ilvl="1">
      <w:lvlJc w:val="left"/>
      <w:lvlText w:val="(%2)"/>
      <w:numFmt w:val="decimal"/>
      <w:start w:val="1"/>
    </w:lvl>
  </w:abstractNum>
  <w:abstractNum w:abstractNumId="272">
    <w:nsid w:val="5E74C4D9"/>
    <w:multiLevelType w:val="hybridMultilevel"/>
    <w:lvl w:ilvl="0">
      <w:lvlJc w:val="left"/>
      <w:lvlText w:val="%1."/>
      <w:numFmt w:val="decimal"/>
      <w:start w:val="9"/>
    </w:lvl>
    <w:lvl w:ilvl="1">
      <w:lvlJc w:val="left"/>
      <w:lvlText w:val="%2"/>
      <w:numFmt w:val="decimal"/>
      <w:start w:val="1"/>
    </w:lvl>
  </w:abstractNum>
  <w:abstractNum w:abstractNumId="273">
    <w:nsid w:val="3B3EBE15"/>
    <w:multiLevelType w:val="hybridMultilevel"/>
    <w:lvl w:ilvl="0">
      <w:lvlJc w:val="left"/>
      <w:lvlText w:val="(%1)"/>
      <w:numFmt w:val="lowerLetter"/>
      <w:start w:val="2"/>
    </w:lvl>
  </w:abstractNum>
  <w:abstractNum w:abstractNumId="274">
    <w:nsid w:val="3822CB01"/>
    <w:multiLevelType w:val="hybridMultilevel"/>
    <w:lvl w:ilvl="0">
      <w:lvlJc w:val="left"/>
      <w:lvlText w:val="%1."/>
      <w:numFmt w:val="decimal"/>
      <w:start w:val="1"/>
    </w:lvl>
  </w:abstractNum>
  <w:abstractNum w:abstractNumId="275">
    <w:nsid w:val="6CE00443"/>
    <w:multiLevelType w:val="hybridMultilevel"/>
    <w:lvl w:ilvl="0">
      <w:lvlJc w:val="left"/>
      <w:lvlText w:val="%1."/>
      <w:numFmt w:val="decimal"/>
      <w:start w:val="2"/>
    </w:lvl>
  </w:abstractNum>
  <w:abstractNum w:abstractNumId="276">
    <w:nsid w:val="79F0D62F"/>
    <w:multiLevelType w:val="hybridMultilevel"/>
    <w:lvl w:ilvl="0">
      <w:lvlJc w:val="left"/>
      <w:lvlText w:val="%1."/>
      <w:numFmt w:val="decimal"/>
      <w:start w:val="3"/>
    </w:lvl>
    <w:lvl w:ilvl="1">
      <w:lvlJc w:val="left"/>
      <w:lvlText w:val="•"/>
      <w:numFmt w:val="bullet"/>
      <w:start w:val="1"/>
    </w:lvl>
  </w:abstractNum>
  <w:abstractNum w:abstractNumId="277">
    <w:nsid w:val="7975E8EE"/>
    <w:multiLevelType w:val="hybridMultilevel"/>
    <w:lvl w:ilvl="0">
      <w:lvlJc w:val="left"/>
      <w:lvlText w:val="%1."/>
      <w:numFmt w:val="decimal"/>
      <w:start w:val="5"/>
    </w:lvl>
  </w:abstractNum>
  <w:abstractNum w:abstractNumId="278">
    <w:nsid w:val="73154115"/>
    <w:multiLevelType w:val="hybridMultilevel"/>
    <w:lvl w:ilvl="0">
      <w:lvlJc w:val="left"/>
      <w:lvlText w:val="%1."/>
      <w:numFmt w:val="decimal"/>
      <w:start w:val="1"/>
    </w:lvl>
  </w:abstractNum>
  <w:abstractNum w:abstractNumId="279">
    <w:nsid w:val="622D8102"/>
    <w:multiLevelType w:val="hybridMultilevel"/>
    <w:lvl w:ilvl="0">
      <w:lvlJc w:val="left"/>
      <w:lvlText w:val="%1."/>
      <w:numFmt w:val="decimal"/>
      <w:start w:val="3"/>
    </w:lvl>
  </w:abstractNum>
  <w:abstractNum w:abstractNumId="280">
    <w:nsid w:val="2AB26587"/>
    <w:multiLevelType w:val="hybridMultilevel"/>
    <w:lvl w:ilvl="0">
      <w:lvlJc w:val="left"/>
      <w:lvlText w:val="%1."/>
      <w:numFmt w:val="decimal"/>
      <w:start w:val="4"/>
    </w:lvl>
  </w:abstractNum>
  <w:abstractNum w:abstractNumId="281">
    <w:nsid w:val="44B3FA61"/>
    <w:multiLevelType w:val="hybridMultilevel"/>
    <w:lvl w:ilvl="0">
      <w:lvlJc w:val="left"/>
      <w:lvlText w:val="%1."/>
      <w:numFmt w:val="decimal"/>
      <w:start w:val="5"/>
    </w:lvl>
  </w:abstractNum>
  <w:abstractNum w:abstractNumId="282">
    <w:nsid w:val="1C0CA67C"/>
    <w:multiLevelType w:val="hybridMultilevel"/>
    <w:lvl w:ilvl="0">
      <w:lvlJc w:val="left"/>
      <w:lvlText w:val="%1."/>
      <w:numFmt w:val="decimal"/>
      <w:start w:val="6"/>
    </w:lvl>
  </w:abstractNum>
  <w:abstractNum w:abstractNumId="283">
    <w:nsid w:val="3D206613"/>
    <w:multiLevelType w:val="hybridMultilevel"/>
    <w:lvl w:ilvl="0">
      <w:lvlJc w:val="left"/>
      <w:lvlText w:val="%1."/>
      <w:numFmt w:val="decimal"/>
      <w:start w:val="7"/>
    </w:lvl>
  </w:abstractNum>
  <w:abstractNum w:abstractNumId="284">
    <w:nsid w:val="7993B662"/>
    <w:multiLevelType w:val="hybridMultilevel"/>
    <w:lvl w:ilvl="0">
      <w:lvlJc w:val="left"/>
      <w:lvlText w:val="%1."/>
      <w:numFmt w:val="decimal"/>
      <w:start w:val="8"/>
    </w:lvl>
  </w:abstractNum>
  <w:abstractNum w:abstractNumId="285">
    <w:nsid w:val="3BAB699E"/>
    <w:multiLevelType w:val="hybridMultilevel"/>
    <w:lvl w:ilvl="0">
      <w:lvlJc w:val="left"/>
      <w:lvlText w:val="%1."/>
      <w:numFmt w:val="decimal"/>
      <w:start w:val="9"/>
    </w:lvl>
  </w:abstractNum>
  <w:abstractNum w:abstractNumId="286">
    <w:nsid w:val="71315369"/>
    <w:multiLevelType w:val="hybridMultilevel"/>
    <w:lvl w:ilvl="0">
      <w:lvlJc w:val="left"/>
      <w:lvlText w:val="%1"/>
      <w:numFmt w:val="decimal"/>
      <w:start w:val="1"/>
    </w:lvl>
    <w:lvl w:ilvl="1">
      <w:lvlJc w:val="left"/>
      <w:lvlText w:val="(%2)"/>
      <w:numFmt w:val="lowerLetter"/>
      <w:start w:val="1"/>
    </w:lvl>
  </w:abstractNum>
  <w:abstractNum w:abstractNumId="287">
    <w:nsid w:val="7BCFBAFC"/>
    <w:multiLevelType w:val="hybridMultilevel"/>
    <w:lvl w:ilvl="0">
      <w:lvlJc w:val="left"/>
      <w:lvlText w:val="%1."/>
      <w:numFmt w:val="decimal"/>
      <w:start w:val="10"/>
    </w:lvl>
    <w:lvl w:ilvl="1">
      <w:lvlJc w:val="left"/>
      <w:lvlText w:val="%2"/>
      <w:numFmt w:val="lowerLetter"/>
      <w:start w:val="1"/>
    </w:lvl>
  </w:abstractNum>
  <w:abstractNum w:abstractNumId="288">
    <w:nsid w:val="17859F72"/>
    <w:multiLevelType w:val="hybridMultilevel"/>
    <w:lvl w:ilvl="0">
      <w:lvlJc w:val="left"/>
      <w:lvlText w:val="%1."/>
      <w:numFmt w:val="decimal"/>
      <w:start w:val="11"/>
    </w:lvl>
  </w:abstractNum>
  <w:abstractNum w:abstractNumId="289">
    <w:nsid w:val="3AA10581"/>
    <w:multiLevelType w:val="hybridMultilevel"/>
    <w:lvl w:ilvl="0">
      <w:lvlJc w:val="left"/>
      <w:lvlText w:val="%1"/>
      <w:numFmt w:val="decimal"/>
      <w:start w:val="1"/>
    </w:lvl>
    <w:lvl w:ilvl="1">
      <w:lvlJc w:val="left"/>
      <w:lvlText w:val="(%2)"/>
      <w:numFmt w:val="lowerLetter"/>
      <w:start w:val="1"/>
    </w:lvl>
  </w:abstractNum>
  <w:abstractNum w:abstractNumId="290">
    <w:nsid w:val="63DE60CD"/>
    <w:multiLevelType w:val="hybridMultilevel"/>
    <w:lvl w:ilvl="0">
      <w:lvlJc w:val="left"/>
      <w:lvlText w:val="%1."/>
      <w:numFmt w:val="decimal"/>
      <w:start w:val="12"/>
    </w:lvl>
    <w:lvl w:ilvl="1">
      <w:lvlJc w:val="left"/>
      <w:lvlText w:val="%2"/>
      <w:numFmt w:val="lowerLetter"/>
      <w:start w:val="1"/>
    </w:lvl>
  </w:abstractNum>
  <w:abstractNum w:abstractNumId="291">
    <w:nsid w:val="621AF471"/>
    <w:multiLevelType w:val="hybridMultilevel"/>
    <w:lvl w:ilvl="0">
      <w:lvlJc w:val="left"/>
      <w:lvlText w:val="%1."/>
      <w:numFmt w:val="decimal"/>
      <w:start w:val="13"/>
    </w:lvl>
  </w:abstractNum>
  <w:abstractNum w:abstractNumId="292">
    <w:nsid w:val="73CFE165"/>
    <w:multiLevelType w:val="hybridMultilevel"/>
    <w:lvl w:ilvl="0">
      <w:lvlJc w:val="left"/>
      <w:lvlText w:val="(%1)"/>
      <w:numFmt w:val="lowerLetter"/>
      <w:start w:val="1"/>
    </w:lvl>
  </w:abstractNum>
  <w:abstractNum w:abstractNumId="293">
    <w:nsid w:val="20F88EA6"/>
    <w:multiLevelType w:val="hybridMultilevel"/>
    <w:lvl w:ilvl="0">
      <w:lvlJc w:val="left"/>
      <w:lvlText w:val="(%1)"/>
      <w:numFmt w:val="lowerRoman"/>
      <w:start w:val="1"/>
    </w:lvl>
  </w:abstractNum>
  <w:abstractNum w:abstractNumId="294">
    <w:nsid w:val="617C843E"/>
    <w:multiLevelType w:val="hybridMultilevel"/>
    <w:lvl w:ilvl="0">
      <w:lvlJc w:val="left"/>
      <w:lvlText w:val="%1."/>
      <w:numFmt w:val="decimal"/>
      <w:start w:val="14"/>
    </w:lvl>
  </w:abstractNum>
  <w:abstractNum w:abstractNumId="295">
    <w:nsid w:val="7B541FAB"/>
    <w:multiLevelType w:val="hybridMultilevel"/>
    <w:lvl w:ilvl="0">
      <w:lvlJc w:val="left"/>
      <w:lvlText w:val="(%1)"/>
      <w:numFmt w:val="lowerLetter"/>
      <w:start w:val="1"/>
    </w:lvl>
  </w:abstractNum>
  <w:abstractNum w:abstractNumId="296">
    <w:nsid w:val="2A79EC49"/>
    <w:multiLevelType w:val="hybridMultilevel"/>
    <w:lvl w:ilvl="0">
      <w:lvlJc w:val="left"/>
      <w:lvlText w:val="%1."/>
      <w:numFmt w:val="decimal"/>
      <w:start w:val="15"/>
    </w:lvl>
  </w:abstractNum>
  <w:abstractNum w:abstractNumId="297">
    <w:nsid w:val="338125CF"/>
    <w:multiLevelType w:val="hybridMultilevel"/>
    <w:lvl w:ilvl="0">
      <w:lvlJc w:val="left"/>
      <w:lvlText w:val="(%1)"/>
      <w:numFmt w:val="lowerLetter"/>
      <w:start w:val="1"/>
    </w:lvl>
  </w:abstractNum>
  <w:abstractNum w:abstractNumId="298">
    <w:nsid w:val="47C7C971"/>
    <w:multiLevelType w:val="hybridMultilevel"/>
    <w:lvl w:ilvl="0">
      <w:lvlJc w:val="left"/>
      <w:lvlText w:val="%1."/>
      <w:numFmt w:val="decimal"/>
      <w:start w:val="16"/>
    </w:lvl>
  </w:abstractNum>
  <w:abstractNum w:abstractNumId="299">
    <w:nsid w:val="46F8284B"/>
    <w:multiLevelType w:val="hybridMultilevel"/>
    <w:lvl w:ilvl="0">
      <w:lvlJc w:val="left"/>
      <w:lvlText w:val="(%1)"/>
      <w:numFmt w:val="lowerLetter"/>
      <w:start w:val="1"/>
    </w:lvl>
  </w:abstractNum>
  <w:abstractNum w:abstractNumId="300">
    <w:nsid w:val="4FA327CE"/>
    <w:multiLevelType w:val="hybridMultilevel"/>
    <w:lvl w:ilvl="0">
      <w:lvlJc w:val="left"/>
      <w:lvlText w:val="%1."/>
      <w:numFmt w:val="decimal"/>
      <w:start w:val="17"/>
    </w:lvl>
  </w:abstractNum>
  <w:abstractNum w:abstractNumId="301">
    <w:nsid w:val="1873983A"/>
    <w:multiLevelType w:val="hybridMultilevel"/>
    <w:lvl w:ilvl="0">
      <w:lvlJc w:val="left"/>
      <w:lvlText w:val="(%1)"/>
      <w:numFmt w:val="lowerLetter"/>
      <w:start w:val="1"/>
    </w:lvl>
  </w:abstractNum>
  <w:abstractNum w:abstractNumId="302">
    <w:nsid w:val="3D2DD275"/>
    <w:multiLevelType w:val="hybridMultilevel"/>
    <w:lvl w:ilvl="0">
      <w:lvlJc w:val="left"/>
      <w:lvlText w:val="(%1)"/>
      <w:numFmt w:val="decimal"/>
      <w:start w:val="1"/>
    </w:lvl>
    <w:lvl w:ilvl="1">
      <w:lvlJc w:val="left"/>
      <w:lvlText w:val="(%2)"/>
      <w:numFmt w:val="lowerRoman"/>
      <w:start w:val="3"/>
    </w:lvl>
  </w:abstractNum>
  <w:abstractNum w:abstractNumId="303">
    <w:nsid w:val="2E17ECA7"/>
    <w:multiLevelType w:val="hybridMultilevel"/>
    <w:lvl w:ilvl="0">
      <w:lvlJc w:val="left"/>
      <w:lvlText w:val="%1"/>
      <w:numFmt w:val="decimal"/>
      <w:start w:val="1"/>
    </w:lvl>
    <w:lvl w:ilvl="1">
      <w:lvlJc w:val="left"/>
      <w:lvlText w:val="(%2)"/>
      <w:numFmt w:val="lowerRoman"/>
      <w:start w:val="5"/>
    </w:lvl>
  </w:abstractNum>
  <w:abstractNum w:abstractNumId="304">
    <w:nsid w:val="53B2564F"/>
    <w:multiLevelType w:val="hybridMultilevel"/>
    <w:lvl w:ilvl="0">
      <w:lvlJc w:val="left"/>
      <w:lvlText w:val="(%1)"/>
      <w:numFmt w:val="decimal"/>
      <w:start w:val="5"/>
    </w:lvl>
    <w:lvl w:ilvl="1">
      <w:lvlJc w:val="left"/>
      <w:lvlText w:val="%2"/>
      <w:numFmt w:val="lowerRoman"/>
      <w:start w:val="1"/>
    </w:lvl>
  </w:abstractNum>
  <w:abstractNum w:abstractNumId="305">
    <w:nsid w:val="75509D7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8" Type="http://schemas.openxmlformats.org/officeDocument/2006/relationships/image" Target="media/image425.png"/><Relationship Id="rId454" Type="http://schemas.openxmlformats.org/officeDocument/2006/relationships/image" Target="media/image426.png"/><Relationship Id="rId468" Type="http://schemas.openxmlformats.org/officeDocument/2006/relationships/image" Target="media/image427.png"/><Relationship Id="rId481" Type="http://schemas.openxmlformats.org/officeDocument/2006/relationships/image" Target="media/image428.png"/><Relationship Id="rId498" Type="http://schemas.openxmlformats.org/officeDocument/2006/relationships/image" Target="media/image429.png"/><Relationship Id="rId518" Type="http://schemas.openxmlformats.org/officeDocument/2006/relationships/image" Target="media/image430.png"/><Relationship Id="rId533" Type="http://schemas.openxmlformats.org/officeDocument/2006/relationships/image" Target="media/image431.png"/><Relationship Id="rId544" Type="http://schemas.openxmlformats.org/officeDocument/2006/relationships/image" Target="media/image432.png"/><Relationship Id="rId545" Type="http://schemas.openxmlformats.org/officeDocument/2006/relationships/image" Target="media/image433.png"/><Relationship Id="rId546" Type="http://schemas.openxmlformats.org/officeDocument/2006/relationships/image" Target="media/image434.png"/><Relationship Id="rId547" Type="http://schemas.openxmlformats.org/officeDocument/2006/relationships/image" Target="media/image435.png"/><Relationship Id="rId548" Type="http://schemas.openxmlformats.org/officeDocument/2006/relationships/image" Target="media/image436.png"/><Relationship Id="rId549" Type="http://schemas.openxmlformats.org/officeDocument/2006/relationships/image" Target="media/image437.png"/><Relationship Id="rId550" Type="http://schemas.openxmlformats.org/officeDocument/2006/relationships/image" Target="media/image438.png"/><Relationship Id="rId551" Type="http://schemas.openxmlformats.org/officeDocument/2006/relationships/image" Target="media/image439.png"/><Relationship Id="rId552" Type="http://schemas.openxmlformats.org/officeDocument/2006/relationships/image" Target="media/image440.png"/><Relationship Id="rId553" Type="http://schemas.openxmlformats.org/officeDocument/2006/relationships/image" Target="media/image441.jpeg"/><Relationship Id="rId554" Type="http://schemas.openxmlformats.org/officeDocument/2006/relationships/image" Target="media/image442.png"/><Relationship Id="rId555" Type="http://schemas.openxmlformats.org/officeDocument/2006/relationships/image" Target="media/image443.jpeg"/><Relationship Id="rId556" Type="http://schemas.openxmlformats.org/officeDocument/2006/relationships/image" Target="media/image444.png"/><Relationship Id="rId557" Type="http://schemas.openxmlformats.org/officeDocument/2006/relationships/image" Target="media/image445.jpeg"/><Relationship Id="rId558" Type="http://schemas.openxmlformats.org/officeDocument/2006/relationships/image" Target="media/image446.png"/><Relationship Id="rId559" Type="http://schemas.openxmlformats.org/officeDocument/2006/relationships/image" Target="media/image447.jpeg"/><Relationship Id="rId560" Type="http://schemas.openxmlformats.org/officeDocument/2006/relationships/image" Target="media/image448.png"/><Relationship Id="rId561" Type="http://schemas.openxmlformats.org/officeDocument/2006/relationships/image" Target="media/image449.jpeg"/><Relationship Id="rId562" Type="http://schemas.openxmlformats.org/officeDocument/2006/relationships/image" Target="media/image450.png"/><Relationship Id="rId563" Type="http://schemas.openxmlformats.org/officeDocument/2006/relationships/image" Target="media/image451.jpeg"/><Relationship Id="rId564" Type="http://schemas.openxmlformats.org/officeDocument/2006/relationships/image" Target="media/image452.png"/><Relationship Id="rId565" Type="http://schemas.openxmlformats.org/officeDocument/2006/relationships/image" Target="media/image453.jpeg"/><Relationship Id="rId566" Type="http://schemas.openxmlformats.org/officeDocument/2006/relationships/image" Target="media/image454.png"/><Relationship Id="rId567" Type="http://schemas.openxmlformats.org/officeDocument/2006/relationships/image" Target="media/image455.jpeg"/><Relationship Id="rId568" Type="http://schemas.openxmlformats.org/officeDocument/2006/relationships/image" Target="media/image456.png"/><Relationship Id="rId569" Type="http://schemas.openxmlformats.org/officeDocument/2006/relationships/image" Target="media/image457.png"/><Relationship Id="rId570" Type="http://schemas.openxmlformats.org/officeDocument/2006/relationships/image" Target="media/image458.png"/><Relationship Id="rId571" Type="http://schemas.openxmlformats.org/officeDocument/2006/relationships/image" Target="media/image459.png"/><Relationship Id="rId572" Type="http://schemas.openxmlformats.org/officeDocument/2006/relationships/image" Target="media/image460.jpeg"/><Relationship Id="rId573" Type="http://schemas.openxmlformats.org/officeDocument/2006/relationships/image" Target="media/image461.png"/><Relationship Id="rId574" Type="http://schemas.openxmlformats.org/officeDocument/2006/relationships/image" Target="media/image462.jpeg"/><Relationship Id="rId575" Type="http://schemas.openxmlformats.org/officeDocument/2006/relationships/image" Target="media/image463.png"/><Relationship Id="rId576" Type="http://schemas.openxmlformats.org/officeDocument/2006/relationships/image" Target="media/image464.jpeg"/><Relationship Id="rId577" Type="http://schemas.openxmlformats.org/officeDocument/2006/relationships/image" Target="media/image465.png"/><Relationship Id="rId578" Type="http://schemas.openxmlformats.org/officeDocument/2006/relationships/image" Target="media/image466.jpeg"/><Relationship Id="rId579" Type="http://schemas.openxmlformats.org/officeDocument/2006/relationships/image" Target="media/image467.png"/><Relationship Id="rId580" Type="http://schemas.openxmlformats.org/officeDocument/2006/relationships/image" Target="media/image468.jpeg"/><Relationship Id="rId581" Type="http://schemas.openxmlformats.org/officeDocument/2006/relationships/image" Target="media/image469.png"/><Relationship Id="rId582" Type="http://schemas.openxmlformats.org/officeDocument/2006/relationships/image" Target="media/image470.jpeg"/><Relationship Id="rId583" Type="http://schemas.openxmlformats.org/officeDocument/2006/relationships/image" Target="media/image471.png"/><Relationship Id="rId584" Type="http://schemas.openxmlformats.org/officeDocument/2006/relationships/image" Target="media/image472.jpeg"/><Relationship Id="rId585" Type="http://schemas.openxmlformats.org/officeDocument/2006/relationships/image" Target="media/image473.png"/><Relationship Id="rId586" Type="http://schemas.openxmlformats.org/officeDocument/2006/relationships/image" Target="media/image474.png"/><Relationship Id="rId587" Type="http://schemas.openxmlformats.org/officeDocument/2006/relationships/image" Target="media/image475.jpeg"/><Relationship Id="rId588" Type="http://schemas.openxmlformats.org/officeDocument/2006/relationships/image" Target="media/image476.png"/><Relationship Id="rId589" Type="http://schemas.openxmlformats.org/officeDocument/2006/relationships/image" Target="media/image477.jpeg"/><Relationship Id="rId590" Type="http://schemas.openxmlformats.org/officeDocument/2006/relationships/image" Target="media/image478.png"/><Relationship Id="rId591" Type="http://schemas.openxmlformats.org/officeDocument/2006/relationships/image" Target="media/image479.jpeg"/><Relationship Id="rId592" Type="http://schemas.openxmlformats.org/officeDocument/2006/relationships/image" Target="media/image480.png"/><Relationship Id="rId593" Type="http://schemas.openxmlformats.org/officeDocument/2006/relationships/image" Target="media/image481.jpeg"/><Relationship Id="rId594" Type="http://schemas.openxmlformats.org/officeDocument/2006/relationships/image" Target="media/image482.png"/><Relationship Id="rId595" Type="http://schemas.openxmlformats.org/officeDocument/2006/relationships/image" Target="media/image483.jpeg"/><Relationship Id="rId596" Type="http://schemas.openxmlformats.org/officeDocument/2006/relationships/image" Target="media/image484.png"/><Relationship Id="rId597" Type="http://schemas.openxmlformats.org/officeDocument/2006/relationships/image" Target="media/image485.jpeg"/><Relationship Id="rId598" Type="http://schemas.openxmlformats.org/officeDocument/2006/relationships/image" Target="media/image486.png"/><Relationship Id="rId599" Type="http://schemas.openxmlformats.org/officeDocument/2006/relationships/image" Target="media/image487.jpeg"/><Relationship Id="rId600" Type="http://schemas.openxmlformats.org/officeDocument/2006/relationships/image" Target="media/image488.png"/><Relationship Id="rId601" Type="http://schemas.openxmlformats.org/officeDocument/2006/relationships/image" Target="media/image489.jpeg"/><Relationship Id="rId602" Type="http://schemas.openxmlformats.org/officeDocument/2006/relationships/image" Target="media/image490.png"/><Relationship Id="rId603" Type="http://schemas.openxmlformats.org/officeDocument/2006/relationships/image" Target="media/image491.jpeg"/><Relationship Id="rId604" Type="http://schemas.openxmlformats.org/officeDocument/2006/relationships/image" Target="media/image492.png"/><Relationship Id="rId605" Type="http://schemas.openxmlformats.org/officeDocument/2006/relationships/image" Target="media/image493.jpeg"/><Relationship Id="rId606" Type="http://schemas.openxmlformats.org/officeDocument/2006/relationships/image" Target="media/image494.png"/><Relationship Id="rId607" Type="http://schemas.openxmlformats.org/officeDocument/2006/relationships/image" Target="media/image495.jpeg"/><Relationship Id="rId608" Type="http://schemas.openxmlformats.org/officeDocument/2006/relationships/image" Target="media/image496.png"/><Relationship Id="rId609" Type="http://schemas.openxmlformats.org/officeDocument/2006/relationships/image" Target="media/image497.jpeg"/><Relationship Id="rId610" Type="http://schemas.openxmlformats.org/officeDocument/2006/relationships/image" Target="media/image498.png"/><Relationship Id="rId611" Type="http://schemas.openxmlformats.org/officeDocument/2006/relationships/image" Target="media/image499.jpeg"/><Relationship Id="rId612" Type="http://schemas.openxmlformats.org/officeDocument/2006/relationships/image" Target="media/image500.png"/><Relationship Id="rId613" Type="http://schemas.openxmlformats.org/officeDocument/2006/relationships/image" Target="media/image501.jpeg"/><Relationship Id="rId614" Type="http://schemas.openxmlformats.org/officeDocument/2006/relationships/image" Target="media/image502.png"/><Relationship Id="rId615" Type="http://schemas.openxmlformats.org/officeDocument/2006/relationships/image" Target="media/image503.png"/><Relationship Id="rId616" Type="http://schemas.openxmlformats.org/officeDocument/2006/relationships/image" Target="media/image504.png"/><Relationship Id="rId617" Type="http://schemas.openxmlformats.org/officeDocument/2006/relationships/image" Target="media/image505.png"/><Relationship Id="rId618" Type="http://schemas.openxmlformats.org/officeDocument/2006/relationships/image" Target="media/image506.png"/><Relationship Id="rId619" Type="http://schemas.openxmlformats.org/officeDocument/2006/relationships/image" Target="media/image507.png"/><Relationship Id="rId620" Type="http://schemas.openxmlformats.org/officeDocument/2006/relationships/image" Target="media/image508.png"/><Relationship Id="rId621" Type="http://schemas.openxmlformats.org/officeDocument/2006/relationships/image" Target="media/image509.png"/><Relationship Id="rId622" Type="http://schemas.openxmlformats.org/officeDocument/2006/relationships/image" Target="media/image510.png"/><Relationship Id="rId623" Type="http://schemas.openxmlformats.org/officeDocument/2006/relationships/image" Target="media/image511.png"/><Relationship Id="rId624" Type="http://schemas.openxmlformats.org/officeDocument/2006/relationships/image" Target="media/image512.png"/><Relationship Id="rId625" Type="http://schemas.openxmlformats.org/officeDocument/2006/relationships/image" Target="media/image513.png"/><Relationship Id="rId626" Type="http://schemas.openxmlformats.org/officeDocument/2006/relationships/image" Target="media/image514.png"/><Relationship Id="rId627" Type="http://schemas.openxmlformats.org/officeDocument/2006/relationships/image" Target="media/image515.png"/><Relationship Id="rId628" Type="http://schemas.openxmlformats.org/officeDocument/2006/relationships/image" Target="media/image516.png"/><Relationship Id="rId629" Type="http://schemas.openxmlformats.org/officeDocument/2006/relationships/image" Target="media/image517.png"/><Relationship Id="rId630" Type="http://schemas.openxmlformats.org/officeDocument/2006/relationships/image" Target="media/image518.png"/><Relationship Id="rId631" Type="http://schemas.openxmlformats.org/officeDocument/2006/relationships/image" Target="media/image519.png"/><Relationship Id="rId632" Type="http://schemas.openxmlformats.org/officeDocument/2006/relationships/image" Target="media/image520.png"/><Relationship Id="rId633" Type="http://schemas.openxmlformats.org/officeDocument/2006/relationships/image" Target="media/image521.png"/><Relationship Id="rId634" Type="http://schemas.openxmlformats.org/officeDocument/2006/relationships/image" Target="media/image522.png"/><Relationship Id="rId635" Type="http://schemas.openxmlformats.org/officeDocument/2006/relationships/image" Target="media/image523.png"/><Relationship Id="rId636" Type="http://schemas.openxmlformats.org/officeDocument/2006/relationships/image" Target="media/image524.png"/><Relationship Id="rId637" Type="http://schemas.openxmlformats.org/officeDocument/2006/relationships/image" Target="media/image525.png"/><Relationship Id="rId638" Type="http://schemas.openxmlformats.org/officeDocument/2006/relationships/image" Target="media/image526.png"/><Relationship Id="rId639" Type="http://schemas.openxmlformats.org/officeDocument/2006/relationships/image" Target="media/image527.png"/><Relationship Id="rId640" Type="http://schemas.openxmlformats.org/officeDocument/2006/relationships/image" Target="media/image528.png"/><Relationship Id="rId641" Type="http://schemas.openxmlformats.org/officeDocument/2006/relationships/image" Target="media/image529.png"/><Relationship Id="rId642" Type="http://schemas.openxmlformats.org/officeDocument/2006/relationships/image" Target="media/image530.png"/><Relationship Id="rId643" Type="http://schemas.openxmlformats.org/officeDocument/2006/relationships/image" Target="media/image531.png"/><Relationship Id="rId644" Type="http://schemas.openxmlformats.org/officeDocument/2006/relationships/image" Target="media/image532.png"/><Relationship Id="rId645" Type="http://schemas.openxmlformats.org/officeDocument/2006/relationships/image" Target="media/image533.png"/><Relationship Id="rId646" Type="http://schemas.openxmlformats.org/officeDocument/2006/relationships/image" Target="media/image534.png"/><Relationship Id="rId647" Type="http://schemas.openxmlformats.org/officeDocument/2006/relationships/image" Target="media/image535.png"/><Relationship Id="rId648" Type="http://schemas.openxmlformats.org/officeDocument/2006/relationships/image" Target="media/image536.png"/><Relationship Id="rId649" Type="http://schemas.openxmlformats.org/officeDocument/2006/relationships/image" Target="media/image537.png"/><Relationship Id="rId650" Type="http://schemas.openxmlformats.org/officeDocument/2006/relationships/image" Target="media/image538.png"/><Relationship Id="rId651" Type="http://schemas.openxmlformats.org/officeDocument/2006/relationships/image" Target="media/image539.png"/><Relationship Id="rId652" Type="http://schemas.openxmlformats.org/officeDocument/2006/relationships/image" Target="media/image540.png"/><Relationship Id="rId653" Type="http://schemas.openxmlformats.org/officeDocument/2006/relationships/image" Target="media/image541.png"/><Relationship Id="rId654" Type="http://schemas.openxmlformats.org/officeDocument/2006/relationships/image" Target="media/image542.png"/><Relationship Id="rId655" Type="http://schemas.openxmlformats.org/officeDocument/2006/relationships/image" Target="media/image543.png"/><Relationship Id="rId656" Type="http://schemas.openxmlformats.org/officeDocument/2006/relationships/image" Target="media/image544.png"/><Relationship Id="rId657" Type="http://schemas.openxmlformats.org/officeDocument/2006/relationships/image" Target="media/image545.png"/><Relationship Id="rId658" Type="http://schemas.openxmlformats.org/officeDocument/2006/relationships/image" Target="media/image546.png"/><Relationship Id="rId659" Type="http://schemas.openxmlformats.org/officeDocument/2006/relationships/image" Target="media/image547.png"/><Relationship Id="rId660" Type="http://schemas.openxmlformats.org/officeDocument/2006/relationships/image" Target="media/image548.png"/><Relationship Id="rId661" Type="http://schemas.openxmlformats.org/officeDocument/2006/relationships/image" Target="media/image549.png"/><Relationship Id="rId662" Type="http://schemas.openxmlformats.org/officeDocument/2006/relationships/image" Target="media/image550.png"/><Relationship Id="rId663" Type="http://schemas.openxmlformats.org/officeDocument/2006/relationships/image" Target="media/image551.png"/><Relationship Id="rId664" Type="http://schemas.openxmlformats.org/officeDocument/2006/relationships/image" Target="media/image552.png"/><Relationship Id="rId665" Type="http://schemas.openxmlformats.org/officeDocument/2006/relationships/image" Target="media/image553.png"/><Relationship Id="rId666" Type="http://schemas.openxmlformats.org/officeDocument/2006/relationships/image" Target="media/image554.png"/><Relationship Id="rId667" Type="http://schemas.openxmlformats.org/officeDocument/2006/relationships/image" Target="media/image555.png"/><Relationship Id="rId668" Type="http://schemas.openxmlformats.org/officeDocument/2006/relationships/image" Target="media/image556.png"/><Relationship Id="rId669" Type="http://schemas.openxmlformats.org/officeDocument/2006/relationships/image" Target="media/image557.png"/><Relationship Id="rId670" Type="http://schemas.openxmlformats.org/officeDocument/2006/relationships/image" Target="media/image558.png"/><Relationship Id="rId671" Type="http://schemas.openxmlformats.org/officeDocument/2006/relationships/image" Target="media/image559.png"/><Relationship Id="rId672" Type="http://schemas.openxmlformats.org/officeDocument/2006/relationships/image" Target="media/image560.png"/><Relationship Id="rId673" Type="http://schemas.openxmlformats.org/officeDocument/2006/relationships/image" Target="media/image561.png"/><Relationship Id="rId674" Type="http://schemas.openxmlformats.org/officeDocument/2006/relationships/image" Target="media/image562.png"/><Relationship Id="rId432" Type="http://schemas.openxmlformats.org/officeDocument/2006/relationships/hyperlink" Target="http://www.sec.gov/Archives/edgar/data/1884082/000119312522156731/d239003df4a.htm#tx239003_501" TargetMode="External"/><Relationship Id="rId433" Type="http://schemas.openxmlformats.org/officeDocument/2006/relationships/hyperlink" Target="http://www.sec.gov/Archives/edgar/data/1884082/000119312522156731/d239003df4a.htm#tx239003_601" TargetMode="External"/><Relationship Id="rId434" Type="http://schemas.openxmlformats.org/officeDocument/2006/relationships/hyperlink" Target="http://www.sec.gov/Archives/edgar/data/1884082/000119312522156731/d239003df4a.htm#tx239003_611" TargetMode="External"/><Relationship Id="rId435" Type="http://schemas.openxmlformats.org/officeDocument/2006/relationships/hyperlink" Target="http://www.sec.gov/Archives/edgar/data/1884082/000119312522156731/d239003df4a.htm#tx239003_1b" TargetMode="External"/><Relationship Id="rId436" Type="http://schemas.openxmlformats.org/officeDocument/2006/relationships/hyperlink" Target="http://www.sec.gov/Archives/edgar/data/1847127/000119312522182018/d371785dex41.htm" TargetMode="External"/><Relationship Id="rId437" Type="http://schemas.openxmlformats.org/officeDocument/2006/relationships/hyperlink" Target="http://www.sec.gov/Archives/edgar/data/1472033/000119380522000466/e621422_ex99-a.htm" TargetMode="External"/><Relationship Id="rId439" Type="http://schemas.openxmlformats.org/officeDocument/2006/relationships/hyperlink" Target="http://www.sec.gov/Archives/edgar/data/1884082/000119312522085479/d239003dex42.htm" TargetMode="External"/><Relationship Id="rId440" Type="http://schemas.openxmlformats.org/officeDocument/2006/relationships/hyperlink" Target="http://www.sec.gov/Archives/edgar/data/1884082/000119312522085479/d239003dex44.htm" TargetMode="External"/><Relationship Id="rId441" Type="http://schemas.openxmlformats.org/officeDocument/2006/relationships/hyperlink" Target="http://www.sec.gov/Archives/edgar/data/1884082/000119312522085479/d239003dex46.htm" TargetMode="External"/><Relationship Id="rId442" Type="http://schemas.openxmlformats.org/officeDocument/2006/relationships/hyperlink" Target="http://www.sec.gov/Archives/edgar/data/0001884082/000119312522066540/d239003df4a.htm#tx239003_503" TargetMode="External"/><Relationship Id="rId443" Type="http://schemas.openxmlformats.org/officeDocument/2006/relationships/hyperlink" Target="http://www.sec.gov/Archives/edgar/data/1884082/000119312522156731/d239003df4a.htm#tx239003_503a" TargetMode="External"/><Relationship Id="rId444" Type="http://schemas.openxmlformats.org/officeDocument/2006/relationships/hyperlink" Target="http://www.sec.gov/Archives/edgar/data/1884082/000119312522066540/d239003df4a.htm#tx239003_503" TargetMode="External"/><Relationship Id="rId445" Type="http://schemas.openxmlformats.org/officeDocument/2006/relationships/hyperlink" Target="http://www.sec.gov/Archives/edgar/data/1884082/000119312522156731/d239003df4a.htm#tx239003_506" TargetMode="External"/><Relationship Id="rId446" Type="http://schemas.openxmlformats.org/officeDocument/2006/relationships/hyperlink" Target="http://www.sec.gov/Archives/edgar/data/0001884082/000119312522066540/d239003df4a.htm#tx239003_510" TargetMode="External"/><Relationship Id="rId447" Type="http://schemas.openxmlformats.org/officeDocument/2006/relationships/hyperlink" Target="http://www.sec.gov/Archives/edgar/data/0001884082/000119312522066540/d239003df4a.htm#tx239003_509" TargetMode="External"/><Relationship Id="rId448" Type="http://schemas.openxmlformats.org/officeDocument/2006/relationships/hyperlink" Target="http://www.sec.gov/Archives/edgar/data/0001884082/000119312522066540/d239003df4a.htm#tx239003_507" TargetMode="External"/><Relationship Id="rId449" Type="http://schemas.openxmlformats.org/officeDocument/2006/relationships/hyperlink" Target="http://www.sec.gov/Archives/edgar/data/0001884082/000119312522023680/d239003dex105.htm" TargetMode="External"/><Relationship Id="rId450" Type="http://schemas.openxmlformats.org/officeDocument/2006/relationships/hyperlink" Target="http://www.sec.gov/Archives/edgar/data/0001884082/000119312522066540/d239003df4a.htm#tx239003_58" TargetMode="External"/><Relationship Id="rId451" Type="http://schemas.openxmlformats.org/officeDocument/2006/relationships/hyperlink" Target="http://www.sec.gov/Archives/edgar/data/0001884082/000119312522185122/d305041dex411.htm" TargetMode="External"/><Relationship Id="rId452" Type="http://schemas.openxmlformats.org/officeDocument/2006/relationships/hyperlink" Target="http://www.sec.gov/Archives/edgar/data/0001884082/000119312522023680/d239003dex108.htm" TargetMode="External"/><Relationship Id="rId453" Type="http://schemas.openxmlformats.org/officeDocument/2006/relationships/hyperlink" Target="http://www.sec.gov/Archives/edgar/data/0001884082/000119312522023680/d239003dex109.htm" TargetMode="External"/><Relationship Id="rId455" Type="http://schemas.openxmlformats.org/officeDocument/2006/relationships/hyperlink" Target="http://www.sec.gov/Archives/edgar/data/1884082/000119312522066540/d239003dex1010.htm" TargetMode="External"/><Relationship Id="rId456" Type="http://schemas.openxmlformats.org/officeDocument/2006/relationships/hyperlink" Target="http://www.sec.gov/Archives/edgar/data/0001884082/000119312522023680/d239003dex1011.htm" TargetMode="External"/><Relationship Id="rId457" Type="http://schemas.openxmlformats.org/officeDocument/2006/relationships/hyperlink" Target="http://www.sec.gov/Archives/edgar/data/0001884082/000119312522023680/d239003dex1012.htm" TargetMode="External"/><Relationship Id="rId458" Type="http://schemas.openxmlformats.org/officeDocument/2006/relationships/hyperlink" Target="http://www.sec.gov/Archives/edgar/data/0001884082/000119312522023680/d239003dex1013.htm" TargetMode="External"/><Relationship Id="rId459" Type="http://schemas.openxmlformats.org/officeDocument/2006/relationships/hyperlink" Target="http://www.sec.gov/Archives/edgar/data/0001884082/000119312522023680/d239003dex1014.htm" TargetMode="External"/><Relationship Id="rId460" Type="http://schemas.openxmlformats.org/officeDocument/2006/relationships/hyperlink" Target="http://www.sec.gov/Archives/edgar/data/0001884082/000119312522023680/d239003dex1015.htm" TargetMode="External"/><Relationship Id="rId461" Type="http://schemas.openxmlformats.org/officeDocument/2006/relationships/hyperlink" Target="http://www.sec.gov/Archives/edgar/data/0001884082/000119312522023680/d239003dex1016.htm" TargetMode="External"/><Relationship Id="rId462" Type="http://schemas.openxmlformats.org/officeDocument/2006/relationships/hyperlink" Target="http://www.sec.gov/Archives/edgar/data/1884082/000119312522066540/d239003dex1017.htm" TargetMode="External"/><Relationship Id="rId463" Type="http://schemas.openxmlformats.org/officeDocument/2006/relationships/hyperlink" Target="http://www.sec.gov/Archives/edgar/data/0001884082/000119312522023680/d239003dex1018.htm" TargetMode="External"/><Relationship Id="rId464" Type="http://schemas.openxmlformats.org/officeDocument/2006/relationships/hyperlink" Target="http://www.sec.gov/Archives/edgar/data/0001884082/000119312522023680/d239003dex1019.htm" TargetMode="External"/><Relationship Id="rId465" Type="http://schemas.openxmlformats.org/officeDocument/2006/relationships/hyperlink" Target="http://www.sec.gov/Archives/edgar/data/0001884082/000119312522023680/d239003dex1020.htm" TargetMode="External"/><Relationship Id="rId466" Type="http://schemas.openxmlformats.org/officeDocument/2006/relationships/hyperlink" Target="http://www.sec.gov/Archives/edgar/data/0001884082/000119312522023680/d239003dex1021.htm" TargetMode="External"/><Relationship Id="rId467" Type="http://schemas.openxmlformats.org/officeDocument/2006/relationships/hyperlink" Target="http://www.sec.gov/Archives/edgar/data/0001884082/000119312522023680/d239003dex1022.htm" TargetMode="External"/><Relationship Id="rId469" Type="http://schemas.openxmlformats.org/officeDocument/2006/relationships/hyperlink" Target="http://www.sec.gov/Archives/edgar/data/0001884082/000119312522023680/d239003dex1023.htm" TargetMode="External"/><Relationship Id="rId470" Type="http://schemas.openxmlformats.org/officeDocument/2006/relationships/hyperlink" Target="http://www.sec.gov/Archives/edgar/data/1884082/000119312522066540/d239003dex1024.htm" TargetMode="External"/><Relationship Id="rId471" Type="http://schemas.openxmlformats.org/officeDocument/2006/relationships/hyperlink" Target="http://www.sec.gov/Archives/edgar/data/0001884082/000119312522023680/d239003dex1025.htm" TargetMode="External"/><Relationship Id="rId472" Type="http://schemas.openxmlformats.org/officeDocument/2006/relationships/hyperlink" Target="http://www.sec.gov/Archives/edgar/data/0001884082/000119312522023680/d239003dex1026.htm" TargetMode="External"/><Relationship Id="rId473" Type="http://schemas.openxmlformats.org/officeDocument/2006/relationships/hyperlink" Target="http://www.sec.gov/Archives/edgar/data/0001884082/000119312522023680/d239003dex1027.htm" TargetMode="External"/><Relationship Id="rId474" Type="http://schemas.openxmlformats.org/officeDocument/2006/relationships/hyperlink" Target="http://www.sec.gov/Archives/edgar/data/0001884082/000119312522023680/d239003dex1028.htm" TargetMode="External"/><Relationship Id="rId475" Type="http://schemas.openxmlformats.org/officeDocument/2006/relationships/hyperlink" Target="http://www.sec.gov/Archives/edgar/data/1884082/000119312522066540/d239003dex1029.htm" TargetMode="External"/><Relationship Id="rId476" Type="http://schemas.openxmlformats.org/officeDocument/2006/relationships/hyperlink" Target="http://www.sec.gov/Archives/edgar/data/1884082/000119312522066540/d239003dex1030.htm" TargetMode="External"/><Relationship Id="rId477" Type="http://schemas.openxmlformats.org/officeDocument/2006/relationships/hyperlink" Target="http://www.sec.gov/Archives/edgar/data/0001884082/000119312522023680/d239003dex1031.htm" TargetMode="External"/><Relationship Id="rId478" Type="http://schemas.openxmlformats.org/officeDocument/2006/relationships/hyperlink" Target="http://www.sec.gov/Archives/edgar/data/0001884082/000119312522023680/d239003dex1032.htm" TargetMode="External"/><Relationship Id="rId479" Type="http://schemas.openxmlformats.org/officeDocument/2006/relationships/hyperlink" Target="http://www.sec.gov/Archives/edgar/data/0001884082/000119312522023680/d239003dex1033.htm" TargetMode="External"/><Relationship Id="rId480" Type="http://schemas.openxmlformats.org/officeDocument/2006/relationships/hyperlink" Target="http://www.sec.gov/Archives/edgar/data/0001884082/000119312522023680/d239003dex1034.htm" TargetMode="External"/><Relationship Id="rId482" Type="http://schemas.openxmlformats.org/officeDocument/2006/relationships/hyperlink" Target="http://www.sec.gov/Archives/edgar/data/0001884082/000119312522023680/d239003dex1035.htm" TargetMode="External"/><Relationship Id="rId483" Type="http://schemas.openxmlformats.org/officeDocument/2006/relationships/hyperlink" Target="http://www.sec.gov/Archives/edgar/data/0001884082/000119312522023680/d239003dex1036.htm" TargetMode="External"/><Relationship Id="rId484" Type="http://schemas.openxmlformats.org/officeDocument/2006/relationships/hyperlink" Target="http://www.sec.gov/Archives/edgar/data/0001884082/000119312522023680/d239003dex1037.htm" TargetMode="External"/><Relationship Id="rId485" Type="http://schemas.openxmlformats.org/officeDocument/2006/relationships/hyperlink" Target="http://www.sec.gov/Archives/edgar/data/0001884082/000119312522023680/d239003dex1038.htm" TargetMode="External"/><Relationship Id="rId486" Type="http://schemas.openxmlformats.org/officeDocument/2006/relationships/hyperlink" Target="http://www.sec.gov/Archives/edgar/data/0001884082/000119312522023680/d239003dex1039.htm" TargetMode="External"/><Relationship Id="rId487" Type="http://schemas.openxmlformats.org/officeDocument/2006/relationships/hyperlink" Target="http://www.sec.gov/Archives/edgar/data/0001884082/000119312522023680/d239003dex1040.htm" TargetMode="External"/><Relationship Id="rId488" Type="http://schemas.openxmlformats.org/officeDocument/2006/relationships/hyperlink" Target="http://www.sec.gov/Archives/edgar/data/0001884082/000119312522023680/d239003dex1041.htm" TargetMode="External"/><Relationship Id="rId489" Type="http://schemas.openxmlformats.org/officeDocument/2006/relationships/hyperlink" Target="http://www.sec.gov/Archives/edgar/data/0001884082/000119312522023680/d239003dex1042.htm" TargetMode="External"/><Relationship Id="rId490" Type="http://schemas.openxmlformats.org/officeDocument/2006/relationships/hyperlink" Target="http://www.sec.gov/Archives/edgar/data/0001884082/000119312522023680/d239003dex1043.htm" TargetMode="External"/><Relationship Id="rId491" Type="http://schemas.openxmlformats.org/officeDocument/2006/relationships/hyperlink" Target="http://www.sec.gov/Archives/edgar/data/0001884082/000119312522023680/d239003dex1044.htm" TargetMode="External"/><Relationship Id="rId492" Type="http://schemas.openxmlformats.org/officeDocument/2006/relationships/hyperlink" Target="http://www.sec.gov/Archives/edgar/data/0001884082/000119312522023680/d239003dex1045.htm" TargetMode="External"/><Relationship Id="rId493" Type="http://schemas.openxmlformats.org/officeDocument/2006/relationships/hyperlink" Target="http://www.sec.gov/Archives/edgar/data/0001884082/000119312522023680/d239003dex1046.htm" TargetMode="External"/><Relationship Id="rId494" Type="http://schemas.openxmlformats.org/officeDocument/2006/relationships/hyperlink" Target="http://www.sec.gov/Archives/edgar/data/0001884082/000119312522023680/d239003dex1047.htm" TargetMode="External"/><Relationship Id="rId495" Type="http://schemas.openxmlformats.org/officeDocument/2006/relationships/hyperlink" Target="http://www.sec.gov/Archives/edgar/data/0001884082/000119312522023680/d239003dex1048.htm" TargetMode="External"/><Relationship Id="rId496" Type="http://schemas.openxmlformats.org/officeDocument/2006/relationships/hyperlink" Target="http://www.sec.gov/Archives/edgar/data/0001884082/000119312522023680/d239003dex1049.htm" TargetMode="External"/><Relationship Id="rId497" Type="http://schemas.openxmlformats.org/officeDocument/2006/relationships/hyperlink" Target="http://www.sec.gov/Archives/edgar/data/0001884082/000119312522023680/d239003dex1050.htm" TargetMode="External"/><Relationship Id="rId499" Type="http://schemas.openxmlformats.org/officeDocument/2006/relationships/hyperlink" Target="http://www.sec.gov/Archives/edgar/data/0001884082/000119312522023680/d239003dex1051.htm" TargetMode="External"/><Relationship Id="rId500" Type="http://schemas.openxmlformats.org/officeDocument/2006/relationships/hyperlink" Target="http://www.sec.gov/Archives/edgar/data/0001884082/000119312522023680/d239003dex1052.htm" TargetMode="External"/><Relationship Id="rId501" Type="http://schemas.openxmlformats.org/officeDocument/2006/relationships/hyperlink" Target="http://www.sec.gov/Archives/edgar/data/0001884082/000119312522023680/d239003dex1053.htm" TargetMode="External"/><Relationship Id="rId502" Type="http://schemas.openxmlformats.org/officeDocument/2006/relationships/hyperlink" Target="http://www.sec.gov/Archives/edgar/data/0001884082/000119312522023680/d239003dex1054.htm" TargetMode="External"/><Relationship Id="rId503" Type="http://schemas.openxmlformats.org/officeDocument/2006/relationships/hyperlink" Target="http://www.sec.gov/Archives/edgar/data/0001884082/000119312522023680/d239003dex1055.htm" TargetMode="External"/><Relationship Id="rId504" Type="http://schemas.openxmlformats.org/officeDocument/2006/relationships/hyperlink" Target="http://www.sec.gov/Archives/edgar/data/0001884082/000119312522023680/d239003dex1056.htm" TargetMode="External"/><Relationship Id="rId505" Type="http://schemas.openxmlformats.org/officeDocument/2006/relationships/hyperlink" Target="http://www.sec.gov/Archives/edgar/data/0001884082/000119312522023680/d239003dex1057.htm" TargetMode="External"/><Relationship Id="rId506" Type="http://schemas.openxmlformats.org/officeDocument/2006/relationships/hyperlink" Target="http://www.sec.gov/Archives/edgar/data/0001884082/000119312522023680/d239003dex1058.htm" TargetMode="External"/><Relationship Id="rId507" Type="http://schemas.openxmlformats.org/officeDocument/2006/relationships/hyperlink" Target="http://www.sec.gov/Archives/edgar/data/0001884082/000119312522023680/d239003dex1059.htm" TargetMode="External"/><Relationship Id="rId508" Type="http://schemas.openxmlformats.org/officeDocument/2006/relationships/hyperlink" Target="http://www.sec.gov/Archives/edgar/data/0001884082/000119312522023680/d239003dex1060.htm" TargetMode="External"/><Relationship Id="rId509" Type="http://schemas.openxmlformats.org/officeDocument/2006/relationships/hyperlink" Target="http://www.sec.gov/Archives/edgar/data/0001884082/000119312522023680/d239003dex1061.htm" TargetMode="External"/><Relationship Id="rId510" Type="http://schemas.openxmlformats.org/officeDocument/2006/relationships/hyperlink" Target="http://www.sec.gov/Archives/edgar/data/0001884082/000119312522023680/d239003dex1062.htm" TargetMode="External"/><Relationship Id="rId511" Type="http://schemas.openxmlformats.org/officeDocument/2006/relationships/hyperlink" Target="http://www.sec.gov/Archives/edgar/data/0001884082/000119312522023680/d239003dex1063.htm" TargetMode="External"/><Relationship Id="rId512" Type="http://schemas.openxmlformats.org/officeDocument/2006/relationships/hyperlink" Target="http://www.sec.gov/Archives/edgar/data/0001884082/000119312522023680/d239003dex1064.htm" TargetMode="External"/><Relationship Id="rId513" Type="http://schemas.openxmlformats.org/officeDocument/2006/relationships/hyperlink" Target="http://www.sec.gov/Archives/edgar/data/0001884082/000119312522023680/d239003dex1065.htm" TargetMode="External"/><Relationship Id="rId514" Type="http://schemas.openxmlformats.org/officeDocument/2006/relationships/hyperlink" Target="http://www.sec.gov/Archives/edgar/data/1884082/000119312522066540/d239003dex1066.htm" TargetMode="External"/><Relationship Id="rId515" Type="http://schemas.openxmlformats.org/officeDocument/2006/relationships/hyperlink" Target="http://www.sec.gov/Archives/edgar/data/0001884082/000119312522023680/d239003dex1067.htm" TargetMode="External"/><Relationship Id="rId516" Type="http://schemas.openxmlformats.org/officeDocument/2006/relationships/hyperlink" Target="http://www.sec.gov/Archives/edgar/data/1884082/000119312522066540/d239003dex1068.htm" TargetMode="External"/><Relationship Id="rId517" Type="http://schemas.openxmlformats.org/officeDocument/2006/relationships/hyperlink" Target="http://www.sec.gov/Archives/edgar/data/0001884082/000119312522023680/d239003dex1069.htm" TargetMode="External"/><Relationship Id="rId519" Type="http://schemas.openxmlformats.org/officeDocument/2006/relationships/hyperlink" Target="http://www.sec.gov/Archives/edgar/data/1884082/000119312522066540/d239003dex1070.htm" TargetMode="External"/><Relationship Id="rId520" Type="http://schemas.openxmlformats.org/officeDocument/2006/relationships/hyperlink" Target="http://www.sec.gov/Archives/edgar/data/1884082/000119312522066540/d239003dex1071.htm" TargetMode="External"/><Relationship Id="rId521" Type="http://schemas.openxmlformats.org/officeDocument/2006/relationships/hyperlink" Target="http://www.sec.gov/Archives/edgar/data/0001884082/000119312522023680/d239003dex1072.htm" TargetMode="External"/><Relationship Id="rId522" Type="http://schemas.openxmlformats.org/officeDocument/2006/relationships/hyperlink" Target="http://www.sec.gov/Archives/edgar/data/1884082/000119312522066540/d239003dex1073.htm" TargetMode="External"/><Relationship Id="rId523" Type="http://schemas.openxmlformats.org/officeDocument/2006/relationships/hyperlink" Target="http://www.sec.gov/Archives/edgar/data/0001884082/000119312522066540/d239003df4a.htm#tx239003_602" TargetMode="External"/><Relationship Id="rId524" Type="http://schemas.openxmlformats.org/officeDocument/2006/relationships/hyperlink" Target="http://www.sec.gov/Archives/edgar/data/0001884082/000119312522066540/d239003df4a.htm#tx239003_603" TargetMode="External"/><Relationship Id="rId525" Type="http://schemas.openxmlformats.org/officeDocument/2006/relationships/hyperlink" Target="http://www.sec.gov/Archives/edgar/data/1884082/000119312522066540/d239003dex1076.htm" TargetMode="External"/><Relationship Id="rId526" Type="http://schemas.openxmlformats.org/officeDocument/2006/relationships/hyperlink" Target="http://www.sec.gov/Archives/edgar/data/0001884082/000119312522066540/d239003df4a.htm#tx239003_511" TargetMode="External"/><Relationship Id="rId527" Type="http://schemas.openxmlformats.org/officeDocument/2006/relationships/hyperlink" Target="http://www.sec.gov/Archives/edgar/data/0001884082/000119312522066540/d239003df4a.htm#anxm2" TargetMode="External"/><Relationship Id="rId528" Type="http://schemas.openxmlformats.org/officeDocument/2006/relationships/hyperlink" Target="http://www.sec.gov/Archives/edgar/data/1884082/000119312522066540/d239003dex1079.htm" TargetMode="External"/><Relationship Id="rId529" Type="http://schemas.openxmlformats.org/officeDocument/2006/relationships/hyperlink" Target="http://www.sec.gov/Archives/edgar/data/1884082/000119312522066540/d239003dex1080.htm" TargetMode="External"/><Relationship Id="rId530" Type="http://schemas.openxmlformats.org/officeDocument/2006/relationships/hyperlink" Target="http://www.sec.gov/Archives/edgar/data/1884082/000119312522066540/d239003dex1081.htm" TargetMode="External"/><Relationship Id="rId531" Type="http://schemas.openxmlformats.org/officeDocument/2006/relationships/hyperlink" Target="http://www.sec.gov/Archives/edgar/data/1884082/000119312522066540/d239003dex1082.htm" TargetMode="External"/><Relationship Id="rId532" Type="http://schemas.openxmlformats.org/officeDocument/2006/relationships/hyperlink" Target="http://www.sec.gov/Archives/edgar/data/1884082/000119312522156731/d239003df4a.htm#ii239003_ag" TargetMode="External"/><Relationship Id="rId534" Type="http://schemas.openxmlformats.org/officeDocument/2006/relationships/hyperlink" Target="http://www.sec.gov/Archives/edgar/data/1884082/000119312522156731/d239003df4a.htm#ii239003_ak" TargetMode="External"/><Relationship Id="rId535" Type="http://schemas.openxmlformats.org/officeDocument/2006/relationships/hyperlink" Target="http://www.sec.gov/Archives/edgar/data/1884082/000119312522085479/d239003dex1085.htm" TargetMode="External"/><Relationship Id="rId536" Type="http://schemas.openxmlformats.org/officeDocument/2006/relationships/hyperlink" Target="http://www.sec.gov/Archives/edgar/data/1884082/000119312522085479/d239003dex1086.htm" TargetMode="External"/><Relationship Id="rId537" Type="http://schemas.openxmlformats.org/officeDocument/2006/relationships/hyperlink" Target="http://www.sec.gov/Archives/edgar/data/0001884082/000119312522185122/d305041dex491.htm" TargetMode="External"/><Relationship Id="rId538" Type="http://schemas.openxmlformats.org/officeDocument/2006/relationships/hyperlink" Target="http://www.sec.gov/Archives/edgar/data/0001884082/000119312522185122/d305041dex492.htm" TargetMode="External"/><Relationship Id="rId539" Type="http://schemas.openxmlformats.org/officeDocument/2006/relationships/hyperlink" Target="http://www.sec.gov/Archives/edgar/data/0001884082/000119312522185122/d305041dex493.htm" TargetMode="External"/><Relationship Id="rId540" Type="http://schemas.openxmlformats.org/officeDocument/2006/relationships/hyperlink" Target="http://www.sec.gov/Archives/edgar/data/0001884082/000119312522185122/d305041dex494.htm" TargetMode="External"/><Relationship Id="rId541" Type="http://schemas.openxmlformats.org/officeDocument/2006/relationships/hyperlink" Target="http://www.sec.gov/Archives/edgar/data/0001884082/000119312522185122/d305041dex81.htm" TargetMode="External"/><Relationship Id="rId542" Type="http://schemas.openxmlformats.org/officeDocument/2006/relationships/hyperlink" Target="http://www.sec.gov/Archives/edgar/data/1884082/000119312522066540/d239003dex9913.htm" TargetMode="External"/><Relationship Id="rId543" Type="http://schemas.openxmlformats.org/officeDocument/2006/relationships/hyperlink" Target="http://www.sec.gov/Archives/edgar/data/1884082/000119312522066540/d239003dex99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2022-07-12T12:24:33Z</dcterms:created>
  <dcterms:modified xsi:type="dcterms:W3CDTF">2022-07-12T12:24:33Z</dcterms:modified>
</cp:coreProperties>
</file>