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6167-1_f3asr.htm"/>
        <w:bookmarkStart w:id="1" w:name="kstm26261671_f3asr"/>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As filed with the U.S. Securities and Exchange Commission September 28, 2026</w:t>
      </w:r>
      <w:r>
        <w:rPr>
          <w:rFonts w:ascii="Times New Roman;Times;serif" w:hAnsi="Times New Roman;Times;serif"/>
          <w:b/>
          <w:i w:val="false"/>
          <w:caps w:val="false"/>
          <w:smallCaps w:val="false"/>
          <w:color w:val="000000"/>
          <w:sz w:val="19"/>
        </w:rPr>
        <w:t xml:space="preserve"> </w:t>
      </w:r>
    </w:p>
    <w:p>
      <w:pPr>
        <w:pStyle w:val="TextBody"/>
        <w:bidi w:val="0"/>
        <w:spacing w:lineRule="atLeast" w:line="200" w:before="14" w:after="283"/>
        <w:jc w:val="righ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Registration No. 333-      </w:t>
      </w:r>
      <w:r>
        <w:rPr>
          <w:rFonts w:ascii="Times New Roman;Times;serif" w:hAnsi="Times New Roman;Times;serif"/>
          <w:b/>
          <w:i w:val="false"/>
          <w:caps w:val="false"/>
          <w:smallCaps w:val="false"/>
          <w:color w:val="000000"/>
          <w:sz w:val="19"/>
        </w:rPr>
        <w:t>​</w:t>
      </w:r>
    </w:p>
    <w:p>
      <w:pPr>
        <w:pStyle w:val="TextBody"/>
        <w:bidi w:val="0"/>
        <w:spacing w:before="6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10" w:before="7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STATES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SECURITIES AND EXCHANGE COMMISSION</w:t>
      </w:r>
      <w:r>
        <w:rPr>
          <w:rFonts w:ascii="Times New Roman;Times;serif" w:hAnsi="Times New Roman;Times;serif"/>
          <w:b/>
          <w:i w:val="false"/>
          <w:caps w:val="false"/>
          <w:smallCaps w:val="false"/>
          <w:color w:val="000000"/>
          <w:sz w:val="32"/>
        </w:rPr>
        <w:t xml:space="preserve"> </w:t>
      </w:r>
    </w:p>
    <w:p>
      <w:pPr>
        <w:pStyle w:val="TextBody"/>
        <w:bidi w:val="0"/>
        <w:spacing w:lineRule="atLeast" w:line="200" w:before="14"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Washington, D.C. 20549</w:t>
      </w:r>
      <w:r>
        <w:rPr>
          <w:rFonts w:ascii="Times New Roman;Times;serif" w:hAnsi="Times New Roman;Times;serif"/>
          <w:b/>
          <w:i w:val="false"/>
          <w:caps w:val="false"/>
          <w:smallCaps w:val="false"/>
          <w:color w:val="000000"/>
          <w:spacing w:val="4"/>
          <w:sz w:val="19"/>
        </w:rPr>
        <w:t xml:space="preserve"> </w:t>
      </w:r>
    </w:p>
    <w:p>
      <w:pPr>
        <w:pStyle w:val="TextBody"/>
        <w:bidi w:val="0"/>
        <w:spacing w:before="16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11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F-3</w:t>
      </w:r>
      <w:r>
        <w:rPr>
          <w:rFonts w:ascii="Times New Roman;Times;serif" w:hAnsi="Times New Roman;Times;serif"/>
          <w:b/>
          <w:i w:val="false"/>
          <w:caps w:val="false"/>
          <w:smallCaps w:val="false"/>
          <w:color w:val="000000"/>
          <w:sz w:val="32"/>
        </w:rPr>
        <w:t xml:space="preserve"> </w:t>
      </w:r>
    </w:p>
    <w:p>
      <w:pPr>
        <w:pStyle w:val="TextBody"/>
        <w:bidi w:val="0"/>
        <w:spacing w:lineRule="atLeast" w:line="200" w:before="80" w:after="283"/>
        <w:jc w:val="center"/>
        <w:rPr>
          <w:rFonts w:ascii="Times New Roman;Times;serif" w:hAnsi="Times New Roman;Times;serif"/>
          <w:b/>
          <w:i/>
          <w:caps w:val="false"/>
          <w:smallCaps w:val="false"/>
          <w:color w:val="000000"/>
          <w:sz w:val="19"/>
        </w:rPr>
      </w:pPr>
      <w:r>
        <w:rPr>
          <w:rFonts w:ascii="Times New Roman;Times;serif" w:hAnsi="Times New Roman;Times;serif"/>
          <w:b/>
          <w:i w:val="false"/>
          <w:caps w:val="false"/>
          <w:smallCaps w:val="false"/>
          <w:color w:val="000000"/>
          <w:spacing w:val="-4"/>
          <w:sz w:val="19"/>
        </w:rPr>
        <w:t>REGISTRATION STATEMENT</w:t>
      </w:r>
      <w:r>
        <w:rPr>
          <w:rFonts w:ascii="Times New Roman;Times;serif" w:hAnsi="Times New Roman;Times;serif"/>
          <w:b/>
          <w:i/>
          <w:caps w:val="false"/>
          <w:smallCaps w:val="false"/>
          <w:color w:val="000000"/>
          <w:sz w:val="19"/>
        </w:rPr>
        <w:t xml:space="preserve"> </w:t>
        <w:br/>
      </w:r>
      <w:r>
        <w:rPr>
          <w:rFonts w:ascii="Times New Roman;Times;serif" w:hAnsi="Times New Roman;Times;serif"/>
          <w:b/>
          <w:i/>
          <w:caps w:val="false"/>
          <w:smallCaps w:val="false"/>
          <w:color w:val="000000"/>
          <w:spacing w:val="-4"/>
          <w:sz w:val="19"/>
        </w:rPr>
        <w:t>UNDER</w:t>
      </w:r>
      <w:r>
        <w:rPr>
          <w:rFonts w:ascii="Times New Roman;Times;serif" w:hAnsi="Times New Roman;Times;serif"/>
          <w:b/>
          <w:i/>
          <w:caps w:val="false"/>
          <w:smallCaps w:val="false"/>
          <w:color w:val="000000"/>
          <w:sz w:val="19"/>
        </w:rPr>
        <w:t xml:space="preserve"> </w:t>
        <w:br/>
      </w:r>
      <w:r>
        <w:rPr>
          <w:rFonts w:ascii="Times New Roman;Times;serif" w:hAnsi="Times New Roman;Times;serif"/>
          <w:b/>
          <w:i/>
          <w:caps w:val="false"/>
          <w:smallCaps w:val="false"/>
          <w:color w:val="000000"/>
          <w:spacing w:val="-4"/>
          <w:sz w:val="19"/>
        </w:rPr>
        <w:t>THE SECURITIES ACT OF 1933</w:t>
      </w:r>
      <w:r>
        <w:rPr>
          <w:rFonts w:ascii="Times New Roman;Times;serif" w:hAnsi="Times New Roman;Times;serif"/>
          <w:b/>
          <w:i/>
          <w:caps w:val="false"/>
          <w:smallCaps w:val="false"/>
          <w:color w:val="000000"/>
          <w:spacing w:val="4"/>
          <w:sz w:val="19"/>
        </w:rPr>
        <w:t xml:space="preserve"> </w:t>
      </w:r>
    </w:p>
    <w:p>
      <w:pPr>
        <w:pStyle w:val="TextBody"/>
        <w:bidi w:val="0"/>
        <w:spacing w:before="16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1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Polestar Automotive Holding UK PLC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60" w:before="14"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(Exact name of Registrant as specified in its Charter) </w:t>
      </w:r>
    </w:p>
    <w:p>
      <w:pPr>
        <w:pStyle w:val="TextBody"/>
        <w:bidi w:val="0"/>
        <w:spacing w:before="144" w:after="283"/>
        <w:jc w:val="center"/>
        <w:rPr>
          <w:caps w:val="false"/>
          <w:smallCaps w:val="false"/>
          <w:color w:val="000000"/>
          <w:bdr w:val="single" w:sz="8" w:space="1" w:color="000000"/>
        </w:rPr>
      </w:pPr>
      <w:r>
        <w:rPr>
          <w:caps w:val="false"/>
          <w:smallCaps w:val="false"/>
          <w:color w:val="000000"/>
          <w:bdr w:val="single" w:sz="8" w:space="1" w:color="000000"/>
        </w:rPr>
        <w:t>​</w:t>
      </w:r>
    </w:p>
    <w:tbl>
      <w:tblPr>
        <w:tblW w:w="5937" w:type="dxa"/>
        <w:jc w:val="left"/>
        <w:tblInd w:w="540" w:type="dxa"/>
        <w:tblLayout w:type="fixed"/>
        <w:tblCellMar>
          <w:top w:w="0" w:type="dxa"/>
          <w:left w:w="0" w:type="dxa"/>
          <w:bottom w:w="0" w:type="dxa"/>
          <w:right w:w="0" w:type="dxa"/>
        </w:tblCellMar>
      </w:tblPr>
      <w:tblGrid>
        <w:gridCol w:w="124"/>
        <w:gridCol w:w="3061"/>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61" w:type="dxa"/>
            <w:tcBorders/>
            <w:vAlign w:val="center"/>
          </w:tcPr>
          <w:p>
            <w:pPr>
              <w:pStyle w:val="TableContents"/>
              <w:bidi w:val="0"/>
              <w:spacing w:before="0" w:after="0"/>
              <w:jc w:val="center"/>
              <w:rPr>
                <w:b/>
                <w:sz w:val="18"/>
              </w:rPr>
            </w:pPr>
            <w:r>
              <w:rPr>
                <w:b/>
                <w:spacing w:val="-4"/>
                <w:sz w:val="18"/>
              </w:rPr>
              <w:t>England and Wales</w:t>
            </w:r>
            <w:r>
              <w:rPr>
                <w:b/>
                <w:sz w:val="18"/>
              </w:rPr>
              <w:t xml:space="preserve"> </w:t>
            </w:r>
          </w:p>
          <w:p>
            <w:pPr>
              <w:pStyle w:val="TableContents"/>
              <w:bidi w:val="0"/>
              <w:spacing w:lineRule="atLeast" w:line="160" w:before="36" w:after="283"/>
              <w:jc w:val="center"/>
              <w:rPr/>
            </w:pPr>
            <w:r>
              <w:rPr>
                <w:spacing w:val="3"/>
              </w:rPr>
              <w:t>(State or other jurisdiction of</w:t>
            </w:r>
            <w:r>
              <w:rPr/>
              <w:t xml:space="preserve"> </w:t>
              <w:br/>
            </w:r>
            <w:r>
              <w:rPr>
                <w:spacing w:val="3"/>
              </w:rPr>
              <w:t xml:space="preserve">incorporation or organization)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8"/>
              </w:rPr>
            </w:pPr>
            <w:r>
              <w:rPr>
                <w:b/>
                <w:spacing w:val="-4"/>
                <w:sz w:val="18"/>
              </w:rPr>
              <w:t>Not applicable</w:t>
            </w:r>
            <w:r>
              <w:rPr>
                <w:b/>
                <w:sz w:val="18"/>
              </w:rPr>
              <w:t xml:space="preserve"> </w:t>
            </w:r>
          </w:p>
          <w:p>
            <w:pPr>
              <w:pStyle w:val="TableContents"/>
              <w:bidi w:val="0"/>
              <w:spacing w:lineRule="atLeast" w:line="160" w:before="36" w:after="283"/>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06" w:after="283"/>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Michael Lohscheller</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Assar Gabrielssons Väg 9</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405 31 Gothenburg, Sweden</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Tel: +1 551 284 9479</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180" w:before="2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16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12"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Polestar Automotive Holding USA Inc.</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777 MacArthur Blvd.</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Mahwah, NJ 07430</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Tel. No.:(551) 284-9479</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180" w:before="2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21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12" w:after="283"/>
        <w:jc w:val="center"/>
        <w:rPr>
          <w:rFonts w:ascii="Times New Roman;Times;serif" w:hAnsi="Times New Roman;Times;serif"/>
          <w:b/>
          <w:i/>
          <w:caps w:val="false"/>
          <w:smallCaps w:val="false"/>
          <w:color w:val="000000"/>
          <w:sz w:val="19"/>
        </w:rPr>
      </w:pPr>
      <w:r>
        <w:rPr>
          <w:rFonts w:ascii="Times New Roman;Times;serif" w:hAnsi="Times New Roman;Times;serif"/>
          <w:b/>
          <w:i/>
          <w:caps w:val="false"/>
          <w:smallCaps w:val="false"/>
          <w:color w:val="000000"/>
          <w:spacing w:val="-4"/>
          <w:sz w:val="19"/>
        </w:rPr>
        <w:t>Please send copies of all communications to:</w:t>
      </w:r>
      <w:r>
        <w:rPr>
          <w:rFonts w:ascii="Times New Roman;Times;serif" w:hAnsi="Times New Roman;Times;serif"/>
          <w:b/>
          <w:i/>
          <w:caps w:val="false"/>
          <w:smallCaps w:val="false"/>
          <w:color w:val="000000"/>
          <w:spacing w:val="4"/>
          <w:sz w:val="19"/>
        </w:rPr>
        <w:t xml:space="preserve"> </w:t>
      </w:r>
    </w:p>
    <w:p>
      <w:pPr>
        <w:pStyle w:val="TextBody"/>
        <w:bidi w:val="0"/>
        <w:spacing w:lineRule="atLeast" w:line="200" w:before="52"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David A. Brown</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Bhanu Mathur</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Alston &amp; Bird LLP</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950 F St. NW 20004</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Washington, D.C.</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Tel. No.: (202) 239-3300</w:t>
      </w:r>
      <w:r>
        <w:rPr>
          <w:rFonts w:ascii="Times New Roman;Times;serif" w:hAnsi="Times New Roman;Times;serif"/>
          <w:b/>
          <w:i w:val="false"/>
          <w:caps w:val="false"/>
          <w:smallCaps w:val="false"/>
          <w:color w:val="000000"/>
          <w:spacing w:val="4"/>
          <w:sz w:val="19"/>
        </w:rPr>
        <w:t xml:space="preserve"> </w:t>
      </w:r>
    </w:p>
    <w:p>
      <w:pPr>
        <w:pStyle w:val="TextBody"/>
        <w:bidi w:val="0"/>
        <w:spacing w:before="16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14" w:after="283"/>
        <w:ind w:left="540"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i w:val="false"/>
          <w:caps w:val="false"/>
          <w:smallCaps w:val="false"/>
          <w:color w:val="000000"/>
          <w:spacing w:val="-4"/>
          <w:sz w:val="19"/>
        </w:rPr>
        <w:t>Approximate date of commencement of proposed sale to the public:</w:t>
      </w:r>
      <w:r>
        <w:rPr>
          <w:rFonts w:ascii="Times New Roman;Times;serif" w:hAnsi="Times New Roman;Times;serif"/>
          <w:b w:val="false"/>
          <w:i w:val="false"/>
          <w:caps w:val="false"/>
          <w:smallCaps w:val="false"/>
          <w:color w:val="000000"/>
          <w:spacing w:val="4"/>
          <w:sz w:val="19"/>
        </w:rPr>
        <w:t xml:space="preserve"> from time to time after the effective date of this registration statement. </w:t>
      </w:r>
    </w:p>
    <w:p>
      <w:pPr>
        <w:pStyle w:val="TextBody"/>
        <w:bidi w:val="0"/>
        <w:spacing w:lineRule="atLeast" w:line="200" w:before="52"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the only securities being registered on this Form are to be offered pursuant to dividend or interest reinvestment plans, please check the following box. ☐ </w:t>
      </w:r>
    </w:p>
    <w:p>
      <w:pPr>
        <w:pStyle w:val="TextBody"/>
        <w:bidi w:val="0"/>
        <w:spacing w:lineRule="atLeast" w:line="200" w:before="52"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9"/>
        </w:rPr>
        <w:t>If any of the securities being registered on this Form are to be offered on a delayed or continuous basis pursuant to Rule 415 under the Securities Act of 1933, other than securities offered only in connection with dividend or interest reinvestments plans, check the following box ☒</w:t>
      </w:r>
      <w:r>
        <w:rPr>
          <w:rFonts w:ascii="Times New Roman;Times;serif" w:hAnsi="Times New Roman;Times;serif"/>
          <w:b w:val="false"/>
          <w:i w:val="false"/>
          <w:caps w:val="false"/>
          <w:smallCaps w:val="false"/>
          <w:color w:val="000000"/>
          <w:sz w:val="18"/>
        </w:rPr>
        <w:t>​</w:t>
      </w:r>
      <w:r>
        <w:rPr>
          <w:rFonts w:ascii="Times New Roman;Times;serif" w:hAnsi="Times New Roman;Times;serif"/>
          <w:b w:val="false"/>
          <w:i w:val="false"/>
          <w:caps w:val="false"/>
          <w:smallCaps w:val="false"/>
          <w:color w:val="000000"/>
          <w:spacing w:val="4"/>
          <w:sz w:val="18"/>
        </w:rPr>
        <w:t xml:space="preserve"> </w:t>
      </w:r>
    </w:p>
    <w:p>
      <w:pPr>
        <w:pStyle w:val="TextBody"/>
        <w:bidi w:val="0"/>
        <w:spacing w:lineRule="atLeast" w:line="200" w:before="52"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00" w:before="52"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00" w:before="52"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registration statement pursuant to General Instruction I.C. or a post-effective amendment thereto that shall become effective upon filing with the Commission pursuant to Rule 462(e) under the Securities Act, check the following box. ☒ </w:t>
      </w:r>
    </w:p>
    <w:p>
      <w:pPr>
        <w:pStyle w:val="TextBody"/>
        <w:bidi w:val="0"/>
        <w:spacing w:lineRule="atLeast" w:line="200" w:before="52"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 </w:t>
      </w:r>
    </w:p>
    <w:p>
      <w:pPr>
        <w:pStyle w:val="TextBody"/>
        <w:bidi w:val="0"/>
        <w:spacing w:lineRule="atLeast" w:line="200" w:before="52"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Indicate by check mark whether the registrant is an emerging growth company as defined in Rule 405 of the Securities Act of 1933. </w:t>
      </w:r>
    </w:p>
    <w:p>
      <w:pPr>
        <w:pStyle w:val="TextBody"/>
        <w:bidi w:val="0"/>
        <w:spacing w:lineRule="atLeast" w:line="200" w:before="52" w:after="283"/>
        <w:ind w:left="940" w:right="0" w:hanging="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Emerging growth company ☐ </w:t>
      </w:r>
    </w:p>
    <w:p>
      <w:pPr>
        <w:pStyle w:val="TextBody"/>
        <w:bidi w:val="0"/>
        <w:spacing w:lineRule="atLeast" w:line="200" w:before="52"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8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6" w:before="128" w:after="0"/>
        <w:ind w:left="940" w:right="0" w:hanging="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The term “new or revised financial accounting standard” refers to any update issued by the Financial Accounting Standards Board to its Accounting Standards Codification after April 5, 2012 </w:t>
      </w:r>
      <w:r>
        <mc:AlternateContent>
          <mc:Choice Requires="wps">
            <w:drawing>
              <wp:anchor behindDoc="0" distT="81280" distB="0" distL="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4pt;mso-wrap-distance-bottom:0pt;margin-top:6.4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before="7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076325" cy="4953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76325" cy="4953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278"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1,758,418,200 Ordinary Shares represented by</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1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58,613,940 Class A American Depositary Shares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0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offer and sale from time to time by Geely Sweden Automotive Investment B.V. (“GSAI BV”), PSD Investment Limited (“PSD”), and Snita Holding B.V. (“Snita”) (collectively, the “Selling Securityholders”) of up to 1,758,418,200 ordinary shares represented by 58,613,940 Class A ADSs purchased by the Selling Securityholders.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A ADSs are listed on Nasdaq, under the trading symbol “PSNY”. On September 25, 2026 the closing price for our Class A ADSs on Nasdaq was $6.93.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offer all or part of the Class A ADSs for resale from time to time through public or private transactions, at either prevailing market prices or at privately negotiated prices. The resale of the Class A ADSs is being registered to permit the Selling Securityholders to sell Class A ADSs from time to time, in amounts, at prices and on terms determined at the time of offering. The Selling Securityholders may sell the Class A ADSs through ordinary brokerage transactions, directly to market makers of our shares or through any other means permitted pursuant to applicable law described in the section entitled “Plan of Distribution” herein. In connection with any sales of Class A ADSs offered hereunder, the Selling Securityholders, any underwriters, agents, brokers or dealers participating in such sales may be deemed to be “underwriters” within the meaning of the Securities Act of 1933, as amended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registering the resale of the Class A ADSs by the Selling Securityholders, or their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See “Plan of Distribution.”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will receive all the proceeds from any sales of Class A ADSs offered pursuant to this prospectus. We will not receive any of these proceeds but we will incur expenses in connection with this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as defined under the U.S. federal securities laws and, as such, may elect to comply with certain reduced public company disclosure and reporting requirements. We are also a “controlled company” as defined under Nasdaq listing rules and, as such, may elect not to comply with certain corporate governance requirements. See “Prospectus Summary — Foreign Private Issuer” and “Prospectus Summary — Controlled Company.”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02"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Class A ADSs involves a high degree of risk. You should review carefully the risks and uncertainties referenced under the heading “Risk Factors” on page </w:t>
      </w:r>
      <w:hyperlink w:anchor="tRIFA">
        <w:r>
          <w:rPr>
            <w:rStyle w:val="InternetLink"/>
          </w:rPr>
          <w:t>14</w:t>
        </w:r>
      </w:hyperlink>
      <w:r>
        <w:rPr>
          <w:rFonts w:ascii="Times New Roman;Times;serif" w:hAnsi="Times New Roman;Times;serif"/>
          <w:b/>
          <w:i w:val="false"/>
          <w:caps w:val="false"/>
          <w:smallCaps w:val="false"/>
          <w:color w:val="000000"/>
          <w:spacing w:val="-4"/>
          <w:sz w:val="20"/>
        </w:rPr>
        <w:t xml:space="preserve"> of this prospectus, as well as the other parts of this prospectus and any prospectus supplement or amendment carefully, before you make an investment in the Class A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U.S. Securities and Exchange Commission nor any other regulatory body has approved or disapproved of these securities or passed upon the accuracy or adequacy of this prospectus. Any representation to the contrary is a criminal offense.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54"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dated September 28,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6"/>
        <w:gridCol w:w="109"/>
        <w:gridCol w:w="109"/>
        <w:gridCol w:w="109"/>
        <w:gridCol w:w="109"/>
        <w:gridCol w:w="40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CDT">
              <w:r>
                <w:rPr>
                  <w:rStyle w:val="InternetLink"/>
                  <w:spacing w:val="4"/>
                </w:rPr>
                <w:t xml:space="preserve">CERTAIN DEFINED TERMS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CDT">
              <w:r>
                <w:rPr>
                  <w:rStyle w:val="InternetLink"/>
                  <w:spacing w:val="4"/>
                </w:rPr>
                <w:t>2</w:t>
              </w:r>
            </w:hyperlink>
            <w:hyperlink w:anchor="tCD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IOCI">
              <w:r>
                <w:rPr>
                  <w:rStyle w:val="InternetLink"/>
                  <w:spacing w:val="4"/>
                </w:rPr>
                <w:t>4</w:t>
              </w:r>
            </w:hyperlink>
            <w:hyperlink w:anchor="tIOC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CNRF">
              <w:r>
                <w:rPr>
                  <w:rStyle w:val="InternetLink"/>
                  <w:spacing w:val="4"/>
                </w:rPr>
                <w:t>5</w:t>
              </w:r>
            </w:hyperlink>
            <w:hyperlink w:anchor="t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PRSU">
              <w:r>
                <w:rPr>
                  <w:rStyle w:val="InternetLink"/>
                  <w:spacing w:val="4"/>
                </w:rPr>
                <w:t>7</w:t>
              </w:r>
            </w:hyperlink>
            <w:hyperlink w:anchor="tPRS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THOF">
              <w:r>
                <w:rPr>
                  <w:rStyle w:val="InternetLink"/>
                  <w:spacing w:val="4"/>
                </w:rPr>
                <w:t xml:space="preserve">THE OFFERING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THOF">
              <w:r>
                <w:rPr>
                  <w:rStyle w:val="InternetLink"/>
                  <w:spacing w:val="4"/>
                </w:rPr>
                <w:t>13</w:t>
              </w:r>
            </w:hyperlink>
            <w:hyperlink w:anchor="tTHO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RIFA">
              <w:r>
                <w:rPr>
                  <w:rStyle w:val="InternetLink"/>
                  <w:spacing w:val="4"/>
                </w:rPr>
                <w:t>14</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UOP">
              <w:r>
                <w:rPr>
                  <w:rStyle w:val="InternetLink"/>
                  <w:spacing w:val="4"/>
                </w:rPr>
                <w:t>14</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IPO">
              <w:r>
                <w:rPr>
                  <w:rStyle w:val="InternetLink"/>
                  <w:spacing w:val="4"/>
                </w:rPr>
                <w:t xml:space="preserve">DIVIDEND POLICY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IPO">
              <w:r>
                <w:rPr>
                  <w:rStyle w:val="InternetLink"/>
                  <w:spacing w:val="4"/>
                </w:rPr>
                <w:t>14</w:t>
              </w:r>
            </w:hyperlink>
            <w:hyperlink w:anchor="tDIP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CAI">
              <w:r>
                <w:rPr>
                  <w:rStyle w:val="InternetLink"/>
                  <w:spacing w:val="4"/>
                </w:rPr>
                <w:t xml:space="preserve">CAPITALIZATION AND INDEBTEDNESS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CAI">
              <w:r>
                <w:rPr>
                  <w:rStyle w:val="InternetLink"/>
                  <w:spacing w:val="4"/>
                </w:rPr>
                <w:t>15</w:t>
              </w:r>
            </w:hyperlink>
            <w:hyperlink w:anchor="tCA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SC">
              <w:r>
                <w:rPr>
                  <w:rStyle w:val="InternetLink"/>
                  <w:spacing w:val="4"/>
                </w:rPr>
                <w:t xml:space="preserve">DESCRIPTION OF SHARE CAPITAL AND ARTICLES OF ASSOCIATION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SC">
              <w:r>
                <w:rPr>
                  <w:rStyle w:val="InternetLink"/>
                  <w:spacing w:val="4"/>
                </w:rPr>
                <w:t>16</w:t>
              </w:r>
            </w:hyperlink>
            <w:hyperlink w:anchor="tDOS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DOAD">
              <w:r>
                <w:rPr>
                  <w:rStyle w:val="InternetLink"/>
                  <w:spacing w:val="4"/>
                </w:rPr>
                <w:t xml:space="preserve">DESCRIPTION OF AMERICAN DEPOSITARY SHARES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DOAD">
              <w:r>
                <w:rPr>
                  <w:rStyle w:val="InternetLink"/>
                  <w:spacing w:val="4"/>
                </w:rPr>
                <w:t>23</w:t>
              </w:r>
            </w:hyperlink>
            <w:hyperlink w:anchor="tDOA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SESE">
              <w:r>
                <w:rPr>
                  <w:rStyle w:val="InternetLink"/>
                  <w:spacing w:val="4"/>
                </w:rPr>
                <w:t xml:space="preserve">SELLING SECURITYHOLDERS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SESE">
              <w:r>
                <w:rPr>
                  <w:rStyle w:val="InternetLink"/>
                  <w:spacing w:val="4"/>
                </w:rPr>
                <w:t>37</w:t>
              </w:r>
            </w:hyperlink>
            <w:hyperlink w:anchor="tSES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POD">
              <w:r>
                <w:rPr>
                  <w:rStyle w:val="InternetLink"/>
                  <w:spacing w:val="4"/>
                </w:rPr>
                <w:t>38</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TAX">
              <w:r>
                <w:rPr>
                  <w:rStyle w:val="InternetLink"/>
                  <w:spacing w:val="4"/>
                </w:rPr>
                <w:t xml:space="preserve">TAXATION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TAX">
              <w:r>
                <w:rPr>
                  <w:rStyle w:val="InternetLink"/>
                  <w:spacing w:val="4"/>
                </w:rPr>
                <w:t>42</w:t>
              </w:r>
            </w:hyperlink>
            <w:hyperlink w:anchor="tTAX">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EOCC">
              <w:r>
                <w:rPr>
                  <w:rStyle w:val="InternetLink"/>
                  <w:spacing w:val="4"/>
                </w:rPr>
                <w:t xml:space="preserve">ENFORCEABILITY OF CERTAIN CIVIL LIABILITIES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EOCC">
              <w:r>
                <w:rPr>
                  <w:rStyle w:val="InternetLink"/>
                  <w:spacing w:val="4"/>
                </w:rPr>
                <w:t>48</w:t>
              </w:r>
            </w:hyperlink>
            <w:hyperlink w:anchor="tEOC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ERTT">
              <w:r>
                <w:rPr>
                  <w:rStyle w:val="InternetLink"/>
                  <w:spacing w:val="4"/>
                </w:rPr>
                <w:t xml:space="preserve">EXPENSES RELATED TO THE OFFERING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ERTT">
              <w:r>
                <w:rPr>
                  <w:rStyle w:val="InternetLink"/>
                  <w:spacing w:val="4"/>
                </w:rPr>
                <w:t>50</w:t>
              </w:r>
            </w:hyperlink>
            <w:hyperlink w:anchor="tERT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LEMA">
              <w:r>
                <w:rPr>
                  <w:rStyle w:val="InternetLink"/>
                  <w:spacing w:val="4"/>
                </w:rPr>
                <w:t>50</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EXP">
              <w:r>
                <w:rPr>
                  <w:rStyle w:val="InternetLink"/>
                  <w:spacing w:val="4"/>
                </w:rPr>
                <w:t>50</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WYCF">
              <w:r>
                <w:rPr>
                  <w:rStyle w:val="InternetLink"/>
                  <w:spacing w:val="4"/>
                </w:rPr>
                <w:t>50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F-3 that we filed with the Securities and Exchange Commission, or the SEC, utilizing a “shelf” registration process. By using a shelf registration statement, the Selling Securityholders named in the prospectus, as supplemented, may sell, from time to time and in one or more offerings, securities described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prospectus supplement that we file in connection with any specific offering by the Selling Securityholders may add, update or change information contained in this prospectus. If there is any inconsistency between the information in this prospectus and any applicable prospectus supplement, you should rely on the information contained in that particular prospectus supplement. This prospectus, and information incorporated by reference herein, includes important information about us, the securities being offered by the Selling Securityholders and other information you should know before investing. This prospectus does not contain all of the information provided in the registration statement that we filed with the SEC. Before purchasing any securities, you should read this prospectus and any prospectus supplement, together with the additional information described under the headings “</w:t>
      </w:r>
      <w:r>
        <w:rPr>
          <w:rFonts w:ascii="Times New Roman;Times;serif" w:hAnsi="Times New Roman;Times;serif"/>
          <w:b w:val="false"/>
          <w:i/>
          <w:caps w:val="false"/>
          <w:smallCaps w:val="false"/>
          <w:color w:val="000000"/>
          <w:spacing w:val="4"/>
          <w:sz w:val="20"/>
        </w:rPr>
        <w:t>Where You Can Find Additional Information”</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caps w:val="false"/>
          <w:smallCaps w:val="false"/>
          <w:color w:val="000000"/>
          <w:spacing w:val="4"/>
          <w:sz w:val="20"/>
        </w:rPr>
        <w:t>Incorporation of Certain Information by Reference.”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only on the information contained in or incorporated by reference into this prospectus and any applicable prospectus supplement. We have not, and the Selling Securityholders have not, authorized anyone to provide you with any information or to make any representations other than those contained in this prospectus, or in any applicable prospectus supplement prepared by or on behalf of us or to which we have referred you. You should assume that the information appearing in this prospectus or any prospectus supplement is accurate only as of the date on its respective cover page and that any information incorporated by reference into any of the foregoing is accurate only as of the date of such document incorporated by reference. Our business, financial condition, results of operations and prospects may have changed since those dates.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Selling Securityholders are making an offer to sell the Class A ADSs covered by this prospectus in any jurisdiction where the offer or sale is not permitted. Except as otherwise set forth in this prospectus, neither we nor the Selling Securityholders have taken any action to permit a public offering of the Class A ADSs outside the U.S. or to permit the possession or distribution of this prospectus outside the U.S. Any persons outside the U.S. who come into possession of this prospectus must inform themselves of and observe any restrictions relating to the offering of the Class A ADSs and the distribution of this prospectus outside the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Selling Securityholders may offer and sell the Class A ADSs directly to purchasers, through agents selected by the Selling Securityholders, to or through underwriters or dealers or any other method permitted pursuant to applicable law. A prospectus supplement, if required, may describe the terms of the plan of distribution and set forth the names of any agents, underwriters (if applicable) or dealers involved in the sale of securities. See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or the context otherwise requires, all references in this prospectus to the terms “Polestar,” “the company,” “we,” “us” and “our” refer to Polestar Automotive Holding UK PLC and its subsidiaries.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PRESENTATION OF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Polestar Automotive Holding UK PLC which are incorporated by reference herein, were prepared in accordance with IFRS Accounting Standards (“IFRS”) as issued by the International Accounting Standards Board, and our interim financial statements, certain of which are incorporated by reference herein, were prepared in accordance with IFRS applicable to the preparation of interim financial statements, including International Accounting Standard IAS 34, Interim Reporting, and are denominated in U.S. dollars.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CDT"/>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 SERVICE MARKS AND TRADE NAMES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prospectus includes, and information incorporated by reference herein may include, trademarks, trade names and service marks, certain of which belong to Polestar or Polestar’s affiliates and others that are the property of other organizations. The Polestar logo and other trademarks or service marks of Polestar appearing or incorporated by reference in this prospectus are the property of Polestar. Solely for convenience, trademarks, trade names and service marks referred to in this prospectus, or that may be incorporated by reference herein, appear without the </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TM and SM symbols, but the absence of those symbols is not intended to indicate, in any way, that Polestar or its affiliates will not assert its or their rights or that the applicable owner will not assert its rights to these trademarks, trade names and service marks to the fullest extent under applicable law. Polestar does not intend its use or display of other parties’ trademarks, trade names or service marks to imply, and such use or display should not be construed to imply a relationship with, or endorsement or sponsorship of Polestar by, these other parties.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CURRENCY AND EXCHANGE RATES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unless otherwise specified, all monetary amounts are in U.S. dollars and all references to “$” mean U.S. dollars. Certain monetary amounts described herein have been expressed in U.S. dollars for convenience only and, when expressed in U.S. dollars in the future, such amounts may be different from those set forth herein due to intervening exchange rate fluctuations.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INDUSTRY AND MARKET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otherwise indicated, information contained or incorporated by reference in this prospectus concerning Polestar’s industry, including Polestar’s general expectations and market position, market opportunity and market share, is based on information obtained from various independent sources and reports, as well as management estimates. Polestar has not independently verified the accuracy or completeness of any third-party information. While Polestar believes that the market data, industry forecasts and similar information included or incorporated by reference in this prospectus are generally reliable, such information is inherently imprecise. Forecasts and other forward-looking information obtained from third parties are subject to the same qualifications and uncertainties as the other forward-looking statements in this prospectus or that are incorporated by reference herein. In addition, assumptions and estimates of Polestar’s future performance and growth objectives and the future performance of its industry and the markets in which it operates are necessarily subject to a high degree of uncertainty and risk due to a variety of factors, including those discussed under the headings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Note Regarding Forward-Looking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DEFINED TERMS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stated in this prospectus or the context otherwise requires, references to: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2025 Annual Report” means the Company’s Annual Report on Form 20-F for the year ended December 31, 2025.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ADR Facility” means the Company’s facilities for the deposit of ADRs established with the depositary.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ADS” means American Depositary Shares.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ADS Ratio Change” means the change from the previous ADS ratio of one (1) ADS to one (1) ordinary share, to an ADS ratio of one (1) ADS to thirty (30) ordinary shares, effected December 9, 2025.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Board” means the board of directors of the Company.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Business Combination” means Polestar’s merger with GGI.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Class” means the three classes of directors designated as “Class I”, “Class II”, “Class III”.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Class A ADS” means Class A American Depositary Shares representing Class A Ordinary Shares.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Class A Shares” means Class A ordinary shares of nominal value $0.01 each.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Class B Shares” means Class B ordinary shares of nominal value $0.01 each.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Class C ADS” means the Class C-1 ADS and Class C-2 ADS.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Class C-1 ADS” means Class C-1 American Depositary Shares representing Class C-1 Ordinary Shares.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Class C-2 ADS” means Class C-2 American Depositary Shares.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Class C Shares” means the Class C-1 Shares and Class C-2 Shares.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Class C-1 Shares” means Class C-1 ordinary shares of nominal value $0.10 each.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Class C-2 Shares” means Class C-2 ordinary shares of nominal value $0.10 each.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Closing” means the closing of the Business Combination, which occurred on June 23, 2022.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Code” means the Internal Revenue Code of 1986, as amended.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Companies Act” means the United Kingdom Companies Act 2006.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Company” means Polestar Automotive Holding UK PLC.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DGCL” means the Delaware General Corporation Law.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Depositary” means Citibank, N.A., acting as depositary under the Deposit Agreement.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Deposit Agreements” means the ADS Deposit Agreement — Class A ADSs, ADS Deposit Agreement — Class C-1 ADSs, and the ADS Deposit Agreement — Class C-2 ADSs.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Exchange Act” means the Securities Exchange Act of 1934, as amended.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Geely” means Zhejiang Geely Holding Group Company Limited.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Geely Conversion Agreement” means the December 19, 2025 agreement pursuant to which Polestar agreed with Geely Sweden Automotive Investment AB to convert approximately USD 300 million in principal owed by Polestar to Geely Sweden Automotive Investment AB into 15,511,892 Class A ADSs ultimately issued to Geely Sweden Automotive B.V.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GGI” means Gores Guggenheim, Inc.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GSAI BV” means Geely Sweden Automotive Investment B.V.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IFRS” means International Financial Reporting Standards.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IRS” means the U.S. Internal Revenue Service.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Nasdaq” means Nasdaq Stock Market LLC.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Polestar Articles” means the Articles of Association of Polestar dated July 1, 2025.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PSD” means PSD Investment Ltd.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Securities Act” means the Securities Act of 1933, as amended.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Securities Purchase Agreement” means the June 16, 2025 agreement signed pursuant to which Polestar agreed to sell 190,476,190 Class A ADSs to PSD Investment Limited through a private investment in public equity.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Selling Securityholders” means Geely Sweden Automotive Investment B.V., PSD Investment Limited, and Snita Holding B.V.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Snita” means Snita Holding B.V.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IOCI"/>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Snita Conversion Agreement” means the March 31, 2026 agreement pursuant to which Polestar agreed with Snita Holding B.V. to convert approximately USD 339 million in principal owed by Polestar to Snita Holding B.V. under the terms of a 2023 term facility agreement into 20,014,300 Class A ADSs issued to Snita Holding B.V.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Snita Distribution” means the pro rata distribution of a portion of the Class A ADSs held by Snita to its shareholders, including GSAI BV.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Takeover Code” means the United Kingdom City Code on Takeovers and Mergers.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Treasury Regulations” means existing and proposed Treasury regulations promulgated under the Code.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Volvo Cars” means Volvo Car AB (publ) and its subsidiaries.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it, which means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incorporated documents are considered part of this prospectus; </w:t>
      </w:r>
      <w:r>
        <mc:AlternateContent>
          <mc:Choice Requires="wps">
            <w:drawing>
              <wp:anchor behindDoc="0" distT="7493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disclose important information to you by referring to those documents; and </w:t>
      </w:r>
      <w:r>
        <mc:AlternateContent>
          <mc:Choice Requires="wps">
            <w:drawing>
              <wp:anchor behindDoc="0" distT="7493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that we file with the SEC in the future and incorporate by reference herein will automatically update and supersede information in this prospectus and information previously incorporated by reference herein. </w:t>
      </w:r>
      <w:r>
        <mc:AlternateContent>
          <mc:Choice Requires="wps">
            <w:drawing>
              <wp:anchor behindDoc="0" distT="7493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that we incorporate by reference is an important part of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Any statement contained in such incorporated documents shall be deemed to be modified or superseded for the purpose of this prospectus to the extent that a subsequent statement contained in another document we incorporate by reference at a later date modifies or supersedes that statement. Any such statement so modified or superseded shall not be deemed, except as so modified or superseded, to constitute a part of this prospectus.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herein by reference: </w:t>
      </w:r>
    </w:p>
    <w:p>
      <w:pPr>
        <w:pStyle w:val="TextBody"/>
        <w:bidi w:val="0"/>
        <w:spacing w:lineRule="atLeast" w:line="240" w:before="118" w:after="0"/>
        <w:ind w:left="1993" w:right="0" w:hanging="0"/>
        <w:jc w:val="left"/>
        <w:rPr/>
      </w:pPr>
      <w:hyperlink r:id="rId3">
        <w:r>
          <w:rPr>
            <w:rStyle w:val="InternetLink"/>
          </w:rPr>
          <w:t>the 2025 Annual Report on Form 20-F filed with the SEC on April 17,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Company’s Reports on Form 6-K filed with the SEC on </w:t>
      </w:r>
      <w:hyperlink r:id="rId4">
        <w:r>
          <w:rPr>
            <w:rStyle w:val="InternetLink"/>
          </w:rPr>
          <w:t>February 2, 2026</w:t>
        </w:r>
      </w:hyperlink>
      <w:r>
        <w:rPr>
          <w:rFonts w:ascii="Times New Roman;Times;serif" w:hAnsi="Times New Roman;Times;serif"/>
          <w:b w:val="false"/>
          <w:i w:val="false"/>
          <w:caps w:val="false"/>
          <w:smallCaps w:val="false"/>
          <w:color w:val="000000"/>
          <w:spacing w:val="4"/>
          <w:sz w:val="20"/>
        </w:rPr>
        <w:t xml:space="preserve">, </w:t>
      </w:r>
      <w:hyperlink r:id="rId5">
        <w:r>
          <w:rPr>
            <w:rStyle w:val="InternetLink"/>
          </w:rPr>
          <w:t>March 16, 2026</w:t>
        </w:r>
      </w:hyperlink>
      <w:r>
        <w:rPr>
          <w:rFonts w:ascii="Times New Roman;Times;serif" w:hAnsi="Times New Roman;Times;serif"/>
          <w:b w:val="false"/>
          <w:i w:val="false"/>
          <w:caps w:val="false"/>
          <w:smallCaps w:val="false"/>
          <w:color w:val="000000"/>
          <w:spacing w:val="4"/>
          <w:sz w:val="20"/>
        </w:rPr>
        <w:t xml:space="preserve">, </w:t>
      </w:r>
      <w:hyperlink r:id="rId6">
        <w:r>
          <w:rPr>
            <w:rStyle w:val="InternetLink"/>
          </w:rPr>
          <w:t>March 31, 2026</w:t>
        </w:r>
      </w:hyperlink>
      <w:r>
        <w:rPr>
          <w:rFonts w:ascii="Times New Roman;Times;serif" w:hAnsi="Times New Roman;Times;serif"/>
          <w:b w:val="false"/>
          <w:i w:val="false"/>
          <w:caps w:val="false"/>
          <w:smallCaps w:val="false"/>
          <w:color w:val="000000"/>
          <w:spacing w:val="4"/>
          <w:sz w:val="20"/>
        </w:rPr>
        <w:t xml:space="preserve"> (excluding Exhibit 99.1), </w:t>
      </w:r>
      <w:hyperlink r:id="rId7">
        <w:r>
          <w:rPr>
            <w:rStyle w:val="InternetLink"/>
          </w:rPr>
          <w:t>June 3, 2026</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July 1, 2026</w:t>
        </w:r>
      </w:hyperlink>
      <w:r>
        <w:rPr>
          <w:rFonts w:ascii="Times New Roman;Times;serif" w:hAnsi="Times New Roman;Times;serif"/>
          <w:b w:val="false"/>
          <w:i w:val="false"/>
          <w:caps w:val="false"/>
          <w:smallCaps w:val="false"/>
          <w:color w:val="000000"/>
          <w:spacing w:val="4"/>
          <w:sz w:val="20"/>
        </w:rPr>
        <w:t xml:space="preserve"> (excluding Exhibit 99.1), </w:t>
      </w:r>
      <w:hyperlink r:id="rId9">
        <w:r>
          <w:rPr>
            <w:rStyle w:val="InternetLink"/>
          </w:rPr>
          <w:t>September 3, 2026</w:t>
        </w:r>
      </w:hyperlink>
      <w:r>
        <w:rPr>
          <w:rFonts w:ascii="Times New Roman;Times;serif" w:hAnsi="Times New Roman;Times;serif"/>
          <w:b w:val="false"/>
          <w:i w:val="false"/>
          <w:caps w:val="false"/>
          <w:smallCaps w:val="false"/>
          <w:color w:val="000000"/>
          <w:spacing w:val="4"/>
          <w:sz w:val="20"/>
        </w:rPr>
        <w:t xml:space="preserve"> (excluding Exhibit 99.3) (Accession No. 0001884082-26-000013, the “Financial Statements 6-K”) and </w:t>
      </w:r>
      <w:hyperlink r:id="rId10">
        <w:r>
          <w:rPr>
            <w:rStyle w:val="InternetLink"/>
          </w:rPr>
          <w:t>September 3, 2026</w:t>
        </w:r>
      </w:hyperlink>
      <w:r>
        <w:rPr>
          <w:rFonts w:ascii="Times New Roman;Times;serif" w:hAnsi="Times New Roman;Times;serif"/>
          <w:b w:val="false"/>
          <w:i w:val="false"/>
          <w:caps w:val="false"/>
          <w:smallCaps w:val="false"/>
          <w:color w:val="000000"/>
          <w:spacing w:val="4"/>
          <w:sz w:val="20"/>
        </w:rPr>
        <w:t xml:space="preserve"> (excluding Exhibit 10.1) (Accession No. 0001104659-26-105064); and </w:t>
      </w:r>
      <w:r>
        <mc:AlternateContent>
          <mc:Choice Requires="wps">
            <w:drawing>
              <wp:anchor behindDoc="0" distT="7493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the Company’s securities filed as </w:t>
      </w:r>
      <w:hyperlink r:id="rId11">
        <w:r>
          <w:rPr>
            <w:rStyle w:val="InternetLink"/>
          </w:rPr>
          <w:t>Exhibit 2.14</w:t>
        </w:r>
      </w:hyperlink>
      <w:r>
        <w:rPr>
          <w:rFonts w:ascii="Times New Roman;Times;serif" w:hAnsi="Times New Roman;Times;serif"/>
          <w:b w:val="false"/>
          <w:i w:val="false"/>
          <w:caps w:val="false"/>
          <w:smallCaps w:val="false"/>
          <w:color w:val="000000"/>
          <w:spacing w:val="4"/>
          <w:sz w:val="20"/>
        </w:rPr>
        <w:t xml:space="preserve"> to the 2025 Annual Report, and any amendment and report filed for the purpose of updating such description.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prospectus any further filings we make with the SEC under Sections 13(a), 13(c), 14 or 15(d) of the Exchange Act (other than information “furnished” and not filed with the SEC). Therefore, all Annual Reports on Form 20-F that we file with the SEC following the 2025 Annual Report and prior to the completion or termination of this offering, shall be incorporated by reference. We may also incorporate by reference any Reports on Form 6-K that we “furnish” to the SEC and in which we specifically identify information as being incorporated by reference into this prospectus after the date hereof and prior to the completion or termination of the offering of securities under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of which this prospectus forms a part under the Securities Act, covering the securities to be offered and sold by this prospectus and any applicable prospectus supplement. This prospectus does not contain all of the information included in such registration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N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some of which is contained in exhibits to the registration statement. The registration statement, including the exhibits, can be read at the SEC website referred to below under “</w:t>
      </w:r>
      <w:r>
        <w:rPr>
          <w:rFonts w:ascii="Times New Roman;Times;serif" w:hAnsi="Times New Roman;Times;serif"/>
          <w:b w:val="false"/>
          <w:i/>
          <w:caps w:val="false"/>
          <w:smallCaps w:val="false"/>
          <w:color w:val="000000"/>
          <w:spacing w:val="4"/>
          <w:sz w:val="20"/>
        </w:rPr>
        <w:t>Where You Can Find Additional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made in this prospectus or any prospectus supplement concerning the contents of any contract, agreement or other document is only a summary of the actual contract, agreement or other document. If we have filed any contract, document, agreement or other document as an exhibit to the registration statement or any other document incorporated herein by reference, you should read the exhibit for a more complete understanding of the document or matter involved. Each summary or statement regarding a contract, agreement or other document is qualified in its entirety by reference to the actual complete document.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obtain any of the filings, documents or information incorporated by reference in this prospectus through us or from the SEC through the SEC’s website at www.sec.gov. Our filings with the SEC, including our Annual Reports on Form 20-F and Reports on Form 6-K and exhibits incorporated therein and amendments to those reports, are also available free of charge on our website (https://www.polestar.com/us/) as soon as reasonably practicable after they are filed with, or furnished to, the SEC. The reference to our website is an inactive textual reference only, and information contained therein or connected thereto is not incorporated into this prospectus or the registration statement of which it forms a part. We will provide to each person, including any beneficial owner, to whom this prospectus is delivered, a copy of any or all the reports or documents incorporated by reference in this prospectus at no cost, upon written or oral request to: Polestar Automotive Holding UK PLC, Assar Gabrielssons Väg 9, 405 31 Gothenburg, Sweden, +1 (551) 284 9479.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that we incorporate by reference or provide in this prospectus or any applicable prospectus supplement(s). We have not authorized anyone to provide you with different information. You should not assume that the information in this prospectus or any prospectus supplement is accurate as of any date other than the date on the front of those documents.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information incorporated by reference herein includes, or may include, statements that express Polestar’s opinions, expectations, beliefs, plans, objectives, assumptions or projections regarding future events or future results and therefore are, or may be deemed to be, “forward-looking statements” as defined in Section 27A of the Securities Act, and Section 21E of the Exchange Act, that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the information incorporated herein by reference and include statements regarding Polestar’s intentions, beliefs or current expectations concerning, among other things: the benefits of the Business Combination; results of operations; financial condition; liquidity; prospects; growth; strategies and the markets in which Polestar operates, including estimates and forecasts of financial and operational metrics, projections of market opportunity, market share and vehicle sales;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 facilities; future sales channels and strategies; and future market launches and expansion.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forward-looking statements are based on available current market information and the current expectations of Polestar, including beliefs and forecasts concerning future developments and the potential effects of such developments on Polestar. Factors that may impact such forward-looking statements include: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Polestar’s ability to enter into or maintain agreements or partnerships with its strategic partners, including Volvo Cars and Geely, original equipment manufacturers, vendors and technology providers; </w:t>
      </w:r>
      <w:r>
        <mc:AlternateContent>
          <mc:Choice Requires="wps">
            <w:drawing>
              <wp:anchor behindDoc="0" distT="7366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Polestar’s ability to maintain relationships with its existing suppliers, source new suppliers for its critical components and enter into longer term supply contracts and complete building out its supply chain; </w:t>
      </w:r>
      <w:r>
        <mc:AlternateContent>
          <mc:Choice Requires="wps">
            <w:drawing>
              <wp:anchor behindDoc="0" distT="7366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Polestar’s ability to raise additional funding; </w:t>
      </w:r>
      <w:r>
        <mc:AlternateContent>
          <mc:Choice Requires="wps">
            <w:drawing>
              <wp:anchor behindDoc="0" distT="0" distB="0" distL="254000" distR="0" simplePos="0" locked="0" layoutInCell="1" allowOverlap="1" relativeHeight="14">
                <wp:simplePos x="0" y="0"/>
                <wp:positionH relativeFrom="column">
                  <wp:align>left</wp:align>
                </wp:positionH>
                <wp:positionV relativeFrom="line">
                  <wp:posOffset>635</wp:posOffset>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Polestar’s ability to successfully execute cost-cutting activities and strategic efficiency initiatives; </w:t>
      </w:r>
      <w:r>
        <mc:AlternateContent>
          <mc:Choice Requires="wps">
            <w:drawing>
              <wp:anchor behindDoc="0" distT="7112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Polestar’s estimates of expenses, profitability, gross margin, cash flow, and cash reserves; </w:t>
      </w:r>
      <w:r>
        <mc:AlternateContent>
          <mc:Choice Requires="wps">
            <w:drawing>
              <wp:anchor behindDoc="0" distT="7112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Polestar’s ability to continue to meet stock exchange listing standards; </w:t>
      </w:r>
      <w:r>
        <mc:AlternateContent>
          <mc:Choice Requires="wps">
            <w:drawing>
              <wp:anchor behindDoc="0" distT="7112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domestic and foreign business, market, financial, political and legal conditions; </w:t>
      </w:r>
      <w:r>
        <mc:AlternateContent>
          <mc:Choice Requires="wps">
            <w:drawing>
              <wp:anchor behindDoc="0" distT="7112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demand for Polestar’s vehicles or car sale volumes, revenue and margin development based on pricing, variant and market mix, cost reduction efficiencies, logistics and growing aftersales; </w:t>
      </w:r>
      <w:r>
        <mc:AlternateContent>
          <mc:Choice Requires="wps">
            <w:drawing>
              <wp:anchor behindDoc="0" distT="6985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delays in the expected timelines for the development, design, manufacture, launch and financing of Polestar’s vehicles and Polestar’s reliance on a limited number of vehicle models to generate revenues; </w:t>
      </w:r>
      <w:r>
        <mc:AlternateContent>
          <mc:Choice Requires="wps">
            <w:drawing>
              <wp:anchor behindDoc="0" distT="6985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increases in costs, disruption of supply or shortage of materials, in particular for lithium-ion cells or semiconductors; </w:t>
      </w:r>
      <w:r>
        <mc:AlternateContent>
          <mc:Choice Requires="wps">
            <w:drawing>
              <wp:anchor behindDoc="0" distT="6985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product recalls, regulatory fines and/or an unexpectedly high volume of warranty claims; </w:t>
      </w:r>
      <w:r>
        <mc:AlternateContent>
          <mc:Choice Requires="wps">
            <w:drawing>
              <wp:anchor behindDoc="0" distT="6985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w:t>
      </w:r>
      <w:r>
        <mc:AlternateContent>
          <mc:Choice Requires="wps">
            <w:drawing>
              <wp:anchor behindDoc="0" distT="6985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Polestar to grow and manage growth profitably, maintain relationships with customers and suppliers and retain its management and key employees; </w:t>
      </w:r>
      <w:r>
        <mc:AlternateContent>
          <mc:Choice Requires="wps">
            <w:drawing>
              <wp:anchor behindDoc="0" distT="6985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future market adoption of Polestar’s offerings; </w:t>
      </w:r>
      <w:r>
        <mc:AlternateContent>
          <mc:Choice Requires="wps">
            <w:drawing>
              <wp:anchor behindDoc="0" distT="6985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Polestar’s current distribution model and the evolution of its distribution model in the future; </w:t>
      </w:r>
      <w:r>
        <mc:AlternateContent>
          <mc:Choice Requires="wps">
            <w:drawing>
              <wp:anchor behindDoc="0" distT="6985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competition and the high barriers to entry in the automotive industry and the pace and depth of electric vehicle adoption generally on Polestar’s future business; </w:t>
      </w:r>
      <w:r>
        <mc:AlternateContent>
          <mc:Choice Requires="wps">
            <w:drawing>
              <wp:anchor behindDoc="0" distT="6985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regulatory requirements (including environmental laws and regulations and regulations related to connected vehicles and Polestar’s response to the US government’s denial of a specific authorization for the US), governmental incentives, tariffs and fuel and energy prices; </w:t>
      </w:r>
      <w:r>
        <mc:AlternateContent>
          <mc:Choice Requires="wps">
            <w:drawing>
              <wp:anchor behindDoc="0" distT="6985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Polestar’s reliance on the development of vehicle charging networks to provide charging solutions for its vehicles and its strategic partners for servicing its vehicles and their integrated software; </w:t>
      </w:r>
      <w:r>
        <mc:AlternateContent>
          <mc:Choice Requires="wps">
            <w:drawing>
              <wp:anchor behindDoc="0" distT="6985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Polestar’s ability to establish its brand and capture additional market share, and the risks associated with negative press or reputational harm, including from electric vehicle fires; </w:t>
      </w:r>
      <w:r>
        <mc:AlternateContent>
          <mc:Choice Requires="wps">
            <w:drawing>
              <wp:anchor behindDoc="0" distT="6985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potential litigation, government and regulatory proceedings, tax audits, investigations and inquiries; </w:t>
      </w:r>
      <w:r>
        <mc:AlternateContent>
          <mc:Choice Requires="wps">
            <w:drawing>
              <wp:anchor behindDoc="0" distT="6985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Polestar’s ability to continuously and rapidly innovate, develop and market new products; </w:t>
      </w:r>
      <w:r>
        <mc:AlternateContent>
          <mc:Choice Requires="wps">
            <w:drawing>
              <wp:anchor behindDoc="0" distT="6985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the ongoing conflict between Ukraine and Russia and the conflict with Iran and the conflict in the Red Sea; and </w:t>
      </w:r>
      <w:r>
        <mc:AlternateContent>
          <mc:Choice Requires="wps">
            <w:drawing>
              <wp:anchor behindDoc="0" distT="6985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other risks and uncertainties included in this Report under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can be no assurance that future developments affecting Polestar will be those that Polestar has anticipated.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Should one or more of these risks or uncertainties materialize, or should any of the assumptions prove incorrect, actual results may 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PRSU"/>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certain information about us, this offering and selected information contained elsewhere in this prospectus or incorporated by reference in this prospectus. This summary is not complete and does not contain all of the information that you should consider before deciding whether to invest in the securities covered by this prospectus. You should read the following summary together with the more detailed information in this prospectus, any related prospectus supplement and any related free writing prospectus, including the information set forth in the section entitled “Risk Factors” in this prospectus, any related prospectus supplement and any related free writing prospectus in their entirety before making an investment decision. Each of the risk factors could adversely affect our business, operating results and financial condition, as well as adversely affect the value of an investment in our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is a pure play, premium electric performance car brand headquartered in Sweden, designing products engineered to excite consumers and drive change. Polestar believes that it defines market-leading standards in design, innovation and sustainability. Polestar is determined to improve society by accelerating the shift to sustainable mobility. Polestar was established as a premium electric car brand by Volvo Cars and Geely in 2017. Polestar benefits from the technological, engineering and manufacturing capabilities of these established global car manufacturers. Polestar has a capital-efficient, asset-light business model.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1, an electric performance hybrid GT, was launched to establish Polestar in the premium performance electric vehicle market in 2017. Production of the Polestar 1 ceased at the end of 2021, making Polestar a dedicated electric vehicle manufacturer. Polestar 2, an electric performance fastback and Polestar’s first fully electric, high-volume car was launched in 2019. Polestar 2 has four variants with a choice of long- and standard range batteries. Polestar 3, an electric performance SUV, was launched in 2022. Polestar 3 features two motor variants: a rear motor configuration and a dual-motor configuration with a power bias towards the rear. Polestar 4 coupé, a sporty coupé, was launched in 2023 with dual- and single-motor variants available, with the single-motor featuring rear-wheel drive with the Polestar 4 SUV variant, also offered in single- and dual-motor versions, launched in September 2026. Polestar 5, a four-door performance Grand Tourer, was revealed in September 2025; it is available in two configurations: Polestar 5 Dual motor and Polestar 5 Performance.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Polestar’s cars have received major acclaim, winning multiple globally recognized awards across design, innovation and sustainability. Highlights for Polestar 1 include Insider car of the year and GQ’s Best Hybrid Sports Car awards. Polestar 2 alone has won over 50 awards, including various Car of the Year awards, the Golden Steering Wheel, Red Dot’s Best of the Best Product Design and a 2021 Innovation by Design award from Fast Company. Polestar 3, the SUV for the electric age, was previously named Car WOW’s Car of the Year and ESUV of the Year as well as receiving a Guinness World Record in 2025 for longest journey travelled by an electric SUV on a single charge. Polestar 4 coupé has previously won the Production Car Design of the Year award for 2023 and in 2025 received the prestigious Red Dot “Best of the Best” award in Product Design for 2025, recognizing its design direction and attention to detail. Both Polestar 3 and Polestar 4 coupé were awarded the Red Dot Label in the Product Design category.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has also received a total of five awards from the German Design Council, including the German Design Awards for the Polestar 5 concept car and the ABC award for the Polestar 6 electric roadster concept. Furthermore, the Polestar 6 has been voted the Concept Car of the Year in Car Design Review.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September 28, 2026, Polestar is active or launching in 31 markets across Europe, North America, and the Asia Pacific region. Polestar’s cars are manufactured in China, the U.S., and South Korea. The production of Polestar 4 at Busan, South Korea commenced in the second half of 2025 and the production of Polestar 5 at Wuhan and Chongqing, China commenced in January 2026. In summer 2025, Polestar signed a memorandum of understanding with Volvo Cars to have Polestar 7 manufactured in Kosice, Slovakia, in advance of the planned launch of the premium compact SUV in 2028.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Company’s Class A ADSs are listed on Nasdaq, under the trading symbol “PSNY.”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Foreign Private 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sections of the Exchange Act regulating the solicitation of proxies, consents, or authorizations in respect of a security registered under the Exchange Act; </w:t>
      </w:r>
      <w:r>
        <mc:AlternateContent>
          <mc:Choice Requires="wps">
            <w:drawing>
              <wp:anchor behindDoc="0" distT="7747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sections of the Exchange Act creating liability for insiders who profit from trades made in a short period of time; and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rules under the Exchange Act requiring the filing with the SEC of quarterly reports on Form 10-Q containing unaudited financial and other specified information, or current reports on Form 8-K, upon the occurrence of specified significant events.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corporate governance committee consisting entirely of independent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Furthermore, Nasdaq rules also generally require each listed company to obtain shareholder approval prior to the issuance of securities in certain circumstances in connection with the acquisition of the stock or assets of another company, equity-based compensation of officers, directors, employees, or consultants, change of control and certain transactions other than a public offering. As a foreign private issuer, the Company is exempt from these requirements and may elect not to obtain shareholders’ approval prior to any further issuance of our Class A ADSs other than as may be required by the laws of England and Wales.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Although the Company was previously subject to requirements under the Polestar Articles and Shareholder Acknowledgment Agreement that the Board be comprised of a majority of independent directors for the three years following the Closing, or until June 23, 2025, the Company may in the future elect to avail itself of these foreign private issuer exemptions or to follow home country practices with regard to these or other matters. As a result, its shareholders would not have the same protections afforded to shareholders of companies that are subject to all of Nasdaq’s corporate governance requirements. Presently, the Board is comprised of a majority of independent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Controlled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virtue of being a controlled company under Nasdaq listing rules, the Company may elect not to comply with certain Nasdaq corporate governance requirements, including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majority of the board of directors consist of independent directors;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compensation committee be composed entirely of independent directors with a written charter addressing the committee’s purpose and responsibilities;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nominating and governance committee be composed entirely of independent directors with a written charter addressing the committee’s purpose and responsibilities; and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there be an annual performance evaluation of the compensation and nominating and corporate governance committees.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Other than as specified above, the Company may in the future elect to avail itself of these exemptions. As a result, its shareholders will not have the same protections afforded to shareholders of companies that are subject to all of Nasdaq’s corporate governance requirements.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 investment in securities of Polestar involves substantial risks and uncertainties that may adversely affect Polestar’s business, financial condition and results of operations and cash flows. Some of the more significant challenges and risks relating to an investment in Polestar include, among other things,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Polestar’s future growth and financial performance depends on the production and sale of its current and new vehicle models on an anticipated timeline and within an anticipated cost and pricing structure;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Polestar’s ability to generate meaningful product revenue will depend on consumer adoption of electric vehicles; </w:t>
      </w:r>
      <w:r>
        <mc:AlternateContent>
          <mc:Choice Requires="wps">
            <w:drawing>
              <wp:anchor behindDoc="0" distT="736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Polestar’s operations rely on its strategic partners, including Geely and Volvo Cars, and on key suppliers, including for manufacturing vehicles, research and development, intellectual property, engineering and logistics; </w:t>
      </w:r>
      <w:r>
        <mc:AlternateContent>
          <mc:Choice Requires="wps">
            <w:drawing>
              <wp:anchor behindDoc="0" distT="7366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is dependent on its strategic partners and suppliers, some of which are single-source suppliers;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success of Polestar’s business and its future financial performance are dependent on cost-cutting and strategic initiatives; </w:t>
      </w:r>
      <w:r>
        <mc:AlternateContent>
          <mc:Choice Requires="wps">
            <w:drawing>
              <wp:anchor behindDoc="0" distT="736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may be unable to adequately control or predict the substantial costs associated with its operations;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success and growth of Polestar’s business depends upon its ability to continuously and rapidly innovate, develop and market new products and there are significant risks related to future market adoption of Polestar’s products;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operates in an intensely competitive market, which is generally cyclical and volatile; </w:t>
      </w:r>
      <w:r>
        <mc:AlternateContent>
          <mc:Choice Requires="wps">
            <w:drawing>
              <wp:anchor behindDoc="0" distT="736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Polestar’s sales depend in part on its ability to establish and maintain confidence in its business prospects among consumers, analysts and others within its industry;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Polestar’s future growth and financial performance are dependent on it meeting its ability to generate positive cash flow from its operations and to raise the necessary capital to fund its business plan and service its debt obligations;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covenants in our debt agreements may restrict our operating activities;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relies on the development of vehicle charging networks to provide charging solutions for its vehicles;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relies on its strategic partners for servicing its vehicles and on their systems, such as dealer management systems and diagnostic tools; </w:t>
      </w:r>
      <w:r>
        <mc:AlternateContent>
          <mc:Choice Requires="wps">
            <w:drawing>
              <wp:anchor behindDoc="0" distT="7366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Polestar’s vehicles fail to perform as expected, its ability to develop, market and sell or lease its products could be harmed; </w:t>
      </w:r>
      <w:r>
        <mc:AlternateContent>
          <mc:Choice Requires="wps">
            <w:drawing>
              <wp:anchor behindDoc="0" distT="7366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may become subject to product liability claims, which could harm its financial condition and liquidity if it is not able to successfully defend or insure against such claims;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uninsured losses, including losses resulting from product liability, accidents, acts of God and other claims against Polestar, could result in payment of substantial damages, which would decrease Polestar’s cash reserves and could harm its cash flow and financial condition;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must develop complex software and technology systems, including in coordination with its strategic partners, vendors and suppliers, in order to produce its electric vehicles;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faces risks associated with international operations, including tariffs and unfavorable regulatory, political, tax and labor conditions;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 </w:t>
      </w:r>
      <w:r>
        <mc:AlternateContent>
          <mc:Choice Requires="wps">
            <w:drawing>
              <wp:anchor behindDoc="0" distT="736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 </w:t>
      </w:r>
      <w:r>
        <mc:AlternateContent>
          <mc:Choice Requires="wps">
            <w:drawing>
              <wp:anchor behindDoc="0" distT="0" distB="0" distL="254000" distR="0" simplePos="0" locked="0" layoutInCell="1" allowOverlap="1" relativeHeight="61">
                <wp:simplePos x="0" y="0"/>
                <wp:positionH relativeFrom="column">
                  <wp:align>left</wp:align>
                </wp:positionH>
                <wp:positionV relativeFrom="line">
                  <wp:posOffset>635</wp:posOffset>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relies heavily on manufacturing facilities and suppliers based in China, including single-source suppliers; </w:t>
      </w:r>
      <w:r>
        <mc:AlternateContent>
          <mc:Choice Requires="wps">
            <w:drawing>
              <wp:anchor behindDoc="0" distT="7239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Polestar updates or discontinues the use of its manufacturing equipment more quickly than expected, it may have to shorten the useful lives of any equipment to be retired as a result of any such update; </w:t>
      </w:r>
      <w:r>
        <mc:AlternateContent>
          <mc:Choice Requires="wps">
            <w:drawing>
              <wp:anchor behindDoc="0" distT="7239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Polestar’s main distribution approach is different from the currently predominant distribution model for automakers, and its long-term viability is unproven; </w:t>
      </w:r>
      <w:r>
        <mc:AlternateContent>
          <mc:Choice Requires="wps">
            <w:drawing>
              <wp:anchor behindDoc="0" distT="7239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insufficient reserves to cover future warranty or part replacement needs or other vehicle repair requirements, including any potential software upgrades, could have a material and adverse effect on Polestar; </w:t>
      </w:r>
      <w:r>
        <mc:AlternateContent>
          <mc:Choice Requires="wps">
            <w:drawing>
              <wp:anchor behindDoc="0" distT="7239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may be unable to offer attractive leasing and financing options for its current vehicle models and future vehicles, which would adversely affect consumer demand for its vehicles; </w:t>
      </w:r>
      <w:r>
        <mc:AlternateContent>
          <mc:Choice Requires="wps">
            <w:drawing>
              <wp:anchor behindDoc="0" distT="7239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is subject to risks associated with advanced driver assistance system technology; </w:t>
      </w:r>
      <w:r>
        <mc:AlternateContent>
          <mc:Choice Requires="wps">
            <w:drawing>
              <wp:anchor behindDoc="0" distT="7239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developments in electric vehicle or alternative fuel technology or improvements in the internal combustion engine may adversely affect the demand for Polestar’s vehicles; </w:t>
      </w:r>
      <w:r>
        <mc:AlternateContent>
          <mc:Choice Requires="wps">
            <w:drawing>
              <wp:anchor behindDoc="0" distT="7239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extended periods of low gasoline or other petroleum-based fuel prices could adversely affect our business, prospects, results of operations and financial condition; </w:t>
      </w:r>
      <w:r>
        <mc:AlternateContent>
          <mc:Choice Requires="wps">
            <w:drawing>
              <wp:anchor behindDoc="0" distT="7239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changes in foreign currency rates, interest rate risks, or inflation could materially affect Polestar’s results of operations; </w:t>
      </w:r>
      <w:r>
        <mc:AlternateContent>
          <mc:Choice Requires="wps">
            <w:drawing>
              <wp:anchor behindDoc="0" distT="7239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has identified material weaknesses in its internal control over financial reporting, and if it is unable to remediate them or identifies additional material weaknesses, it could lead to errors in financial reporting; </w:t>
      </w:r>
      <w:r>
        <mc:AlternateContent>
          <mc:Choice Requires="wps">
            <w:drawing>
              <wp:anchor behindDoc="0" distT="7239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market price and trading volumes of the ADSs may be volatile and could significantly decline; </w:t>
      </w:r>
      <w:r>
        <mc:AlternateContent>
          <mc:Choice Requires="wps">
            <w:drawing>
              <wp:anchor behindDoc="0" distT="7239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grant and future exercise of registration rights may adversely affect the market price of the ADSs; </w:t>
      </w:r>
      <w:r>
        <mc:AlternateContent>
          <mc:Choice Requires="wps">
            <w:drawing>
              <wp:anchor behindDoc="0" distT="7239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Class C ADSs will be exercisable for the Class A ADSs, which would increase the number of ADSs eligible for future resale in the public market and result in dilution to its shareholders without the approval of the holders of the ADSs; </w:t>
      </w:r>
      <w:r>
        <mc:AlternateContent>
          <mc:Choice Requires="wps">
            <w:drawing>
              <wp:anchor behindDoc="0" distT="7239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Nasdaq may not continue to list the Class A ADSs, which could limit investors’ ability to make transactions in the Company’s securities and subject the Company to additional trading restrictions; </w:t>
      </w:r>
      <w:r>
        <mc:AlternateContent>
          <mc:Choice Requires="wps">
            <w:drawing>
              <wp:anchor behindDoc="0" distT="7239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requirements of being a public company may strain Polestar’s resources and distract its management; </w:t>
      </w:r>
      <w:r>
        <mc:AlternateContent>
          <mc:Choice Requires="wps">
            <w:drawing>
              <wp:anchor behindDoc="0" distT="7239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Polestar is a foreign private issuer and follows certain home country corporate governance practices, its shareholders may not have the same protections afforded to shareholders of companies that are subject to all of Nasdaq’s requirements; </w:t>
      </w:r>
      <w:r>
        <mc:AlternateContent>
          <mc:Choice Requires="wps">
            <w:drawing>
              <wp:anchor behindDoc="0" distT="7239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may lose its foreign private issuer status in the future, which could result in significant additional costs and expenses;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has identified material weaknesses in its internal control over financial reporting, and if Polestar is unable to remediate these material weaknesses or identifies additional material weaknesses, it could lead to errors in Polestar’s financial reporting; </w:t>
      </w:r>
      <w:r>
        <mc:AlternateContent>
          <mc:Choice Requires="wps">
            <w:drawing>
              <wp:anchor behindDoc="0" distT="7239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has identified material weaknesses in its internal control over financial reporting, and if Polestar fails to develop and maintain an effective system of internal control over financial reporting, it may be unable to accurately report its financial results or prevent fraud; </w:t>
      </w:r>
      <w:r>
        <mc:AlternateContent>
          <mc:Choice Requires="wps">
            <w:drawing>
              <wp:anchor behindDoc="0" distT="7239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Polestar’s dual-class voting structure may limit your ability to influence corporate matters and could discourage others from pursuing any change of control transactions that holders of the Company securities or ADSs may view as beneficial; </w:t>
      </w:r>
      <w:r>
        <mc:AlternateContent>
          <mc:Choice Requires="wps">
            <w:drawing>
              <wp:anchor behindDoc="0" distT="0" distB="0" distL="254000" distR="0" simplePos="0" locked="0" layoutInCell="1" allowOverlap="1" relativeHeight="81">
                <wp:simplePos x="0" y="0"/>
                <wp:positionH relativeFrom="column">
                  <wp:align>left</wp:align>
                </wp:positionH>
                <wp:positionV relativeFrom="line">
                  <wp:posOffset>635</wp:posOffset>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may face difficulties in protecting your interests, and your ability to protect your rights through U.S. courts may be limited, because Polestar is incorporated under the laws of England and Wales, because Polestar conducts substantially all of its operations outside of the United States and a majority of Polestar’s directors and executive officers reside outside of the United States; </w:t>
      </w:r>
      <w:r>
        <mc:AlternateContent>
          <mc:Choice Requires="wps">
            <w:drawing>
              <wp:anchor behindDoc="0" distT="1003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it is not expected that Polestar will pay dividends in the foreseeable future; </w:t>
      </w:r>
      <w:r>
        <mc:AlternateContent>
          <mc:Choice Requires="wps">
            <w:drawing>
              <wp:anchor behindDoc="0" distT="1003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Polestar has granted, and anticipates granting additional, share-based incentives, which may result in increased share-based compensation expenses; </w:t>
      </w:r>
      <w:r>
        <mc:AlternateContent>
          <mc:Choice Requires="wps">
            <w:drawing>
              <wp:anchor behindDoc="0" distT="1003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holders of ADSs have fewer rights than direct holders of the Company securities and must act through the Depositary to exercise their rights, and the voting rights of holders of ADSs are limited by the terms of the Deposit Agreements; </w:t>
      </w:r>
      <w:r>
        <mc:AlternateContent>
          <mc:Choice Requires="wps">
            <w:drawing>
              <wp:anchor behindDoc="0" distT="1016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Depositary for the ADSs will give Polestar a discretionary proxy to vote the Company securities underlying the ADSs if the holders of such ADSs do not give timely voting instructions to the Depositary, except in limited circumstances, which could adversely affect the interests of holders of the ADSs; </w:t>
      </w:r>
      <w:r>
        <mc:AlternateContent>
          <mc:Choice Requires="wps">
            <w:drawing>
              <wp:anchor behindDoc="0" distT="1016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Polestar Articles and the Deposit Agreements provide that the federal district courts of the United States of America will be the exclusive forum for resolving any complaint asserting a cause of action arising under the Securities Act and the Exchange Act, and the Deposit Agreements provide that the federal district courts in the City of New York will be the exclusive forum for resolving complaints involving the ADSs; and that certain claims may only be instituted in the courts of England and Wales, which could limit the ability of security holders of Polestar to choose a favorable judicial forum for disputes with Polestar or Polestar’s directors, officers or employees; </w:t>
      </w:r>
      <w:r>
        <mc:AlternateContent>
          <mc:Choice Requires="wps">
            <w:drawing>
              <wp:anchor behindDoc="0" distT="1016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 ADS holder’s right to pursue claims against the Depositary is limited by the terms of the Deposit Agreements; </w:t>
      </w:r>
      <w:r>
        <mc:AlternateContent>
          <mc:Choice Requires="wps">
            <w:drawing>
              <wp:anchor behindDoc="0" distT="1016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ADS holders may not be entitled to a jury trial with respect to claims arising under the Deposit Agreements, which could result in less favorable results to the plaintiff(s) in any such action; </w:t>
      </w:r>
      <w:r>
        <mc:AlternateContent>
          <mc:Choice Requires="wps">
            <w:drawing>
              <wp:anchor behindDoc="0" distT="1016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Depositary for the ADSs is entitled to charge holders fees for various services; </w:t>
      </w:r>
      <w:r>
        <mc:AlternateContent>
          <mc:Choice Requires="wps">
            <w:drawing>
              <wp:anchor behindDoc="0" distT="1016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ADS holders may not receive dividends or other distributions of the Company securities and the holders thereof may not receive any value for them, if it is illegal or impractical to make them available to such holders; and </w:t>
      </w:r>
      <w:r>
        <mc:AlternateContent>
          <mc:Choice Requires="wps">
            <w:drawing>
              <wp:anchor behindDoc="0" distT="1016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holders of ADSs may be subject to limitations on transfer of their ADSs; the Company may be subject to securities litigation. </w:t>
      </w:r>
      <w:r>
        <mc:AlternateContent>
          <mc:Choice Requires="wps">
            <w:drawing>
              <wp:anchor behindDoc="0" distT="1016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Selling Securityholders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Selling Securityholders are related parties of the Company and obtained the Class A ADSs through either (1) related party transactions with the Company or (2) the pro rata distribution of a portion of the Class A ADSs held by Snita to its shareholders, including GSAI BV. PSD purchased 6,349,206 Class A ADSs from the Company for an aggregate purchase price of USD 200,000,000 through a private investment in public equity pursuant to the Securities Purchase Agreement. Snita converted approximately USD 339,000,000 of principal owed by Polestar under a 2023 term loan facility into 20,014,300 Class A ADSs pursuant to the Snita Conversion Agreement. GSAI BV converted approximately USD 300,000,000 of principal owed by Polestar to GASE BV into 15,511,892 Class A ADSs issued to GSAI BV. GSAI BV received 16,738,542 Class A ADSs in the Snita Distribution. The Selling Securityholders are controlled by Mr. Li Shufu.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was incorporated under the laws of England and Wales as a company limited by shares on September 15, 2021, and was re-registered as a public limited company under the laws of England and Wales on May 5, 2022 in connection with the Business Combination. The Company’s registered office in England is The Pavilions, Bridgwater Road, Bristol, England, BS13 8AE. The address of the principal executive office of the Company is Assar Gabrielssons Väg 9 405 31 Göteborg, Sweden, and the telephone number of the Company is (551) 284-9479.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 maintains an Internet site that contains reports, proxy and information statements, and other information regarding issuers that file electronically with the SEC. The SEC’s website is http://www.sec.gov. The Company’s principal website address is https://www.polestar.com/us/. We do not incorporate the information contained on, or accessible through, the Company’s websites into this prospectus, and you should not consider it a part of this prospectus.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THOF"/>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summary below describes the principal terms of the offering. The “Description of Share Capital and Articles of Association” and “Description of American Depositary Shares” sections of this prospectus contain a more detailed description of the Company’s Class A ADSs.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Securities being registered for resale by the Selling Securityholders: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58,613,940 Class A ADSs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Offering price for resales: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Selling Securityholders will determine when and how they will dispose of the Class A ADSs, the resale of which is being registered under this prospectus.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Class A ADSs issued and outstanding prior to the </w:t>
      </w:r>
      <w:r>
        <w:rPr>
          <w:rFonts w:ascii="Times New Roman;Times;serif" w:hAnsi="Times New Roman;Times;serif"/>
          <w:b/>
          <w:i w:val="false"/>
          <w:caps w:val="false"/>
          <w:smallCaps w:val="false"/>
          <w:color w:val="000000"/>
          <w:sz w:val="20"/>
          <w:bdr w:val="single" w:sz="8" w:space="1" w:color="000000"/>
        </w:rPr>
        <w:br/>
      </w:r>
      <w:r>
        <w:rPr>
          <w:rFonts w:ascii="Times New Roman;Times;serif" w:hAnsi="Times New Roman;Times;serif"/>
          <w:b/>
          <w:i w:val="false"/>
          <w:caps w:val="false"/>
          <w:smallCaps w:val="false"/>
          <w:color w:val="000000"/>
          <w:spacing w:val="-4"/>
          <w:sz w:val="20"/>
          <w:bdr w:val="single" w:sz="8" w:space="1" w:color="000000"/>
        </w:rPr>
        <w:t>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163,283,710 Class A ADSs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of the securities offered by the Selling Securityholders pursuant to this prospectus will be sold by the Selling Securityholders for their respective accounts. We will not receive any of the proceeds from such sales.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Dividend Policy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never declared or paid any cash dividend on our capital stock. We currently intend to retain any future earnings and do not expect to pay any dividends in the foreseeable future. Any further determination to pay dividends would be at the discretion of our board of directors, subject to applicable laws, and would depend on our financial condition, results of operations, capital requirements, general business conditions, and other factors that our board of directors may deem relevant.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Market for our Class A ADSs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Class A ADSs are listed on Nasdaq under the trading symbol “PSNY.”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You should carefully consider the information set forth herein under “Risk Factors.”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RIFA"/>
      <w:bookmarkEnd w:id="9"/>
      <w:r>
        <w:rPr>
          <w:rFonts w:ascii="calibri;arial;sans-serif" w:hAnsi="calibri;arial;sans-serif"/>
          <w:b w:val="false"/>
          <w:i w:val="false"/>
          <w:caps w:val="false"/>
          <w:smallCaps w:val="false"/>
          <w:color w:val="000000"/>
          <w:sz w:val="16"/>
        </w:rPr>
        <w:t>​</w:t>
      </w:r>
      <w:bookmarkStart w:id="10" w:name="tUOP"/>
      <w:bookmarkEnd w:id="10"/>
      <w:r>
        <w:rPr>
          <w:rFonts w:ascii="calibri;arial;sans-serif" w:hAnsi="calibri;arial;sans-serif"/>
          <w:b w:val="false"/>
          <w:i w:val="false"/>
          <w:caps w:val="false"/>
          <w:smallCaps w:val="false"/>
          <w:color w:val="000000"/>
          <w:sz w:val="16"/>
        </w:rPr>
        <w:t>​</w:t>
      </w:r>
      <w:bookmarkStart w:id="11" w:name="tDIPO"/>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our securities involves risk. Before making a decision to invest in our securities, you should carefully consider the risk factors discussed in our then-most recent Annual Report on Form 20-F, and the updates, if any, to those risk factors in our reports on Form 6-K incorporated by reference in this prospectus, together with all of the other information appearing or incorporated by reference in this prospectus, in light of your particular investment objectives and financial circumstances. See “Information Incorporated by Reference” and “Where You Can Find Additional Information.” Our risk factors should be read in conjunction with our financial statements and notes to the financial statements incorporated by reference herein and the information included under the headings “Operating and Financial Review and Prospectus” in our Annual Report on Form 20-F or our “Management’s Discussion and Analysis of Financial Conditions and Results of Operations” included in our Reports on Form 6-K that are incorporated by reference herein. You should also carefully consider the matters addressed in the section entitled “Cautionary Note Regarding Forward-Looking Statements” and read any information appearing or incorporated by reference in this prospectus in conjunction with such cautionary statements regarding our forward-looking statements. If any of the risks we identify actually occur, it may materially harm our business, financial condition, liquidity and results of operations. As a result, the market price of our securities could decline, and you could lose all or part of your investment. The risk factors that we discuss are not exhaustive and some risks that we currently deem immaterial may become significant in the future. Further, new risks not presently known to us may emerge in the future and prove to be significant. We cannot predict future risks or estimate the extent to which they may affect our business, results of operations, financial condition and prospects.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Resale and Ownership of Our Class A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Selling Securityholders may sell the Class A ADSs at prices below the current market price.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are not restricted as to the prices at which they may sell or otherwise dispose of the Class A ADSs covered by this prospectus. Sales or other dispositions of the Class A ADSs below the then-current market prices could adversely affect the market price of our Class A ADSs.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 large number of Class A ADSs may be sold following this offering, the sale of which, or perception that such sale could occur, may decrease the market price of our Class A ADSs.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A ADSs sold in the offering will be freely tradable without restriction or further registration under the Securities Act. As a result, a substantial number of Class A ADSs may be sold in the public market following this offering. If there are significantly more Class A ADSs offered for sale than buyers are willing to purchase, then the market price of our Class A ADSs may decline to a market price at which buyers are willing to purchase the offered Class A ADSs and sellers remain willing to sell Class A ADSs.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of the Class A ADSs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entitled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never declared or paid any cash dividend on our Class A ADSs. We currently intend to retain any future earnings and do not expect to pay any dividends in the foreseeable future. Any further determination to pay dividends on our Class A ADSs would be at the discretion of the Board, subject to applicable laws, and would depend on our financial condition, results of operations, capital requirements, general business conditions, and other factors that the Board may deem relevant. For more information, also see “</w:t>
      </w:r>
      <w:r>
        <w:rPr>
          <w:rFonts w:ascii="Times New Roman;Times;serif" w:hAnsi="Times New Roman;Times;serif"/>
          <w:b w:val="false"/>
          <w:i/>
          <w:caps w:val="false"/>
          <w:smallCaps w:val="false"/>
          <w:color w:val="000000"/>
          <w:spacing w:val="4"/>
          <w:sz w:val="20"/>
        </w:rPr>
        <w:t>Description of Share Capital and Articles of Association — Polestar Articles and English Law Considerations — Other English Law Considerations — Distributions &amp; Dividend</w:t>
      </w:r>
      <w:r>
        <w:rPr>
          <w:rFonts w:ascii="Times New Roman;Times;serif" w:hAnsi="Times New Roman;Times;serif"/>
          <w:b w:val="false"/>
          <w:i w:val="false"/>
          <w:caps w:val="false"/>
          <w:smallCaps w:val="false"/>
          <w:color w:val="000000"/>
          <w:spacing w:val="4"/>
          <w:sz w:val="20"/>
        </w:rPr>
        <w:t xml:space="preser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CAI"/>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 AND INDEBTEDNESS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following table sets forth our capitalization as of June 30, 2026, and should be read in conjunction with the section entitled “Operating and Financial Review and Prospects,” our management’s discussion and analysis of financial condition and results of operations for the six month period ended June 30, 2026 and 2025 and our unaudited interim financial statements for such period included as Exhibits 99.1 and 99.2, respectively, to the Financial Statements 6-K, and the audited financial statements as of December 31, 2025 and 2024 and for each of the three years in the period ended December 31, 2025, and the notes thereto, which are incorporated in this prospectus by reference to the Company’s </w:t>
      </w:r>
      <w:hyperlink r:id="rId12">
        <w:r>
          <w:rPr>
            <w:rStyle w:val="InternetLink"/>
          </w:rPr>
          <w:t>Annual Report on Form 20-F for the year ended December 31, 2025</w:t>
        </w:r>
      </w:hyperlink>
      <w:r>
        <w:rPr>
          <w:rFonts w:ascii="Times New Roman;Times;serif" w:hAnsi="Times New Roman;Times;serif"/>
          <w:b w:val="false"/>
          <w:i w:val="false"/>
          <w:caps w:val="false"/>
          <w:smallCaps w:val="false"/>
          <w:color w:val="000000"/>
          <w:spacing w:val="4"/>
          <w:sz w:val="20"/>
        </w:rPr>
        <w:t xml:space="preserve">. </w:t>
      </w:r>
    </w:p>
    <w:tbl>
      <w:tblPr>
        <w:tblW w:w="5839" w:type="dxa"/>
        <w:jc w:val="left"/>
        <w:tblInd w:w="1393" w:type="dxa"/>
        <w:tblLayout w:type="fixed"/>
        <w:tblCellMar>
          <w:top w:w="0" w:type="dxa"/>
          <w:left w:w="0" w:type="dxa"/>
          <w:bottom w:w="43" w:type="dxa"/>
          <w:right w:w="0" w:type="dxa"/>
        </w:tblCellMar>
      </w:tblPr>
      <w:tblGrid>
        <w:gridCol w:w="3687"/>
        <w:gridCol w:w="109"/>
        <w:gridCol w:w="109"/>
        <w:gridCol w:w="109"/>
        <w:gridCol w:w="226"/>
        <w:gridCol w:w="1336"/>
        <w:gridCol w:w="109"/>
        <w:gridCol w:w="154"/>
      </w:tblGrid>
      <w:tr>
        <w:trPr/>
        <w:tc>
          <w:tcPr>
            <w:tcW w:w="3687" w:type="dxa"/>
            <w:tcBorders>
              <w:bottom w:val="single" w:sz="2" w:space="0" w:color="FFFFFF"/>
            </w:tcBorders>
            <w:vAlign w:val="center"/>
          </w:tcPr>
          <w:p>
            <w:pPr>
              <w:pStyle w:val="TableContents"/>
              <w:bidi w:val="0"/>
              <w:spacing w:before="0" w:after="0"/>
              <w:jc w:val="left"/>
              <w:rPr>
                <w:spacing w:val="-3"/>
              </w:rPr>
            </w:pPr>
            <w:r>
              <w:rPr>
                <w:spacing w:val="-3"/>
              </w:rPr>
              <w:t xml:space="preserve">(in USD 000s)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80" w:type="dxa"/>
            <w:gridSpan w:val="4"/>
            <w:tcBorders>
              <w:bottom w:val="single" w:sz="2" w:space="0" w:color="000000"/>
            </w:tcBorders>
            <w:vAlign w:val="center"/>
          </w:tcPr>
          <w:p>
            <w:pPr>
              <w:pStyle w:val="TableContents"/>
              <w:bidi w:val="0"/>
              <w:spacing w:before="0" w:after="0"/>
              <w:jc w:val="center"/>
              <w:rPr/>
            </w:pPr>
            <w:r>
              <w:rPr>
                <w:spacing w:val="-3"/>
              </w:rPr>
              <w:t xml:space="preserve">As of </w:t>
            </w:r>
            <w:r>
              <w:rPr/>
              <w:br/>
            </w:r>
            <w:r>
              <w:rPr>
                <w:spacing w:val="-3"/>
              </w:rPr>
              <w:t xml:space="preserve">June 30, 2026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87" w:type="dxa"/>
            <w:tcBorders/>
            <w:shd w:fill="CCEEFF" w:val="clear"/>
            <w:tcMar>
              <w:bottom w:w="0" w:type="dxa"/>
            </w:tcMar>
            <w:vAlign w:val="center"/>
          </w:tcPr>
          <w:p>
            <w:pPr>
              <w:pStyle w:val="TableContents"/>
              <w:bidi w:val="0"/>
              <w:spacing w:before="0" w:after="283"/>
              <w:jc w:val="left"/>
              <w:rPr/>
            </w:pPr>
            <w:r>
              <w:rPr>
                <w:spacing w:val="-4"/>
              </w:rPr>
              <w:t>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87" w:type="dxa"/>
            <w:tcBorders/>
            <w:tcMar>
              <w:bottom w:w="0" w:type="dxa"/>
            </w:tcMar>
            <w:vAlign w:val="center"/>
          </w:tcPr>
          <w:p>
            <w:pPr>
              <w:pStyle w:val="TableContents"/>
              <w:bidi w:val="0"/>
              <w:spacing w:before="0" w:after="0"/>
              <w:jc w:val="left"/>
              <w:rPr>
                <w:spacing w:val="4"/>
              </w:rPr>
            </w:pPr>
            <w:r>
              <w:rPr>
                <w:spacing w:val="4"/>
              </w:rPr>
              <w:t xml:space="preserve">Non-current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6" w:type="dxa"/>
            <w:tcBorders/>
            <w:tcMar>
              <w:bottom w:w="0" w:type="dxa"/>
            </w:tcMar>
            <w:vAlign w:val="center"/>
          </w:tcPr>
          <w:p>
            <w:pPr>
              <w:pStyle w:val="TableContents"/>
              <w:bidi w:val="0"/>
              <w:spacing w:before="0" w:after="283"/>
              <w:jc w:val="right"/>
              <w:rPr/>
            </w:pPr>
            <w:r>
              <w:rPr/>
              <w:t>1,305,851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8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Current liabilities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shd w:fill="CCEEFF" w:val="clear"/>
            <w:tcMar>
              <w:bottom w:w="50" w:type="dxa"/>
            </w:tcMar>
            <w:vAlign w:val="center"/>
          </w:tcPr>
          <w:p>
            <w:pPr>
              <w:pStyle w:val="TableContents"/>
              <w:bidi w:val="0"/>
              <w:spacing w:before="0" w:after="283"/>
              <w:jc w:val="right"/>
              <w:rPr/>
            </w:pPr>
            <w:r>
              <w:rPr/>
              <w:t>6,942,477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87" w:type="dxa"/>
            <w:tcBorders>
              <w:bottom w:val="single" w:sz="2" w:space="0" w:color="FFFFFF"/>
            </w:tcBorders>
            <w:tcMar>
              <w:bottom w:w="50" w:type="dxa"/>
            </w:tcMar>
            <w:vAlign w:val="center"/>
          </w:tcPr>
          <w:p>
            <w:pPr>
              <w:pStyle w:val="TableContents"/>
              <w:bidi w:val="0"/>
              <w:spacing w:before="0" w:after="0"/>
              <w:jc w:val="left"/>
              <w:rPr/>
            </w:pPr>
            <w:r>
              <w:rPr>
                <w:spacing w:val="-4"/>
              </w:rPr>
              <w:t>Total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tcMar>
              <w:bottom w:w="50" w:type="dxa"/>
            </w:tcMar>
            <w:vAlign w:val="center"/>
          </w:tcPr>
          <w:p>
            <w:pPr>
              <w:pStyle w:val="TableContents"/>
              <w:bidi w:val="0"/>
              <w:spacing w:before="0" w:after="283"/>
              <w:jc w:val="right"/>
              <w:rPr/>
            </w:pPr>
            <w:r>
              <w:rPr/>
              <w:t>8,248,328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87" w:type="dxa"/>
            <w:tcBorders/>
            <w:shd w:fill="CCEEFF" w:val="clear"/>
            <w:tcMar>
              <w:bottom w:w="0" w:type="dxa"/>
            </w:tcMar>
            <w:vAlign w:val="center"/>
          </w:tcPr>
          <w:p>
            <w:pPr>
              <w:pStyle w:val="TableContents"/>
              <w:bidi w:val="0"/>
              <w:spacing w:before="0" w:after="283"/>
              <w:jc w:val="left"/>
              <w:rPr/>
            </w:pPr>
            <w:r>
              <w:rPr>
                <w:spacing w:val="-4"/>
              </w:rPr>
              <w:t>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87" w:type="dxa"/>
            <w:tcBorders/>
            <w:tcMar>
              <w:bottom w:w="0" w:type="dxa"/>
            </w:tcMar>
            <w:vAlign w:val="center"/>
          </w:tcPr>
          <w:p>
            <w:pPr>
              <w:pStyle w:val="TableContents"/>
              <w:bidi w:val="0"/>
              <w:spacing w:before="0" w:after="0"/>
              <w:jc w:val="left"/>
              <w:rPr>
                <w:spacing w:val="4"/>
              </w:rPr>
            </w:pPr>
            <w:r>
              <w:rPr>
                <w:spacing w:val="4"/>
              </w:rPr>
              <w:t xml:space="preserve">Share Capital (the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6" w:type="dxa"/>
            <w:tcBorders/>
            <w:tcMar>
              <w:bottom w:w="0" w:type="dxa"/>
            </w:tcMar>
            <w:vAlign w:val="center"/>
          </w:tcPr>
          <w:p>
            <w:pPr>
              <w:pStyle w:val="TableContents"/>
              <w:bidi w:val="0"/>
              <w:spacing w:before="0" w:after="283"/>
              <w:jc w:val="right"/>
              <w:rPr/>
            </w:pPr>
            <w:r>
              <w:rPr/>
              <w:t>49,349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87" w:type="dxa"/>
            <w:tcBorders/>
            <w:shd w:fill="CCEEFF" w:val="clear"/>
            <w:tcMar>
              <w:bottom w:w="0" w:type="dxa"/>
            </w:tcMar>
            <w:vAlign w:val="center"/>
          </w:tcPr>
          <w:p>
            <w:pPr>
              <w:pStyle w:val="TableContents"/>
              <w:bidi w:val="0"/>
              <w:spacing w:before="0" w:after="0"/>
              <w:jc w:val="left"/>
              <w:rPr>
                <w:spacing w:val="4"/>
              </w:rPr>
            </w:pPr>
            <w:r>
              <w:rPr>
                <w:spacing w:val="4"/>
              </w:rPr>
              <w:t xml:space="preserve">Other contributed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5,436,424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87" w:type="dxa"/>
            <w:tcBorders/>
            <w:tcMar>
              <w:bottom w:w="0" w:type="dxa"/>
            </w:tcMar>
            <w:vAlign w:val="center"/>
          </w:tcPr>
          <w:p>
            <w:pPr>
              <w:pStyle w:val="TableContents"/>
              <w:bidi w:val="0"/>
              <w:spacing w:before="0" w:after="0"/>
              <w:jc w:val="left"/>
              <w:rPr>
                <w:spacing w:val="4"/>
              </w:rPr>
            </w:pPr>
            <w:r>
              <w:rPr>
                <w:spacing w:val="4"/>
              </w:rPr>
              <w:t xml:space="preserve">Foreign currency translation 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6" w:type="dxa"/>
            <w:tcBorders/>
            <w:tcMar>
              <w:bottom w:w="0" w:type="dxa"/>
            </w:tcMar>
            <w:vAlign w:val="center"/>
          </w:tcPr>
          <w:p>
            <w:pPr>
              <w:pStyle w:val="TableContents"/>
              <w:bidi w:val="0"/>
              <w:spacing w:before="0" w:after="283"/>
              <w:jc w:val="right"/>
              <w:rPr/>
            </w:pPr>
            <w:r>
              <w:rPr/>
              <w:t>(106,256)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8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Accumulated deficit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shd w:fill="CCEEFF" w:val="clear"/>
            <w:tcMar>
              <w:bottom w:w="50" w:type="dxa"/>
            </w:tcMar>
            <w:vAlign w:val="center"/>
          </w:tcPr>
          <w:p>
            <w:pPr>
              <w:pStyle w:val="TableContents"/>
              <w:bidi w:val="0"/>
              <w:spacing w:before="0" w:after="283"/>
              <w:jc w:val="right"/>
              <w:rPr/>
            </w:pPr>
            <w:r>
              <w:rPr/>
              <w:t>(10,111,283)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87" w:type="dxa"/>
            <w:tcBorders>
              <w:bottom w:val="single" w:sz="2" w:space="0" w:color="FFFFFF"/>
            </w:tcBorders>
            <w:tcMar>
              <w:bottom w:w="50" w:type="dxa"/>
            </w:tcMar>
            <w:vAlign w:val="center"/>
          </w:tcPr>
          <w:p>
            <w:pPr>
              <w:pStyle w:val="TableContents"/>
              <w:bidi w:val="0"/>
              <w:spacing w:before="0" w:after="0"/>
              <w:jc w:val="left"/>
              <w:rPr/>
            </w:pPr>
            <w:r>
              <w:rPr>
                <w:spacing w:val="-4"/>
              </w:rPr>
              <w:t>Total equity</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36" w:type="dxa"/>
            <w:tcBorders>
              <w:bottom w:val="single" w:sz="2" w:space="0" w:color="000000"/>
            </w:tcBorders>
            <w:tcMar>
              <w:bottom w:w="50" w:type="dxa"/>
            </w:tcMar>
            <w:vAlign w:val="center"/>
          </w:tcPr>
          <w:p>
            <w:pPr>
              <w:pStyle w:val="TableContents"/>
              <w:bidi w:val="0"/>
              <w:spacing w:before="0" w:after="283"/>
              <w:jc w:val="right"/>
              <w:rPr/>
            </w:pPr>
            <w:r>
              <w:rPr/>
              <w:t>(4,731,766)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87" w:type="dxa"/>
            <w:tcBorders/>
            <w:shd w:fill="CCEEFF" w:val="clear"/>
            <w:tcMar>
              <w:bottom w:w="0" w:type="dxa"/>
            </w:tcMar>
            <w:vAlign w:val="center"/>
          </w:tcPr>
          <w:p>
            <w:pPr>
              <w:pStyle w:val="TableContents"/>
              <w:bidi w:val="0"/>
              <w:spacing w:before="0" w:after="0"/>
              <w:jc w:val="left"/>
              <w:rPr/>
            </w:pPr>
            <w:r>
              <w:rPr>
                <w:spacing w:val="-4"/>
              </w:rPr>
              <w:t>Total equity and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36" w:type="dxa"/>
            <w:tcBorders>
              <w:bottom w:val="double" w:sz="8" w:space="0" w:color="000000"/>
            </w:tcBorders>
            <w:shd w:fill="CCEEFF" w:val="clear"/>
            <w:tcMar>
              <w:bottom w:w="50" w:type="dxa"/>
            </w:tcMar>
            <w:vAlign w:val="center"/>
          </w:tcPr>
          <w:p>
            <w:pPr>
              <w:pStyle w:val="TableContents"/>
              <w:bidi w:val="0"/>
              <w:spacing w:before="0" w:after="283"/>
              <w:jc w:val="right"/>
              <w:rPr/>
            </w:pPr>
            <w:r>
              <w:rPr/>
              <w:t>3,516,562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OSC"/>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SHARE CAPITAL AND ARTICLES OF ASSOCIATION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description of the securities of the Company, which are represented by ADSs. This description also summarizes relevant provisions of English law. The following summary does not purport to be complete and is subject to, and is qualified in its entirety by reference to, the applicable provisions of English law and the Polestar Articles, a copy of which is filed as an exhibit to the registration statement of which this prospectus forms a part. We encourage you to read the Polestar Articles and the applicable provisions of English law for additional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 summary of certain information concerning the Company’s share capital as well as a description of certain provisions of the Polestar Articles and relevant provisions of the Companies Act. The summary below contains only material information concerning the Company’s share capital and corporate status and does not purport to be complete and is qualified in its entirety by reference to the Polestar Articles and applicable English law. Further, please note that holders of ADSs (see section entitled “Description of American Depositary Shares”) will not be treated as one of the Company’s shareholders and will not have any shareholder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15, 2021, the Company was incorporated under the laws of England and Wales as Polestar Automotive Holding UK Limited, with nominal assets and liabilities for the purpose of becoming the ultimate holding company for Polestar and consummating the Business Combination. The Company has re-registered as a public limited company under the laws of England and Wales with the name “Polestar Automotive Holding UK PLC.”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authority approved by shareholders at the Company’s annual general meeting held on June 26, 2026, the directors are authorized under section 551 of the Companies Act to allot, and to grant rights to subscribe for or to convert any security into, up to 3,182,774,460 additional Class A Shares and 1,747,474,169 additional Class B Shares. When taken together with the Class A Shares and Class B Shares already in issue at the time such authority was approved, the authority provides for the allotment of up to an aggregate total of 7,500,000,000 Class A Shares and 1,777,366,739 Class B Shares. This authority will expire on June 26, 2031, unless previously revoked, varied or renewed by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September 23, 2026, the following securities were in issue: 4,898,511,300 Class A Shares, 29,892,570 Class B Shares, 20,499,960 Class C-1 Shares, 4,499,970 Class C-2 Shares and 50,000 GPB Redeemable Preferred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Company Share Capital and Polestar Articles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Company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provisions of English law and any preferences that may apply to shares outstanding at the time, holders of outstanding Class A Shares and Class B Shares are entitled to receive dividends out of assets legally available at the times and in the amounts as the Board may determine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dividends (or other distribution) paid by the Company shall be applied among the holders of outstanding Class A Shares and Class B Shares pro rata to the number of such shares respectively held by them. For the avoidance of doubt, the Class C Shares, the GBP Redeemable Preferred Shares and the Deferred Shares shall not entitle their holders to participate in any dividends or other distributions.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deduct from any dividend in respect of a share all such sums as may be due from him or her to the Company on account of calls or otherwise in relation to the shares of the Company. Sums so deducted can be used to pay amounts owing to the Company in respect of the shares. Any dividend unclaimed after a period of 12 years from the date such dividend was declared shall, if the Board so resolves, be forfeited and shall revert to the Company. In addition, the payment by the Board of any unclaimed dividend, interest or other sum payable on or in respect of shares into a separate account shall not constitute the Company as a trustee in respect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never declared or paid any cash dividend on our Class A ADSs. We currently intend to retain any future earnings and do not expect to pay any dividends in the foreseeable future. Any further determination to pay dividends on our Class A ADSs would be at the discretion of the Board, subject to applicable laws, and would depend on our financial condition, results of operations, capital requirements, general business conditions, and other factors that the Board may deem relevant.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Class A Share is entitled to one vote on all matters submitted to a vote of shareholders, each outstanding Class B Share is entitled to 10 votes on all matters submitted to a vote of shareholders and each outstanding Class C Share is entitled to one vote on all matters submitted to a vote of shareholders. Deferred Shares and GBP Redeemable Preferred Shares carry no voting rights and do not entitle their holders to receive notice of, to attend, to speak or to vote at any general meeting of the Company. Holders of Company securities shall have no cumulative voting rights. None of the Company’s shareholders will be entitled to vote at any general meeting or at any separate class meeting in respect of any share unless all calls or other sums payable in respect of that share have been paid.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Preemptive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rights of preemption under the Polestar Articles in respect of transfers of issued shares. In certain circumstances, Company shareholders may have statutory preemption rights under the Companies Act in respect of the allotment of new shares. These statutory preemption rights would require the Company to offer new equity securities (which includes ordinary shares but excludes most forms of preferred shares) for allotment to existing ordinary shareholders (including holders of Class A Shares and Class B Shares) on a pro rata basis before allotting them to other persons, unless shareholders dis-apply such rights by a special resolution for a period of not more than five years at a shareholders’ meeting. These preemption rights have been dis-applied in respect of certain Company securities and the Company intends to propose equivalent resolutions in the future once the initial period of dis-application has expired. In any circumstance where the preemption rights have not been dis-applied, the procedure for the exercise of such statutory preemption rights would be set out in the documentation by which such equity securities would be offered to Company shareholders.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Conversion or Redemption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A Shares are not convertible or redeemable, provided that the Board has the right to issue additional classes of shares in the Company (including redeemable shares) on such terms and conditions, and with such rights attached, as it may determine. The conversion and redemption features of the Class C Shares are described below under “Class C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Class B Share is convertible into one Class A Share at any time at the option of the holder of such Class B Share. The right to convert such Class B Shares into Class A Shares will be exercisable by the holder of the Class B Share delivering a written notice to the Company that such holder elects to convert a specified number of Class B Shares into Class A Shares. In no event shall Class A Shares be convertible into Class B Shares. Any conversion of a Class B Share into a Class A Share shall be effected by means of the re-designation of each relevant Class B Share as a Class A Share or by such other method as may be approved by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provisions of the Companies Act, Polestar shall be entitled, at any time, to serve notice on all or some of the holders of the GBP Redeemable Preferred Shares that it wishes to redeem all or some of the GBP Redeemable Preferred Shares in issue at that time on the date falling 14 days after service of such notice (or on such other date as may be agreed between Polestar and the holders of the relevant GBP Redeemable Preferred Shares).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On a return of asse</w:t>
      </w:r>
      <w:r>
        <w:rPr>
          <w:rFonts w:ascii="Times New Roman;Times;serif" w:hAnsi="Times New Roman;Times;serif"/>
          <w:b w:val="false"/>
          <w:i w:val="false"/>
          <w:caps w:val="false"/>
          <w:smallCaps w:val="false"/>
          <w:color w:val="000000"/>
          <w:spacing w:val="4"/>
          <w:sz w:val="20"/>
        </w:rPr>
        <w:t xml:space="preserve">ts on liquidation or otherwise, the assets of Polestar remaining after payment of its debts and liabilities and available for distribution to holders of Class A Shares, Class B Shares, Class C Shares Deferred Shares and GBP Redeemable Preferred Shares will be applied in the following manner and order of priority: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to the holders of the GBP Redeemable Preferred Shares an amount equal to the nominal value of such shares; </w:t>
      </w:r>
      <w:r>
        <mc:AlternateContent>
          <mc:Choice Requires="wps">
            <w:drawing>
              <wp:anchor behindDoc="0" distT="0" distB="0" distL="254000" distR="0" simplePos="0" locked="0" layoutInCell="1" allowOverlap="1" relativeHeight="93">
                <wp:simplePos x="0" y="0"/>
                <wp:positionH relativeFrom="column">
                  <wp:align>left</wp:align>
                </wp:positionH>
                <wp:positionV relativeFrom="line">
                  <wp:posOffset>635</wp:posOffset>
                </wp:positionV>
                <wp:extent cx="254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w:t>
      </w:r>
      <w:r>
        <mc:AlternateContent>
          <mc:Choice Requires="wps">
            <w:drawing>
              <wp:anchor behindDoc="0" distT="97790" distB="0" distL="254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holders of the Class A Shares and Class B Shares pro rata to the number of Class A Shares and Class B Shares respectively held by them up to an amount of $1 million per Class A Share or Class B Share; and </w:t>
      </w:r>
      <w:r>
        <mc:AlternateContent>
          <mc:Choice Requires="wps">
            <w:drawing>
              <wp:anchor behindDoc="0" distT="97790" distB="0" distL="508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holders of the Class C Shares pari passu with the Class A Shares and Class B Shares on an as-converted basis less the conversion price of $11.50 per share (subject to relevant adjustments in the Polestar Articles) pro rata to the number of Class C Shares respectively held by them up to an amount of $1 million per Class C Share; </w:t>
      </w:r>
      <w:r>
        <mc:AlternateContent>
          <mc:Choice Requires="wps">
            <w:drawing>
              <wp:anchor behindDoc="0" distT="97790" distB="0" distL="508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to the holders of Deferred Shares an amount equal to the nominal value of the Deferred Shares; and </w:t>
      </w:r>
      <w:r>
        <mc:AlternateContent>
          <mc:Choice Requires="wps">
            <w:drawing>
              <wp:anchor behindDoc="0" distT="99060" distB="0" distL="25400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fourth: </w:t>
      </w:r>
      <w:r>
        <mc:AlternateContent>
          <mc:Choice Requires="wps">
            <w:drawing>
              <wp:anchor behindDoc="0" distT="99060" distB="0" distL="254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holders of the Class A Shares and Class B Shares pro rata to the number of Class A Shares and Class B Shares respectively held by them; and </w:t>
      </w:r>
      <w:r>
        <mc:AlternateContent>
          <mc:Choice Requires="wps">
            <w:drawing>
              <wp:anchor behindDoc="0" distT="99060" distB="0" distL="50800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holders of the Class C Shares pari passu with Class A Shares and Class B Shares on an as-converted basis less the conversion price of $11.50 per share (subject to relevant adjustments in the Polestar Articles). </w:t>
      </w:r>
      <w:r>
        <mc:AlternateContent>
          <mc:Choice Requires="wps">
            <w:drawing>
              <wp:anchor behindDoc="0" distT="99060" distB="0" distL="50800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Variation of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Companies Act, the rights attached to any class of shares can be varied or abrogated either with the consent in writing of the holders of not less than three-quarters in nominal value of the issued shares of that class (excluding any shares of that class held as treasury shares) or with the authority of a special resolution passed at a separate meeting of the holders of the relevant class of shares known as a class meeting.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Capital Calls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Polestar Articles and the terms on which the Company shares are allotted, the Board has the authority to make calls upon the shareholders in respect of any money unpaid on their shares and each shareholder shall pay to Polestar as required by such notice the amount called on its shares. If a call remains unpaid after it has become due and payable, and the 14 clear days’ notice provided by the Board has not been complied with, any share in respect of which such notice was given may be forfeited by a resolution of the Board. All of the Class A Shares and Class B Shares issued have been credited as fully paid and therefore are not subject to a capital call.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Transfer of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Polestar’s share register is maintained by its registrar, Computershare Trust Company, N.A. Registration in this share register is determinative of share ownership. A shareholder who holds Polestar’s shares through DTC is not the holder of record of such shares. Instead, the depositary (for example, Cede &amp; Co., as nominee for DTC) or other nominee is the holder of record of such shares. Accordingly, a transfer of shares from a person who holds such shares through DTC to a person who also holds such shares through DTC will not be registered in Polestar’s official share register, as the depositary or other nominee will remain the record holder of such shares. The Board may, in its absolute discretion, decline to register a transfer (or renunciation of a renounceable letter of allotment):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a share that is not fully paid; </w:t>
      </w:r>
      <w:r>
        <mc:AlternateContent>
          <mc:Choice Requires="wps">
            <w:drawing>
              <wp:anchor behindDoc="0" distT="736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a share upon which the Company has a lien; </w:t>
      </w:r>
      <w:r>
        <mc:AlternateContent>
          <mc:Choice Requires="wps">
            <w:drawing>
              <wp:anchor behindDoc="0" distT="7239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a share that is not duly stamped (if required) or is duly certified or otherwise shown to the satisfaction of the Board to be exempt from stamp duty (if required); </w:t>
      </w:r>
      <w:r>
        <mc:AlternateContent>
          <mc:Choice Requires="wps">
            <w:drawing>
              <wp:anchor behindDoc="0" distT="7239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it is not delivered for registration to the registered office of the Company (or such other place as the Board may determine) accompanied by the certificate of the share to which it relates or such other evidence reasonably required by the directors to show the right of the transferor to make the transfer; </w:t>
      </w:r>
      <w:r>
        <mc:AlternateContent>
          <mc:Choice Requires="wps">
            <w:drawing>
              <wp:anchor behindDoc="0" distT="0" distB="0" distL="254000" distR="0" simplePos="0" locked="0" layoutInCell="1" allowOverlap="1" relativeHeight="104">
                <wp:simplePos x="0" y="0"/>
                <wp:positionH relativeFrom="column">
                  <wp:align>left</wp:align>
                </wp:positionH>
                <wp:positionV relativeFrom="line">
                  <wp:posOffset>635</wp:posOffset>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a default share where the holder has failed to provide the required details to Polestar subject to certain exceptions; </w:t>
      </w:r>
      <w:r>
        <mc:AlternateContent>
          <mc:Choice Requires="wps">
            <w:drawing>
              <wp:anchor behindDoc="0" distT="4826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respect of more than one class of shares; or </w:t>
      </w:r>
      <w:r>
        <mc:AlternateContent>
          <mc:Choice Requires="wps">
            <w:drawing>
              <wp:anchor behindDoc="0" distT="4826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in the case of a transfer to joint holders of a share, the number of joint holders to whom the share is to be transferred exceeds four. </w:t>
      </w:r>
      <w:r>
        <mc:AlternateContent>
          <mc:Choice Requires="wps">
            <w:drawing>
              <wp:anchor behindDoc="0" distT="4826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Board refuses to register a transfer of a share it shall notify the transferee of the refusal and the reasons for it within two months after the date on which the transfer was lodged with the Company or the instructions to the relevant system received.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Limitations on Ownership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Companies Act and the Polestar Articles, there are no limitations on the right of non-residents of the U.K. or owners who are not citizens of the U.K. to hold or, other than the holders of Deferred Shares or GBP Redeemable Preferred Shares which do not confer voting rights on the relevant holders, vote the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C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thirty whole Class C Shares entitles the holder the right to acquire one Class A ADS (or one Class A Share if at the time of exercise the Company no longer uses the ADR Facility) at an exercise price of $345.00 per Class A ADS (subject to relevant adjustments in the Polestar Articles). A holder of Class C Shares may exercise its Class C Shares only for a whole number of Class A ADSs. This means that only thirty whole Class C Shares may be exercised at any given time by a holder. No fractional Class C Shares will be issued. The Class C Shares will expire five years after the Business Combination Closing on June 23, 2027, at 5:00 p.m., New York City time, or earlier upon redemption or liquidation. For more information about the Class C ADSs and Class C Shares see our Annual Report on Form 20-F and Exhibit 4.2 (Description of Securities) of this registration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Polestar Articles and English Law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summary of certain key provisions of the Polestar Articles is set out below. The summary below is not a complete copy of the terms of our articles of association. For further information, please refer to the full version of the Polestar Articles filed as Exhibit 3.1 of this registration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Polestar Articles contain no specific restrictions on our purpose and therefore, by virtue of section 31(1) of the Companies Act, our purpose is unrestricted.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Polestar Articles contain, among other things, provisions to the following effect: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Numbers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Polestar Articles provide that the number of directors of the Company shall be at least two and not more than fifteen, and that otherwise the number of directors shall be as determined by the Board from time to time. Directors may be appointed by any ordinary resolution of shareholders or by the Board, as described below under “— Appointment and Retirement of Directors.” Each director elected shall hold office until his or her successor is appointed or until his or her earlier resignation or removal in accordance with the Polestar Articles.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Appointment and Retirement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requirements of the Polestar Articles, the Company may by ordinary resolution appoint a person who is willing to act to be a director, either to fill a vacancy or as an addition to the then-existing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but the total number of directors shall not exceed fifteen. Subject to the requirements of the Polestar Articles, the Board also has power at any time to appoint any person who is willing to act as a director, either to fill a vacancy or as an addition to the Board as then existing, but the total number of directors shall not exceed fifteen.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Polestar Articles, at each annual general meeting each director shall retire from office but shall be eligible for re-appointment by ordinary resolution of the Company at such annual general meeting and, in each case, where a director is so re-appointed, shall be entitled to serve until the following annual general meeting, at which such director shall again retire from office but shall be eligible for re-appointment.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Indemnity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Polestar Articles, and subject to the provisions of the Companies Act, each of the Company’s directors is entitled to be indemnified by the Company out of the assets of the Company against all costs, charges, losses, expenses and liabilities incurred by such director or officer in the execution and discharge of his or her duties or in relation to those duties. In addition, each member of the Board entered into a separate deed of indemnity with Polestar (which will also be subject to the provisions of the Companies Act). The Companies Act renders void an indemnity for a director against any liability attaching to him or her in connection with any negligence, default, breach of duty or breach of trust in relation to the company of which he or she is a director.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Shareholders’ Meetings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year, the Company holds an annual general meeting of shareholders in addition to any other meetings held in that year, and will specify the meeting as such in the notice convening it. The annual general meeting will be held at such time and place as the directors may appoint. No business shall be transacted at any general meeting unless a quorum is present when the meeting proceeds to business, but the absence of a quorum shall not preclude the appointment of a chairman, which appointment shall not be treated as part of the business of a meeting. The Polestar Articles provide that the necessary quorum at any general meeting of shareholders (or adjournment thereof) shall be at least two members that in aggregate hold at least 51% of the issued shares of the Company, present in person or by proxy and entitled to attend and to vote on the business to be transacted, at such meeting.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Requisitioning Shareholder Meetings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conditions being satisfied, under the Companies Act shareholders holding at least 5% of the paid-up capital of the Company carrying voting rights at general meetings can require the directors to call a general meeting and shareholders representing at least 5% of the total voting rights exercisable at an annual general meeting can require Polestar to give notice of a resolution to be proposed at that annual general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English Law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Mandatory Purchases and Acquisitions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sections 979 to 982 of the Companies Act, where a takeover offer has been made for the Company, and the offeror has, by virtue of acceptances of the offer, acquired or unconditionally contracted to acquire not less than 90% of the voting rights carried by the class of shares to which the offer relates, the offeror may give notice to the holder of any shares of that class to which the offer relates that the offeror has not acquired or unconditionally contracted to acquire that it desires to acquire those shares on the same terms as the takeover offer. The offeror would do so by sending a notice to the outstanding minority shareholders telling them that it will compulsorily acquire their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notice must be sent within three months of the last day on which the offer can be accepted in the prescribed manner or if earlier, and the offer is not one to which the Takeover Code applies, within the period of six months beginning with the date of the offer. The squeeze out of the minority shareholders can be completed at the end of six weeks from the date the notice has been given, subject to the minority shareholders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failing to successfully lodge an application to the court to prevent such squeeze out any time prior to the end of those six weeks following which the offeror can execute a transfer of the outstanding shares in its favor and pay the consideration to the Company, which would hold the consideration on trust for the outstanding minority shareholders. The consideration offered to the outstanding minority shareholders whose shares are compulsorily acquired under the Companies Act must, in general, be the same as the consideration that was available under the takeover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takeover is structured as a scheme of arrangement pursuant to Part 26 of the Companies Act, the scheme, and therefore takeover, would need to be approved by a majority in number representing 75% in value of the shareholders of each class of shareholders voting, whether in person or by proxy. If approved, the scheme, and therefore takeover, would be binding on 100% of the shareholders of the relevant class(es).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Sell Out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Act also gives minority shareholders a right to be bought out in certain circumstances by an offeror who has made a takeover offer for all of the Company’s shares or of any class or classes of the Company’s shares. A holder of voting shares to which the offer relates, and who has not otherwise accepted the offer, may require the offeror to acquire his shares if, prior to the expiry of the acceptance period for such offer, (1) the offeror has acquired or unconditionally agreed to acquire not less than 90% in value of all the voting shares in the Company (in the case of an offer for all of Polestar’s shares) or of all the shares of that class and (2) not less than 90% of the voting rights in the Company (in the case of an offer for all of the Company’s shares) or of the voting rights carried by that class.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the takeover offer or on such other terms as may be agreed.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Disclosure of Interest in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793 of the Companies Act gives the Company the power to require persons whom the Company knows have, or whom the Company has reasonable cause to believe have, or within the previous three years have had, any ownership interest in any of the Company’s shares (the “</w:t>
      </w:r>
      <w:r>
        <w:rPr>
          <w:rFonts w:ascii="Times New Roman;Times;serif" w:hAnsi="Times New Roman;Times;serif"/>
          <w:b w:val="false"/>
          <w:i/>
          <w:caps w:val="false"/>
          <w:smallCaps w:val="false"/>
          <w:color w:val="000000"/>
          <w:spacing w:val="4"/>
          <w:sz w:val="20"/>
        </w:rPr>
        <w:t>default</w:t>
      </w:r>
      <w:r>
        <w:rPr>
          <w:rFonts w:ascii="Times New Roman;Times;serif" w:hAnsi="Times New Roman;Times;serif"/>
          <w:b w:val="false"/>
          <w:i w:val="false"/>
          <w:caps w:val="false"/>
          <w:smallCaps w:val="false"/>
          <w:color w:val="000000"/>
          <w:spacing w:val="4"/>
          <w:sz w:val="20"/>
        </w:rPr>
        <w:t xml:space="preserve"> shares”), to disclose prescribed particulars of those shares. For this purpose, default shares includes any of the Company’s shares allotted or issued after the date of the Section 793 notice in respect of those shares. Failure to provide the information requested within the prescribed period after the date of sending the notice may result in restrictions being imposed on the default shares under the Polestar Articles (including suspension of voting rights and withholding of dividends), depending on the level of the relevant shareholding, and sanctions being imposed against the holder of the default shares as provided within the Companies Act.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Distributions &amp; Dividends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English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This would include reserves created by way of a court-approved reduction of capital.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not sufficient that the Company, as a public limited company, has distributable profits for the purpose of making a distribution. An additional capital maintenance requirement is imposed on the Company to ensure that the net worth of the Company is at least equal to the amount of its capital. A public limited company can only make a distribution: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time that the distribution is made, the amount of its net assets (that is, the total excess of assets over liabilities) is not less than the total of its called-up share capital and undistributable reserves; and </w:t>
      </w:r>
      <w:r>
        <mc:AlternateContent>
          <mc:Choice Requires="wps">
            <w:drawing>
              <wp:anchor behindDoc="0" distT="104140" distB="0" distL="254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to the extent that, the distribution itself, at the time that it is made, does not reduce the amount of the net assets to less than that total. </w:t>
      </w:r>
      <w:r>
        <mc:AlternateContent>
          <mc:Choice Requires="wps">
            <w:drawing>
              <wp:anchor behindDoc="0" distT="104140" distB="0" distL="254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Purchase of Own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English law, a public limited company may purchase its own shares only out of the distributable profits of the Company or the proceeds of a new issue of shares made for the purpose of financing the purchase. A limited company may not purchase its own shares if as a result of the purchase there would no longer be any issued shares of the Company other than redeemable shares or shares held as treasury shares. Subject to the foregoing, because Nasdaq is not a “recognized investment exchange” under the Companies Act, the Company may purchase its fully paid shares only pursuant to a purchase contract authorized by ordinary resolution of the holders of shares before the purchase takes place. Any authority will not be effective if any shareholder from whom the Company proposes to purchase shares votes on the resolution and the resolution would not have been passed if such shareholder had not done so. The resolution authorizing the purchase must specify a date, not being later than five years after the passing of the resolution, on which the authority to purchase is to expire.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DOAD"/>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AMERICAN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below summarizes the terms of the ADSs.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American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Citibank, N.A. is the depositary (the “Depositary”) for the Company’s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appointed Citibank as Depositary pursuant to a deposit agreement for the Class A ADSs representing the Class A Shares. A copy of the deposit agreement for the Class A ADSs is on file with the SEC under cover of Registration Statement on Form F-6. You may obtain a copy of the Deposit Agreements from the SEC’s Public Reference Room at 100 F Street, N.E., Washington, D.C. 20549 and from the SEC’s website (www.sec.gov). Please refer to Registration Number 333-267086 for the Class A ADSs when retrieving such copy.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is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applicable deposit agreement and not by this summary. Any reference herein to “deposit agreement” is to the deposit agreement for the Class A Share deposit agreement governs the Class A ADSs representing the Class A Shares. As such, holders of ADSs representing Class A Shares of Polestar have no rights or obligations under the deposit agreement for any other class of shares of Polestar. The Company urges you to review the applicable Deposit Agreements in their entirety. </w:t>
      </w:r>
      <w:r>
        <w:rPr>
          <w:rFonts w:ascii="Times New Roman;Times;serif" w:hAnsi="Times New Roman;Times;serif"/>
          <w:b w:val="false"/>
          <w:i/>
          <w:caps w:val="false"/>
          <w:smallCaps w:val="false"/>
          <w:color w:val="000000"/>
          <w:spacing w:val="4"/>
          <w:sz w:val="20"/>
        </w:rPr>
        <w:t>The portions of this summary description that are italicized describe matters that may be relevant to the ownership of ADSs but that may not be contained in the Deposit Agreements.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ADS represents the right to receive, and to exercise the beneficial ownership interests in, thirty Class A Shares (in the case of a Class A ADS)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The Company and the Depositary may agree to change the ADS-to-Share ratio by amending the applicable deposit agreement. This amendment may give rise to, or change, the Depositary fees payable by ADS owners. The custodian, the Depositary and their respective nominees will hold all deposited property for the benefit of the holders and beneficial owners of the applicable ADSs. The deposited property does not constitute the proprietary assets of the Depositary, the custodian or their nominees. Beneficial ownership in the deposited property will under the terms of the deposit agreement be vested in the beneficial owners of the applicable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applicable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become an owner of ADSs, you will become a party to the applicable deposit agreement and therefore will be bound to its terms and to the terms of any ADR that represents your ADSs. The deposit agreement for your ADSs, and the ADR evidencing your ADSs specify the Company’s rights and obligations as well as your rights and obligations as an owner of ADSs and those of the Depositary. As an ADS holder you appoint the Depositary to act on your behalf in certain circumstances. The deposit agreement and the ADRs are governed by New York law, the deposit agreement provides that the federal district courts in the City of New York will be the exclusive forum for resolving any complaint asserting a cause of 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involving the deposit agreement, ADR, or ADSs. However, the Company’s obligations to the holders of the Class A Shares will continue to be governed by the laws of England and Wales, which may be different from the laws 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the Company nor any of its or its respective agents or affiliates shall be required to take any actions whatsoever on your behalf to satisfy such reporting requirements or obtain such regulatory approvals under applicable laws and regulations.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As an owner of ADSs, the Company will not treat you as one of its shareholders and you will not have direct shareholder rights. The Depositary will hold on your behalf the shareholder rights attached to the Class A Shares underlying your ADSs. As an owner of ADSs you will be able to exercise the shareholders rights for the Class A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 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this section will refer to you as the “holder.” The references to “you” assume the reader owns ADSs and will own ADSs at the relevant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of Class A Shares in the name of the Depositary or the custodian shall, to the maximum extent permitted by applicable law, vest in the Depositary or the custodian the record ownership in the applicable Class A Shares with the beneficial ownership rights and interests in such shares being at all times vested with the beneficial owners of the ADSs representing the applicable Class A Shares. The Depositary or the custodian shall at all times be entitled to exercise the beneficial ownership rights in all corresponding deposited property, in each case only on behalf of the holders and beneficial owners of the ADSs representing the deposited property.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Class A Shares, the transfer of which are restricted due to contractual or regulatory limitations and commonly referred to as “Restricted Shares,” are eligible for deposit under the Deposit Agreements only in limited circumstances described under the section entitled “— Restricted ADSs,”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holder of ADSs, you generally have the right to receive the distributions the Company makes on the corresponding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Distributions of Cash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the Company makes a cash distribution for the securities on deposit with the custodian, the Company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of the applicable ADSs, subject to the laws and regulations of England and Wales.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Distributions of Class A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the Company makes a free distribution of Class A Shares for the securities on deposit with the custodian, the Company will deposit the applicable number of Class A Shares with the custodian. Upon receipt of confirmation of such deposit, the Depositary will either distribute to the applicable holders new ADSs representing the Class A Shares deposited or modify the ADS-to-Share ratio, in which case each ADS you hold will represent rights and interests in the additional Class A Shares so deposited. Only whole new ADSs will be distributed. Fractional entitlements will be sold and the proceeds of such sale will be distributed as in the case of a cash distribution.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new ADSs or the modification of the ADS-to-Share ratio upon a distribution of Shares will be made net of the fees, expenses, taxes and governmental charges payable by holders under the terms of the deposit agreement. In order to pay such taxes or governmental charges, the Depositary may sell all or a portion of the new Class A Shares so distributed.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such distribution of new ADSs will be made if it would violate a law (e.g., the U.S. securities laws) or if it is not operationally practicable. If the Depositary does not distribute new ADSs as described above, it may sell the Class A Shares received upon the terms described in the deposit agreement and will distribute the proceeds of the sale as in the case of a distribution of cash.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Distributions of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the Company intends to distribute rights to subscribe for additional Class A Shares, the Company will give prior notice to the Depositary and will assist the Depositary in determining whether it is lawful and reasonably practicable to distribute rights to subscribe for additional ADSs to the applicable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establish procedures to distribute rights to subscribe for additional ADSs to the applicable holders and to enable such holders to exercise such rights if it is lawful and reasonably practicable to make the rights available to the applicable holders of ADSs, and if the Company provides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Shares other than in the form of ADSs.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not distribute the rights to you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does not timely request that the rights be distributed to you or the Company requests that the rights not be distributed to you; </w:t>
      </w:r>
      <w:r>
        <mc:AlternateContent>
          <mc:Choice Requires="wps">
            <w:drawing>
              <wp:anchor behindDoc="0" distT="7493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fails to deliver satisfactory documents to the Depositary; or </w:t>
      </w:r>
      <w:r>
        <mc:AlternateContent>
          <mc:Choice Requires="wps">
            <w:drawing>
              <wp:anchor behindDoc="0" distT="7493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not reasonably practicable to distribute the rights. </w:t>
      </w:r>
      <w:r>
        <mc:AlternateContent>
          <mc:Choice Requires="wps">
            <w:drawing>
              <wp:anchor behindDoc="0" distT="0" distB="0" distL="254000" distR="0" simplePos="0" locked="0" layoutInCell="1" allowOverlap="1" relativeHeight="112">
                <wp:simplePos x="0" y="0"/>
                <wp:positionH relativeFrom="column">
                  <wp:align>left</wp:align>
                </wp:positionH>
                <wp:positionV relativeFrom="line">
                  <wp:posOffset>635</wp:posOffset>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sell the rights that are not exercised or not distributed if such sale is lawful and reasonably practicable. The proceeds of such sale will be distributed to the applicable holders as in the case of a cash distribution. If the Depositary is unable to sell the rights, it will allow the rights to lapse.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Elective 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the Company intends to distribute a dividend payable at the election of shareholders either in cash or in additional Class A Shares, the Company will give prior notice thereof to the Depositary and will indicate whether the Company wishes the elective distribution to be made available to you. In such case, the Company will assist the Depositary in determining whether such distribution is lawful and reasonably practicable.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make the election available to you only if it is reasonably practicable and if the Company has provided all of the documentation contemplated in the deposit agreement. In such case, the Depositary will establish procedures to enable you to elect to receive either cash or additional ADSs, in each case as described in the deposit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election is not made available to you, you will receive either cash or additional ADSs, depending on what a shareholder in England and Wales would receive upon failing to make an election, as more fully described in the deposit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the Company intends to distribute property other than cash, Class A Shares or rights to subscribe for additional Class A Shares, the Company will notify the Depositary in advance and will indicate whether it wishes such distribution to be made to you. If so, the Company will assist the Depositary in determining whether such distribution to holders is lawful and reasonably practicable.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it is reasonably practicable to distribute such property to you and if the Company provides to the Depositary all of the documentation contemplated in the deposit agreement, the Depositary will distribute the property to the applicable holders in a manner it deems practicable.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will be made net of fees, expenses, taxes and governmental charges payable by holders under the terms of the applicable deposit agreement. In order to pay such taxes and governmental charges, the Depositary may sell all or a portion of the property received.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not distribute the property to you and will sell the property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does not request that the property be distributed to you or if the Company requests that the property not be distributed to you; </w:t>
      </w:r>
      <w:r>
        <mc:AlternateContent>
          <mc:Choice Requires="wps">
            <w:drawing>
              <wp:anchor behindDoc="0" distT="7493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does not deliver satisfactory documents to the Depositary; or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determines that all or a portion of the distribution to you is not reasonably practicable.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proceeds of such a sale will be distributed to holders as in the case of a cash distribution.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Affecting Class A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A Shares held on deposit for your ADSs may change from time to time. For example, there may be a change in nominal or par value, split-up, cancellation, consolidation or any other reclassification of such Class A Shares or a recapitalization, reorganization, merger, consolidation or sale of assets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such change were to occur, your ADSs would, to the extent permitted by law and the deposit agreement, represent the right to receive the property received or exchanged in respect of the Class A Shares held on deposit. The Depositary may in such circumstances deliver new ADSs to you, amend the applicable deposit agreement, the applicable ADRs and the applicable Registration Statement(s) on Form F-6, call for the exchange of your existing ADSs for new ADSs and take any other actions that are appropriate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 as to the ADSs the change affecting the Class A Shares. If the Depositary may not lawfully distribute such property to you, the Depositary may sell such property and distribute the net proceeds to you as in the case of a cash distribution.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Issuance of ADSs upon Deposit of Class A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confirmation of the deposit of Class A Shares underlying the ADSs being issued, the Depositary will ADSs representing the deposited Class A Shares to the order of Computershare Inc., a Delaware corporation, it its capacity as transfer agent for the distribution to the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create ADSs on your behalf if you or your broker deposit Class A Shares with the custodian. The Depositary will deliver the corresponding ADSs to the person you indicate only after you pay any applicable issuance fees and any charges and taxes payable for the transfer of the Class A Shares to the custodian. Your ability to deposit Class A Shares and receive ADSs may be limited by U.S. and English legal considerations applicable at the time of deposit.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ADSs may be delayed until the Depositary or the custodian receives confirmation that all required approvals have been given and that the Class A Shares have been duly transferred to the custodian. The Depositary will only issue ADSs in whole numbers.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you make a deposit of Class A Shares, you will be responsible for transferring good and valid title to the Depositary. As such, you will be deemed to represent and warrant that: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A Shares are duly authorized, validly issued, fully paid, non-assessable and legally obtained. </w:t>
      </w:r>
      <w:r>
        <mc:AlternateContent>
          <mc:Choice Requires="wps">
            <w:drawing>
              <wp:anchor behindDoc="0" distT="7874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preemptive (and similar) rights, if any, with respect to such Class A Shares have been validly waived or exercised. </w:t>
      </w:r>
      <w:r>
        <mc:AlternateContent>
          <mc:Choice Requires="wps">
            <w:drawing>
              <wp:anchor behindDoc="0" distT="889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duly authorized to deposit the Class A Shares. </w:t>
      </w:r>
      <w:r>
        <mc:AlternateContent>
          <mc:Choice Requires="wps">
            <w:drawing>
              <wp:anchor behindDoc="0" distT="889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A Shares presented for deposit are free and clear of any lien, encumbrance, security interest, charge, mortgage or adverse claim, and are not, and the ADSs issuable upon such deposit will not be, “restricted securities” ​(except as contemplated below and in the applicable deposit agreement). </w:t>
      </w:r>
      <w:r>
        <mc:AlternateContent>
          <mc:Choice Requires="wps">
            <w:drawing>
              <wp:anchor behindDoc="0" distT="889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A Shares represented for deposit have not been stripped of any rights or entitlements. </w:t>
      </w:r>
      <w:r>
        <mc:AlternateContent>
          <mc:Choice Requires="wps">
            <w:drawing>
              <wp:anchor behindDoc="0" distT="889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representations or warranties are incorrect in any way, the Company and the Depositary may, at your cost and expense, take any and all actions necessary to correct the consequences of the misrepresentations. </w:t>
      </w:r>
      <w:r>
        <mc:AlternateContent>
          <mc:Choice Requires="wps">
            <w:drawing>
              <wp:anchor behindDoc="0" distT="889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Combination and Split Up of ADRs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ADR holder, you will be entitled to transfer, combine or split up your ADRs and the ADSs evidenced thereby. For transfers of ADRs, you will have to surrender the ADRs to be transferred to the Depositary and also must: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ensure that the surrendered ADR is properly endorsed or otherwise in proper form for transfer; </w:t>
      </w:r>
      <w:r>
        <mc:AlternateContent>
          <mc:Choice Requires="wps">
            <w:drawing>
              <wp:anchor behindDoc="0" distT="7874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such proof of identity and genuineness of signatures as the Depositary deems appropriate; </w:t>
      </w:r>
      <w:r>
        <mc:AlternateContent>
          <mc:Choice Requires="wps">
            <w:drawing>
              <wp:anchor behindDoc="0" distT="889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any transfer stamps required by the State of New York or the United States; and </w:t>
      </w:r>
      <w:r>
        <mc:AlternateContent>
          <mc:Choice Requires="wps">
            <w:drawing>
              <wp:anchor behindDoc="0" distT="889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all applicable fees, charges, expenses, taxes and other government charges payable by ADR holders pursuant to the terms of the deposit agreement, upon the transfer of ADRs. </w:t>
      </w:r>
      <w:r>
        <mc:AlternateContent>
          <mc:Choice Requires="wps">
            <w:drawing>
              <wp:anchor behindDoc="0" distT="889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Withdrawal of Class A Shares Upon Cancellation of ADSs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holder, you will be entitled to present your ADSs to the Depositary for cancellation and then receive the corresponding number of underlying Class A Shares at the custodian’s offices. Your ability to withdraw the Class A Shares held in respect of the ADSs may be limited by U.S. and English legal considerations applicable at the time of withdrawal. In order to withdraw the Class A Shares represented by your ADSs, you will be required to pay to the Depositary the fees for cancellation of ADSs and any charges and taxes payable upon the transfer of the Class A Shares. You assume the risk for delivery of all funds and securities upon withdrawal. Once canceled, the ADSs will not have any rights under the deposit agreement.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ADSs registered in your name, the Depositary may ask you to provide proof of identity and genuineness of any signature and such other documents as the Depositary may deem appropriate before it will cancel your ADSs. The withdrawal of the Class A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have the right to withdraw the securities represented by your ADSs at any time except for: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Temporary delays that may arise because (i) the transfer books for the Class A Shares or ADSs are closed, or (ii) the Class A Shares are immobilized on account of a shareholders’ meeting or a payment of dividends. </w:t>
      </w:r>
      <w:r>
        <mc:AlternateContent>
          <mc:Choice Requires="wps">
            <w:drawing>
              <wp:anchor behindDoc="0" distT="8382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Obligations to pay fees, taxes and similar charges. </w:t>
      </w:r>
      <w:r>
        <mc:AlternateContent>
          <mc:Choice Requires="wps">
            <w:drawing>
              <wp:anchor behindDoc="0" distT="8382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imposed because of laws or regulations applicable to ADSs or the withdrawal of securities on deposit. </w:t>
      </w:r>
      <w:r>
        <mc:AlternateContent>
          <mc:Choice Requires="wps">
            <w:drawing>
              <wp:anchor behindDoc="0" distT="8382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may not be modified to impair your right to withdraw the securities represented by your ADSs except to comply with mandatory provisions of law.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ADS holder, you generally have the right under the deposit agreement to instruct the depositary to exercise the voting rights for the shares represented by your ADSs. The voting rights of holders of ordinary shares are described in “Description of share capital — Ordinary shares.”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Company’s request, the Depositary will distribute to you any notice of shareholders’ meeting received from the Company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timely receives voting instructions from a holder of ADSs as of a specified record date, it will endeavor to vote the securities (in person or by proxy) represented by the holder’s ADSs in accordance with the voting instructions received from the holders of ADSs.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Deposited securities represented by ADSs for which no timely voting instructions are received by the Depositary from the holder shall not be voted (except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Please note that the ability of the Depositary to carry out voting instructions may be limited by practical and legal limitations and the terms of the securities on deposit.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cannot assure you that you will receive voting materials in time to enable you to return voting instructions to the Depositary in a timely manner.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Fees and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ADS holder, you will be required to pay the following fees under the terms of the deposit agreement: </w:t>
      </w:r>
    </w:p>
    <w:tbl>
      <w:tblPr>
        <w:tblW w:w="8812" w:type="dxa"/>
        <w:jc w:val="left"/>
        <w:tblInd w:w="1393" w:type="dxa"/>
        <w:tblLayout w:type="fixed"/>
        <w:tblCellMar>
          <w:top w:w="0" w:type="dxa"/>
          <w:left w:w="0" w:type="dxa"/>
          <w:bottom w:w="28" w:type="dxa"/>
          <w:right w:w="0" w:type="dxa"/>
        </w:tblCellMar>
      </w:tblPr>
      <w:tblGrid>
        <w:gridCol w:w="124"/>
        <w:gridCol w:w="5812"/>
        <w:gridCol w:w="109"/>
        <w:gridCol w:w="109"/>
        <w:gridCol w:w="250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5812"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Service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03"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Fees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812" w:type="dxa"/>
            <w:tcBorders/>
            <w:tcMar>
              <w:bottom w:w="0" w:type="dxa"/>
            </w:tcMar>
            <w:vAlign w:val="center"/>
          </w:tcPr>
          <w:p>
            <w:pPr>
              <w:pStyle w:val="TableContents"/>
              <w:bidi w:val="0"/>
              <w:spacing w:before="0" w:after="283"/>
              <w:jc w:val="left"/>
              <w:rPr/>
            </w:pPr>
            <w:r>
              <w:rPr>
                <w:spacing w:val="4"/>
              </w:rPr>
              <w:t>Other than the initial deposit in connection with the Business Combination, issuance of ADSs (</w:t>
            </w:r>
            <w:r>
              <w:rPr>
                <w:i/>
                <w:spacing w:val="4"/>
              </w:rPr>
              <w:t>e.g.,</w:t>
            </w:r>
            <w:r>
              <w:rPr>
                <w:spacing w:val="4"/>
              </w:rPr>
              <w:t xml:space="preserve"> an issuance of ADS upon a deposit of Class A Shares, upon a change in the ADS(s)-to-Share ratio), excluding ADS issuances as a result of distributions of Class A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3" w:type="dxa"/>
            <w:tcBorders/>
            <w:tcMar>
              <w:bottom w:w="0" w:type="dxa"/>
            </w:tcMar>
            <w:vAlign w:val="center"/>
          </w:tcPr>
          <w:p>
            <w:pPr>
              <w:pStyle w:val="TableContents"/>
              <w:bidi w:val="0"/>
              <w:spacing w:before="0" w:after="283"/>
              <w:jc w:val="left"/>
              <w:rPr>
                <w:spacing w:val="4"/>
              </w:rPr>
            </w:pPr>
            <w:r>
              <w:rPr>
                <w:spacing w:val="4"/>
              </w:rPr>
              <w:t xml:space="preserve">Up to $0.05 per ADS issued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812" w:type="dxa"/>
            <w:tcBorders/>
            <w:tcMar>
              <w:bottom w:w="0" w:type="dxa"/>
            </w:tcMar>
            <w:vAlign w:val="center"/>
          </w:tcPr>
          <w:p>
            <w:pPr>
              <w:pStyle w:val="TableContents"/>
              <w:bidi w:val="0"/>
              <w:spacing w:before="0" w:after="283"/>
              <w:jc w:val="left"/>
              <w:rPr>
                <w:spacing w:val="4"/>
              </w:rPr>
            </w:pPr>
            <w:r>
              <w:rPr>
                <w:spacing w:val="4"/>
              </w:rPr>
              <w:t xml:space="preserve">Cancellation of ADSs (e.g., a cancellation of ADSs for delivery of deposited property, upon a change in the ADS(s)-to-Share ratio, or for any other reason)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3" w:type="dxa"/>
            <w:tcBorders/>
            <w:tcMar>
              <w:bottom w:w="0" w:type="dxa"/>
            </w:tcMar>
            <w:vAlign w:val="center"/>
          </w:tcPr>
          <w:p>
            <w:pPr>
              <w:pStyle w:val="TableContents"/>
              <w:bidi w:val="0"/>
              <w:spacing w:before="0" w:after="283"/>
              <w:jc w:val="left"/>
              <w:rPr>
                <w:spacing w:val="4"/>
              </w:rPr>
            </w:pPr>
            <w:r>
              <w:rPr>
                <w:spacing w:val="4"/>
              </w:rPr>
              <w:t xml:space="preserve">Up to $0.05 per ADS cancelled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812" w:type="dxa"/>
            <w:tcBorders/>
            <w:tcMar>
              <w:bottom w:w="0" w:type="dxa"/>
            </w:tcMar>
            <w:vAlign w:val="center"/>
          </w:tcPr>
          <w:p>
            <w:pPr>
              <w:pStyle w:val="TableContents"/>
              <w:bidi w:val="0"/>
              <w:spacing w:before="0" w:after="283"/>
              <w:jc w:val="left"/>
              <w:rPr>
                <w:spacing w:val="4"/>
              </w:rPr>
            </w:pPr>
            <w:r>
              <w:rPr>
                <w:spacing w:val="4"/>
              </w:rPr>
              <w:t xml:space="preserve">Distribution of cash dividends or other cash distributions (e.g., upon a sale of rights and other entitlements)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3" w:type="dxa"/>
            <w:tcBorders/>
            <w:tcMar>
              <w:bottom w:w="0" w:type="dxa"/>
            </w:tcMar>
            <w:vAlign w:val="center"/>
          </w:tcPr>
          <w:p>
            <w:pPr>
              <w:pStyle w:val="TableContents"/>
              <w:bidi w:val="0"/>
              <w:spacing w:before="0" w:after="283"/>
              <w:jc w:val="left"/>
              <w:rPr>
                <w:spacing w:val="4"/>
              </w:rPr>
            </w:pPr>
            <w:r>
              <w:rPr>
                <w:spacing w:val="4"/>
              </w:rPr>
              <w:t xml:space="preserve">Up to $0.05 per ADS held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812" w:type="dxa"/>
            <w:tcBorders/>
            <w:tcMar>
              <w:bottom w:w="0" w:type="dxa"/>
            </w:tcMar>
            <w:vAlign w:val="center"/>
          </w:tcPr>
          <w:p>
            <w:pPr>
              <w:pStyle w:val="TableContents"/>
              <w:bidi w:val="0"/>
              <w:spacing w:before="0" w:after="283"/>
              <w:jc w:val="left"/>
              <w:rPr>
                <w:spacing w:val="4"/>
              </w:rPr>
            </w:pPr>
            <w:r>
              <w:rPr>
                <w:spacing w:val="4"/>
              </w:rPr>
              <w:t xml:space="preserve">Distribution of ADSs pursuant to (i) stock dividends or other free stock distributions, or (ii) exercise of rights to purchase additional ADSs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3" w:type="dxa"/>
            <w:tcBorders/>
            <w:tcMar>
              <w:bottom w:w="0" w:type="dxa"/>
            </w:tcMar>
            <w:vAlign w:val="center"/>
          </w:tcPr>
          <w:p>
            <w:pPr>
              <w:pStyle w:val="TableContents"/>
              <w:bidi w:val="0"/>
              <w:spacing w:before="0" w:after="283"/>
              <w:jc w:val="left"/>
              <w:rPr>
                <w:spacing w:val="4"/>
              </w:rPr>
            </w:pPr>
            <w:r>
              <w:rPr>
                <w:spacing w:val="4"/>
              </w:rPr>
              <w:t xml:space="preserve">Up to $0.05 per ADS held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812" w:type="dxa"/>
            <w:tcBorders/>
            <w:tcMar>
              <w:bottom w:w="0" w:type="dxa"/>
            </w:tcMar>
            <w:vAlign w:val="center"/>
          </w:tcPr>
          <w:p>
            <w:pPr>
              <w:pStyle w:val="TableContents"/>
              <w:bidi w:val="0"/>
              <w:spacing w:before="0" w:after="283"/>
              <w:jc w:val="left"/>
              <w:rPr>
                <w:spacing w:val="4"/>
              </w:rPr>
            </w:pPr>
            <w:r>
              <w:rPr>
                <w:spacing w:val="4"/>
              </w:rPr>
              <w:t xml:space="preserve">Distribution of securities other than ADSs or rights to purchase additional ADSs (e.g., upon a spin-off)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3" w:type="dxa"/>
            <w:tcBorders/>
            <w:tcMar>
              <w:bottom w:w="0" w:type="dxa"/>
            </w:tcMar>
            <w:vAlign w:val="center"/>
          </w:tcPr>
          <w:p>
            <w:pPr>
              <w:pStyle w:val="TableContents"/>
              <w:bidi w:val="0"/>
              <w:spacing w:before="0" w:after="283"/>
              <w:jc w:val="left"/>
              <w:rPr>
                <w:spacing w:val="4"/>
              </w:rPr>
            </w:pPr>
            <w:r>
              <w:rPr>
                <w:spacing w:val="4"/>
              </w:rPr>
              <w:t xml:space="preserve">Up to $0.05 per ADS held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812" w:type="dxa"/>
            <w:tcBorders/>
            <w:tcMar>
              <w:bottom w:w="0" w:type="dxa"/>
            </w:tcMar>
            <w:vAlign w:val="center"/>
          </w:tcPr>
          <w:p>
            <w:pPr>
              <w:pStyle w:val="TableContents"/>
              <w:bidi w:val="0"/>
              <w:spacing w:before="0" w:after="283"/>
              <w:jc w:val="left"/>
              <w:rPr>
                <w:spacing w:val="4"/>
              </w:rPr>
            </w:pPr>
            <w:r>
              <w:rPr>
                <w:spacing w:val="4"/>
              </w:rPr>
              <w:t xml:space="preserve">ADS Services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3" w:type="dxa"/>
            <w:tcBorders/>
            <w:tcMar>
              <w:bottom w:w="0" w:type="dxa"/>
            </w:tcMar>
            <w:vAlign w:val="center"/>
          </w:tcPr>
          <w:p>
            <w:pPr>
              <w:pStyle w:val="TableContents"/>
              <w:bidi w:val="0"/>
              <w:spacing w:before="0" w:after="283"/>
              <w:jc w:val="left"/>
              <w:rPr>
                <w:spacing w:val="4"/>
              </w:rPr>
            </w:pPr>
            <w:r>
              <w:rPr>
                <w:spacing w:val="4"/>
              </w:rPr>
              <w:t xml:space="preserve">Up to $0.05 per ADS held on the applicable record date(s) established by the Depositary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812" w:type="dxa"/>
            <w:tcBorders/>
            <w:tcMar>
              <w:bottom w:w="0" w:type="dxa"/>
            </w:tcMar>
            <w:vAlign w:val="center"/>
          </w:tcPr>
          <w:p>
            <w:pPr>
              <w:pStyle w:val="TableContents"/>
              <w:bidi w:val="0"/>
              <w:spacing w:before="0" w:after="283"/>
              <w:jc w:val="left"/>
              <w:rPr/>
            </w:pPr>
            <w:r>
              <w:rPr>
                <w:spacing w:val="4"/>
              </w:rPr>
              <w:t>Registration of ADS transfers (</w:t>
            </w:r>
            <w:r>
              <w:rPr>
                <w:i/>
                <w:spacing w:val="4"/>
              </w:rPr>
              <w:t>e.g.,</w:t>
            </w:r>
            <w:r>
              <w:rPr>
                <w:spacing w:val="4"/>
              </w:rPr>
              <w:t xml:space="preserve"> upon a registration of the transfer of registered ownership of ADSs, upon a transfer of ADSs into DTC and </w:t>
            </w:r>
            <w:r>
              <w:rPr>
                <w:i/>
                <w:spacing w:val="4"/>
              </w:rPr>
              <w:t>vice versa</w:t>
            </w:r>
            <w:r>
              <w:rPr>
                <w:spacing w:val="4"/>
              </w:rPr>
              <w:t xml:space="preserve">, or for any other reason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3" w:type="dxa"/>
            <w:tcBorders/>
            <w:tcMar>
              <w:bottom w:w="0" w:type="dxa"/>
            </w:tcMar>
            <w:vAlign w:val="center"/>
          </w:tcPr>
          <w:p>
            <w:pPr>
              <w:pStyle w:val="TableContents"/>
              <w:bidi w:val="0"/>
              <w:spacing w:before="0" w:after="283"/>
              <w:jc w:val="left"/>
              <w:rPr/>
            </w:pPr>
            <w:r>
              <w:rPr>
                <w:spacing w:val="4"/>
              </w:rPr>
              <w:t>Up to $0.05 per ADS (or fraction thereof transferred)</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5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ADS holder, you will also be responsible to pay certain charges such as: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taxes (including applicable interest and penalties) and other governmental charges (including any applicable stamp duty or SDRT); </w:t>
      </w:r>
      <w:r>
        <mc:AlternateContent>
          <mc:Choice Requires="wps">
            <w:drawing>
              <wp:anchor behindDoc="0" distT="7239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fees as may from time to time be in effect for the registration of Class A Shares on the share register and applicable to transfers of Class A Shares to or from the name of the custodian, the Depositary or any nominees upon the making of deposits and withdrawals, respectively; </w:t>
      </w:r>
      <w:r>
        <mc:AlternateContent>
          <mc:Choice Requires="wps">
            <w:drawing>
              <wp:anchor behindDoc="0" distT="7239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cable, telex and facsimile transmission and delivery expenses; </w:t>
      </w:r>
      <w:r>
        <mc:AlternateContent>
          <mc:Choice Requires="wps">
            <w:drawing>
              <wp:anchor behindDoc="0" distT="7239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fees, expenses, spreads, taxes and other charges of the Depositary and/or service providers (which may be a division, branch or affiliate of the Depositary) in the conversion of foreign currency; </w:t>
      </w:r>
      <w:r>
        <mc:AlternateContent>
          <mc:Choice Requires="wps">
            <w:drawing>
              <wp:anchor behindDoc="0" distT="7239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reasonable and customary out-of-pocket expenses incurred by the Depositary in connection with compliance with exchange control regulations and other regulatory requirements applicable to Class A Shares, ADSs and ADRs; the fees, charges, costs and expenses incurred by the Depositary, the custodian, or any nominee in connection with the ADR program; and </w:t>
      </w:r>
      <w:r>
        <mc:AlternateContent>
          <mc:Choice Requires="wps">
            <w:drawing>
              <wp:anchor behindDoc="0" distT="7239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payable to the Depositary by any party to the applicable deposit agreement pursuant to any ancillary agreement to the applicable deposit agreement in respect of the ADR program, the ADSs, and the ADRs. </w:t>
      </w:r>
      <w:r>
        <mc:AlternateContent>
          <mc:Choice Requires="wps">
            <w:drawing>
              <wp:anchor behindDoc="0" distT="7239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you may be required to pay may vary over time and may be changed by the Company and by the Depositary. You will receive prior notice of such changes. The Depositary may reimburse the Company for certain expenses incurred by the Company in respect of the ADR program, by making available a portion of the ADS fees charged in respect of the ADR program or otherwise, upon such terms and conditions as the Company and the Depositary agree from time to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Fees and Other Payments Made by the Depositary to the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reimburse the Company for certain expenses incurred by the Company in respect of the ADR program, by making available a portion of the ADS fees charged in respect of the ADR program or otherwise, upon such terms and conditions as the Company and the Depositary agree from time to time. The Depositary also has agreed to pay certain legal expenses on behalf of the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Amendments and Termination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may agree with the Depositary to modify the deposit agreement at any time without your consent. The Company may undertake to give holders of the applicable ADSs 30 days’ prior notice of any modifications that would materially prejudice any of their substantial rights under the deposit agreement. The Company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the Company may not be able to provide you with prior notice of any modifications or supplements that are required to accommodate compliance with applicable provisions of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be bound by the modifications to the deposit agreement for your ADSs if you continue to hold your ADSs after the modifications to the deposit agreement become effective. The deposit agreement cannot be amended to prevent you from withdrawing the Class A Shares represented by your ADSs (except as permitted by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the right to direct the Depositary to terminate the deposit agreement. Similarly, the Depositary may in certain circumstances on its own initiative terminate the deposit agreement. In either case, the Depositary must give notice to the holders of ADSs issued under that deposit agreement at least 30 days before termination. Until termination, your rights under the deposit agreement will be unaffected.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termination, the Depositary will continue to collect distributions received (but will not distribute any such property until you request the cancellation of your ADSs) and may sell the securities held on deposit under the terminated deposit agreement. After the sale, the Depositary will hold the proceeds from such sale and any other funds then held for the applicable holders of ADSs in a non-interest bearing account. At that point, the Depositary will have no further obligations to holders other than to account for the funds then held for the applicable holders of ADSs still outstanding (after deduction of applicable fees, taxes and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any termination of the deposit agreement, the Depositary may make available to owners of ADSs a means to withdraw the Class A Shares represented by ADSs and to direct the Depositary of such Class A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Books of Depositary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 The Depositary will maintain in New York facilities to record and process the issuance, cancellation, combination, split-up and transfer of ADSs. These facilities may be closed from time to time, to the extent not prohibited by law.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Transmission of Notices, Reports and Proxy Soliciting Material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make available for your inspection at its office all communications that it receives from the Company as a holder of deposited securities that the Company make generally available to holders of deposited securities. Subject to the terms of the deposit agreement, the Depositary will send you copies of those communications or otherwise make those communications available to you if the Company asks it to do so.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on Obligations and Liabilities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limits the Company’s obligations and the Depositary’s obligations to you. Please note the following: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the Depositary are obligated only to take the actions specifically stated in the deposit agreement without negligence or bad faith. </w:t>
      </w:r>
      <w:r>
        <mc:AlternateContent>
          <mc:Choice Requires="wps">
            <w:drawing>
              <wp:anchor behindDoc="0" distT="6731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disclaims any liability for any failure to carry out voting instructions, for any manner in which a vote is cast or for the effect of any vote, provided it acts in good faith and in accordance with the terms of the deposit agreement. </w:t>
      </w:r>
      <w:r>
        <mc:AlternateContent>
          <mc:Choice Requires="wps">
            <w:drawing>
              <wp:anchor behindDoc="0" distT="6731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disclaims any liability for any failure to accurately determine the lawfulness or practicality of any action, for the content of any document forwarded to you on the Company’s behalf or for the accuracy of any translation of such a document, for the investment risks associated with investing in Class A Shares, for the validity or worth of the Class A Shares, for any tax consequences that result from the ownership of ADSs or other deposited property, for the credit-worthiness of any third party, for allowing any rights to lapse under the terms of the deposit agreement, for the timeliness of any of the Company’s notices or for the Company’s failure to give notice or for any act or omission of or information provided by DTC or any DTC participant. </w:t>
      </w:r>
      <w:r>
        <mc:AlternateContent>
          <mc:Choice Requires="wps">
            <w:drawing>
              <wp:anchor behindDoc="0" distT="6731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shall not be liable for acts or omissions of any successor Depositary in connection with any matter arising wholly after the resignation or removal of the Depositary. </w:t>
      </w:r>
      <w:r>
        <mc:AlternateContent>
          <mc:Choice Requires="wps">
            <w:drawing>
              <wp:anchor behindDoc="0" distT="6731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the Depositary will not be obligated to perform any act that is inconsistent with the terms of the deposit agreement. </w:t>
      </w:r>
      <w:r>
        <mc:AlternateContent>
          <mc:Choice Requires="wps">
            <w:drawing>
              <wp:anchor behindDoc="0" distT="6731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the Depositary disclaim any liability if the Company or the Depositary are prevented or forbidden from or subject to any civil or criminal penalty or restraint on account of, or </w:t>
      </w:r>
      <w:r>
        <mc:AlternateContent>
          <mc:Choice Requires="wps">
            <w:drawing>
              <wp:anchor behindDoc="0" distT="6731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delayed in, doing or performing any act or thing required by the terms of the deposit agreement, by reason of any provision, present or future of any law or regulation, including regulations of any stock exchange or by reason of present or future provision of any provision of the Polestar Articles, or any provision of or governing the securities on deposit, or by reason of any act of God or war or other circumstances beyond the Company’s control.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the Depositary disclaim any liability by reason of any exercise of, or failure to exercise, any discretion provided for in the deposit agreement or in the Polestar Articles or in any provisions of or governing the securities on deposit. </w:t>
      </w:r>
      <w:r>
        <mc:AlternateContent>
          <mc:Choice Requires="wps">
            <w:drawing>
              <wp:anchor behindDoc="0" distT="7493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the Depositary further disclaim any liability for any action or inaction in reliance on the advice or information received from legal counsel, accountants, any person presenting securities for deposit, any holder of ADSs or authorized representatives thereof, or any other person believed by either of the Company and the Depositary in good faith to be competent to give such advice or information. </w:t>
      </w:r>
      <w:r>
        <mc:AlternateContent>
          <mc:Choice Requires="wps">
            <w:drawing>
              <wp:anchor behindDoc="0" distT="7493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the Depositary also disclaim liability for the inability by a holder or beneficial holder to benefit from any distribution, offering, right or other benefit that is made available to holders of Class A Shares but is not, under the terms of the deposit agreement, made available to you.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the Depositary may rely without any liability upon any written notice, request or other document believed to be genuine and to have been signed or presented by the proper parties.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the Depositary also disclaim liability for any consequential or punitive damages for any breach of the terms of the deposit agreement.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the Depositary disclaim liability arising out of losses, liabilities, taxes, charges or expenses resulting from the manner in which a holder or beneficial owner of ADSs holds ADSs, including resulting from holding ADSs through a brokerage account.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disclaimer of any Securities Act liability is intended by any provision of the deposit agreement.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Nothing in the deposit agreement gives rise to a partnership or joint venture, or establishes a fiduciary relationship, among the Company, the Depositary and you as ADS holder.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Nothing in the deposit agreement precludes Citibank (or its affiliates) from engaging in transactions in which parties adverse to the Company or the ADS owners have interests, and nothing in the deposit agreement obligates Citibank to disclose those transactions, or any information obtained in the course of those transactions, to the Company or to the ADS owners, or to account for any payment received as part of those transactions.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be responsible for the taxes and other governmental charges payable on the ADSs and the securities represented by the ADSs. The Company,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the Company, the Depositary and the custodian for any claims with respect to taxes based on any tax benefit obtained for you.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Currency Conversion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arrange for the conversion of all foreign currency received into U.S. dollars if such conversion is practical, and it will distribute the U.S. dollars in accordance with the terms of the deposit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You may have to pay fees and expenses incurred in converting foreign currency, such as fees and expenses incurred in complying with currency exchange controls and other governmental requirements.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conversion of foreign currency is not practical or lawful, or if any required approvals are denied or not obtainable at a reasonable cost or within a reasonable period, the Depositary may take the following actions in its discretion: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Convert the foreign currency to the extent practical and lawful and distribute the U.S. dollars to the applicable holders for whom the conversion and distribution is lawful and practical.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Distribute the foreign currency to the applicable holders for whom the distribution is lawful and practical.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 the foreign currency (without liability for interest) for the applicable holders.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Governing Law/Waiver of Jury Trial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the ADRs and the ADSs will be interpreted in accordance with the laws of the State of New York. The rights of holders of Class A Shares (including Class A Shares represented by ADSs) are governed by the laws of England and Wales.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owner of ADSs, you irrevocably agree that any legal action arising out of the Deposit Agreement, the ADSs or the ADRs, involving the Company or the Depositary, may only be instituted in a state or federal court in the city of New York.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PARTY TO THE DEPOSIT AGREEMENT, YOU IRREVOCABLY WAIVE, TO THE FULLEST EXTENT PERMITTED BY APPLICABLE LAW, YOUR RIGHT TO TRIAL BY JURY IN ANY LEGAL PROCEEDING ARISING OUT OF THE DEPOSIT AGREEMENT OR THE ADRs AGAINST THE COMPANY AND/ OR THE DEPOSITARY.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deposit agreement provides that, to the extent permitted by law, ADS holders waive the right to a jury trial of any claim they may have against the Company or the Depositary arising out of or relating to the Class A Shares , the ADSs or the deposit agreement, including any claim under U.S. federal securities laws. </w:t>
      </w:r>
      <w:r>
        <w:rPr>
          <w:rFonts w:ascii="Times New Roman;Times;serif" w:hAnsi="Times New Roman;Times;serif"/>
          <w:b w:val="false"/>
          <w:i/>
          <w:caps w:val="false"/>
          <w:smallCaps w:val="false"/>
          <w:color w:val="000000"/>
          <w:spacing w:val="4"/>
          <w:sz w:val="20"/>
        </w:rPr>
        <w:t xml:space="preserve">If the Company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the Company’s or the Depositary’s compliance with U.S. federal securities laws and the rules and regulations promulgated thereunder.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Restricted ADSs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enable the deposit of Class A Shares , the transfer of which is restricted due to contractual or regulatory limitations, commonly referred to as “Restricted Shares,” the Company and the Depositary have agreed, by means of letter agreements, to create restricted series of American depositary shares referred to as “Restricted ADSs” or “RADSs,” in accordance with the terms of the Deposit Agreements. The RADS letter agreements supplement the Deposit Agreements. Forms of the RADS letter agreements are on file with the SEC under cover of the applicable Registration Statements on Form F-6. You may obtain a copy of the RADS letter agreements from the SEC’s Public Reference Room at 100 F Street, N.E., Washington, D.C. 20549 and from the Depositary.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Restricted ADSs differ from the freely transferable ADSs in certain respects. These differences include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Listing</w:t>
      </w:r>
      <w:r>
        <w:rPr>
          <w:rFonts w:ascii="Times New Roman;Times;serif" w:hAnsi="Times New Roman;Times;serif"/>
          <w:b w:val="false"/>
          <w:i w:val="false"/>
          <w:caps w:val="false"/>
          <w:smallCaps w:val="false"/>
          <w:color w:val="000000"/>
          <w:spacing w:val="4"/>
          <w:sz w:val="20"/>
        </w:rPr>
        <w:t xml:space="preserve">:   The Restricted ADSs are not listed on any securities exchange or trading system in the United States.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CUSIP Number</w:t>
      </w:r>
      <w:r>
        <w:rPr>
          <w:rFonts w:ascii="Times New Roman;Times;serif" w:hAnsi="Times New Roman;Times;serif"/>
          <w:b w:val="false"/>
          <w:i w:val="false"/>
          <w:caps w:val="false"/>
          <w:smallCaps w:val="false"/>
          <w:color w:val="000000"/>
          <w:spacing w:val="4"/>
          <w:sz w:val="20"/>
        </w:rPr>
        <w:t xml:space="preserve">:   The CUSIP number for the Restricted ADSs is different from the CUSIP number for the freely transferable ADSs.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Transfer Restrictions</w:t>
      </w:r>
      <w:r>
        <w:rPr>
          <w:rFonts w:ascii="Times New Roman;Times;serif" w:hAnsi="Times New Roman;Times;serif"/>
          <w:b w:val="false"/>
          <w:i w:val="false"/>
          <w:caps w:val="false"/>
          <w:smallCaps w:val="false"/>
          <w:color w:val="000000"/>
          <w:spacing w:val="4"/>
          <w:sz w:val="20"/>
        </w:rPr>
        <w:t xml:space="preserve">:   The Restricted ADSs may, after issuance, be sold or otherwise transferred only on the terms described below. </w:t>
      </w:r>
      <w:r>
        <mc:AlternateContent>
          <mc:Choice Requires="wps">
            <w:drawing>
              <wp:anchor behindDoc="0" distT="0" distB="0" distL="254000" distR="0" simplePos="0" locked="0" layoutInCell="1" allowOverlap="1" relativeHeight="155">
                <wp:simplePos x="0" y="0"/>
                <wp:positionH relativeFrom="column">
                  <wp:align>left</wp:align>
                </wp:positionH>
                <wp:positionV relativeFrom="line">
                  <wp:posOffset>635</wp:posOffset>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Legend</w:t>
      </w:r>
      <w:r>
        <w:rPr>
          <w:rFonts w:ascii="Times New Roman;Times;serif" w:hAnsi="Times New Roman;Times;serif"/>
          <w:b w:val="false"/>
          <w:i w:val="false"/>
          <w:caps w:val="false"/>
          <w:smallCaps w:val="false"/>
          <w:color w:val="000000"/>
          <w:spacing w:val="4"/>
          <w:sz w:val="20"/>
        </w:rPr>
        <w:t xml:space="preserve">:   The Restricted ADSs will be subject to a transfer legend substantially in the form of all or some of the following: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RESTRICTED ADSs AND THE RESTRICTED SHARES REPRESENTED THEREBY HAVE NOT BEEN REGISTERED UNDER THE UNITED STATES SECURITIES ACT OF 1933, AS AMENDED (THE “SECURITIES ACT”), OR WITH ANY SECURITIES REGULATORY AUTHORITY OF ANY JURISDICTION. THE RESTRICTED ADSs MAY NOT BE OFFERED, SOLD, PLEDGED OR OTHERWISE TRANSFERRED OR DELIVERED EXCEPT (A) TO A PERSON OTHER THAN A U.S. PERSON (WITHIN THE MEANING GIVEN TO SUCH TERM IN REGULATION S UNDER THE SECURITIES ACT (“REGULATION S”)) IN AN OFFSHORE TRANSACTION MEETING THE REQUIREMENTS OF REGULATION S, (B) PURSUANT TO AN EXEMPTION FROM REGISTRATION UNDER THE SECURITIES ACT PROVIDED BY RULE 144A THEREUNDER, (C) PURSUANT TO ANOTHER EXEMPTION FROM REGISTRATION UNDER THE SECURITIES ACT, OR (D) PURSUANT TO AN EFFECTIVE REGISTRATION STATEMENT UNDER THE SECURITIES ACT COVERING THE APPLICABLE SALE, PLEDGE, TRANSFER AND DELIVERY, AND, IN EACH CASE, IN ACCORDANCE WITH ALL APPLICABLE SECURITIES LAWS OF THE STATES OF THE UNITED STATES AND OTHER JURISDICTIONS. THE COMPANY AND THE DEPOSITARY SHALL BE ENTITLED TO RECEIVE FROM THE HOLDER OF THE RESTRICTED ADSs SEEKING TO SELL, PLEDGE OR OTHERWISE TRANSFER OR DELIVER THE RESTRICTED ADSs EVIDENCE SATISFACTORY TO THE DEPOSITARY AND THE COMPANY THAT THE TRANSFER RESTRICTIONS APPLICABLE TO THE RESTRICTED ADSs HAVE BEEN OR ARE BEING SATISFIED (WHICH MAY INCLUDE AN OPINION OF QUALIFIED COUNSEL).”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ADSs issued upon conversion of convertible RADSs may be issued in the form of RADSs unless the conversion (x) is registered under the Securities Act and the ADSs are held by a person who is not an affiliate of Polestar and (y) is exempt from registration under the Securities Act and the ADSs are held by a person who is not an affiliate of Polestar.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Segregation of Shares</w:t>
      </w:r>
      <w:r>
        <w:rPr>
          <w:rFonts w:ascii="Times New Roman;Times;serif" w:hAnsi="Times New Roman;Times;serif"/>
          <w:b w:val="false"/>
          <w:i w:val="false"/>
          <w:caps w:val="false"/>
          <w:smallCaps w:val="false"/>
          <w:color w:val="000000"/>
          <w:spacing w:val="4"/>
          <w:sz w:val="20"/>
        </w:rPr>
        <w:t xml:space="preserve">:   Restricted Shares deposited with the custodian with respect to Restricted ADSs shall be held separate and distinct from the deposited securities held under the applicable deposit agreement.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Lack of Fungibility</w:t>
      </w:r>
      <w:r>
        <w:rPr>
          <w:rFonts w:ascii="Times New Roman;Times;serif" w:hAnsi="Times New Roman;Times;serif"/>
          <w:b w:val="false"/>
          <w:i w:val="false"/>
          <w:caps w:val="false"/>
          <w:smallCaps w:val="false"/>
          <w:color w:val="000000"/>
          <w:spacing w:val="4"/>
          <w:sz w:val="20"/>
        </w:rPr>
        <w:t xml:space="preserve">:   The Restricted ADSs are not currently fungible with the freely transferable ADSs issued and outstanding under the applicable deposit agreement. The Restricted ADSs will not be fungible with the freely transferable ADSs outstanding under the applicable deposit agreement as long as the Restricted ADSs and the Restricted Shares represented thereby are “restricted securities” under the Securities Act or are otherwise subject to restrictions on transfer.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Withdrawal</w:t>
      </w:r>
      <w:r>
        <w:rPr>
          <w:rFonts w:ascii="Times New Roman;Times;serif" w:hAnsi="Times New Roman;Times;serif"/>
          <w:b w:val="false"/>
          <w:i w:val="false"/>
          <w:caps w:val="false"/>
          <w:smallCaps w:val="false"/>
          <w:color w:val="000000"/>
          <w:spacing w:val="4"/>
          <w:sz w:val="20"/>
        </w:rPr>
        <w:t xml:space="preserve">:   The holders of Restricted ADSs will be able to request the withdrawal of the Restricted Shares represented by their Restricted ADSs only upon delivery to the depositary of (i) the applicable RADSs, all documentation contemplated in the applicable deposit agreement and the applicable RADS letter agreement and payment of all applicable fees and expenses of the depositary, and (ii) a certification to the effect, </w:t>
      </w:r>
      <w:r>
        <w:rPr>
          <w:rFonts w:ascii="Times New Roman;Times;serif" w:hAnsi="Times New Roman;Times;serif"/>
          <w:b w:val="false"/>
          <w:i/>
          <w:caps w:val="false"/>
          <w:smallCaps w:val="false"/>
          <w:color w:val="000000"/>
          <w:spacing w:val="4"/>
          <w:sz w:val="20"/>
        </w:rPr>
        <w:t>inter alia</w:t>
      </w:r>
      <w:r>
        <w:rPr>
          <w:rFonts w:ascii="Times New Roman;Times;serif" w:hAnsi="Times New Roman;Times;serif"/>
          <w:b w:val="false"/>
          <w:i w:val="false"/>
          <w:caps w:val="false"/>
          <w:smallCaps w:val="false"/>
          <w:color w:val="000000"/>
          <w:spacing w:val="4"/>
          <w:sz w:val="20"/>
        </w:rPr>
        <w:t xml:space="preserve">, that either (x) the holder will be the owner of the Restricted Shares being withdrawn and undertakes not to deposit the Restricted Shares under the applicable deposit agreement and to transfer such Restricted Shares only in a transaction meeting the requirements of the legend set forth above or (y) the holder has sold the Restricted Shares in a transaction meeting the requirements of Regulation S under the Securities Act and will make delivery of the Restricted Shares outside the U.S.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Book-Entry Settlement:</w:t>
      </w:r>
      <w:r>
        <w:rPr>
          <w:rFonts w:ascii="Times New Roman;Times;serif" w:hAnsi="Times New Roman;Times;serif"/>
          <w:b w:val="false"/>
          <w:i w:val="false"/>
          <w:caps w:val="false"/>
          <w:smallCaps w:val="false"/>
          <w:color w:val="000000"/>
          <w:spacing w:val="4"/>
          <w:sz w:val="20"/>
        </w:rPr>
        <w:t xml:space="preserve">   The Restricted ADSs are not expected to be eligible for inclusion in any book-entry settlement system, including, without limitation, the book-entry settlement system maintained by DTC.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Conversion of RADSs into ADSs</w:t>
      </w:r>
      <w:r>
        <w:rPr>
          <w:rFonts w:ascii="Times New Roman;Times;serif" w:hAnsi="Times New Roman;Times;serif"/>
          <w:b w:val="false"/>
          <w:i w:val="false"/>
          <w:caps w:val="false"/>
          <w:smallCaps w:val="false"/>
          <w:color w:val="000000"/>
          <w:spacing w:val="4"/>
          <w:sz w:val="20"/>
        </w:rPr>
        <w:t xml:space="preserve">:   Once the applicable transfer restrictions expire or if the transaction is covered by an effective resale registration statement, the RADSs may be exchangeable into freely transferable ADSs upon delivery of the RADSs to the depositary for exchange into freely transferable ADSs together with applicable supporting documents, legal opinions and Depositary fees and taxes. </w:t>
      </w:r>
      <w:r>
        <mc:AlternateContent>
          <mc:Choice Requires="wps">
            <w:drawing>
              <wp:anchor behindDoc="0" distT="0" distB="0" distL="254000" distR="0" simplePos="0" locked="0" layoutInCell="1" allowOverlap="1" relativeHeight="161">
                <wp:simplePos x="0" y="0"/>
                <wp:positionH relativeFrom="column">
                  <wp:align>left</wp:align>
                </wp:positionH>
                <wp:positionV relativeFrom="line">
                  <wp:posOffset>635</wp:posOffset>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144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Rule 144, a person who has beneficially owned restricted Class A ADSs for at least six months would be entitled to sell their securities; provided that (i) such person is not deemed to have been one of our affiliates at the time of, or at any time during the three months preceding, a sale and (ii) the Company is subject to the Exchange Act periodic reporting requirements for at least three months before the sale and have filed all required reports under Section 13 or 15(d) of the Exchange Act during the 12 months (or such shorter period as it was required to file reports) preceding the 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have beneficially owned restricted Class A ADSs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percent (1%) of the total number of Class A ADSs then issued and outstanding; or </w:t>
      </w:r>
      <w:r>
        <mc:AlternateContent>
          <mc:Choice Requires="wps">
            <w:drawing>
              <wp:anchor behindDoc="0" distT="7366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average weekly reported trading volume of the applicable ADSs during the four calendar weeks preceding the filing of a notice on Form 144 with respect to the sale. </w:t>
      </w:r>
      <w:r>
        <mc:AlternateContent>
          <mc:Choice Requires="wps">
            <w:drawing>
              <wp:anchor behindDoc="0" distT="7366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by our affiliates under Rule 144 are also limited by manner of sale provisions and notice requirements and to the availability of current public information about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the Use of Rule 144 by Shell Companies or Former Shell Companies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securities that was formerly a shell company has ceased to be a shell company; </w:t>
      </w:r>
      <w:r>
        <mc:AlternateContent>
          <mc:Choice Requires="wps">
            <w:drawing>
              <wp:anchor behindDoc="0" distT="7366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securities is subject to the reporting requirements of Section 13 or 15(d) of the Exchange Act;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securities has filed all Exchange Act reports and material required to be filed, as applicable, during the preceding 12 months (or such shorter period that the issuer was required to file such reports and materials); and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least one year has elapsed from the time that the issuer filed Form 20-F type information with the SEC, which we filed on June 29, 2022, reflecting its status as an entity that is not a shell company. </w:t>
      </w:r>
      <w:r>
        <mc:AlternateContent>
          <mc:Choice Requires="wps">
            <w:drawing>
              <wp:anchor behindDoc="0" distT="7493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Regulation 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limitations, holders of our restricted shares who are not affiliates of our company or who are affiliates of our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our company other than by virtue of his or her status as an officer or director of our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SESE"/>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offer and sale from time to time by the Selling Securityholders of up to 58,613,940 Class A ADSs. </w:t>
      </w:r>
    </w:p>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not receive any proceeds from any sale by the Selling Securityholders of the Class A ADSs being registered hereunder. We will pay certain expenses associated with the registration of the securities covered by this prospectus, as described in the section entitled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offer and sell, from time to time, some or all of the Class A ADSs covered by this prospectus. As used herein, “Selling Securityholders” means the persons referenced or listed in the table below, and the donees, pledgees, transferees or other successors-in-interest (as a gift, pledge, partnership distribution or other non-sale related transfer) selling Class A ADSs received after the date of this prospectus from the Selling Securityholders that may be identified in a supplement to this prospectus or, if required, a post-effective amendment to the registration statement of which this prospectus is a part. We have registered the offer and sale of the Class A ADSs covered by this prospectus so that those Class A ADSs may be freely sold to the public by the Selling Securityholders. Registration of the resale of the Class A ADSs covered by this prospectus does not mean, however, that those Class A ADSs necessarily will be offered or resold by the Selling Securityholders. </w:t>
      </w:r>
    </w:p>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as of the date of this prospectus, the name of the Selling Securityholders for which we are registering the resale of Class A ADSs to the public and the aggregate principal amount that the Selling Securityholders may offer pursuant to this prospectus. The Selling Securityholders has beneficial ownership over its Class A ADSs.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Class A ADSs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w:t>
      </w:r>
    </w:p>
    <w:p>
      <w:pPr>
        <w:pStyle w:val="TextBody"/>
        <w:bidi w:val="0"/>
        <w:spacing w:lineRule="atLeast" w:line="230" w:before="156"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The securities held by the Selling Securityholders are subject to transfer restrictions, as described in the sections entitled “</w:t>
      </w:r>
      <w:r>
        <w:rPr>
          <w:rFonts w:ascii="Times New Roman;Times;serif" w:hAnsi="Times New Roman;Times;serif"/>
          <w:b w:val="false"/>
          <w:i/>
          <w:caps w:val="false"/>
          <w:smallCaps w:val="false"/>
          <w:color w:val="000000"/>
          <w:spacing w:val="4"/>
          <w:sz w:val="20"/>
        </w:rPr>
        <w:t xml:space="preserve">Description of Share Capital and Articles of Association — Description of Company Share Capital and Polestar Articles — Company Securities — Transfer of Shares,” and “Description of American Depositary Shares — ADSs — Transfer, Combination and Split Up of ADRs.” </w:t>
      </w:r>
    </w:p>
    <w:tbl>
      <w:tblPr>
        <w:tblW w:w="10937" w:type="dxa"/>
        <w:jc w:val="left"/>
        <w:tblInd w:w="1393" w:type="dxa"/>
        <w:tblLayout w:type="fixed"/>
        <w:tblCellMar>
          <w:top w:w="0" w:type="dxa"/>
          <w:left w:w="0" w:type="dxa"/>
          <w:bottom w:w="28" w:type="dxa"/>
          <w:right w:w="0" w:type="dxa"/>
        </w:tblCellMar>
      </w:tblPr>
      <w:tblGrid>
        <w:gridCol w:w="1549"/>
        <w:gridCol w:w="109"/>
        <w:gridCol w:w="109"/>
        <w:gridCol w:w="109"/>
        <w:gridCol w:w="109"/>
        <w:gridCol w:w="1231"/>
        <w:gridCol w:w="109"/>
        <w:gridCol w:w="109"/>
        <w:gridCol w:w="109"/>
        <w:gridCol w:w="142"/>
        <w:gridCol w:w="142"/>
        <w:gridCol w:w="686"/>
        <w:gridCol w:w="144"/>
        <w:gridCol w:w="109"/>
        <w:gridCol w:w="109"/>
        <w:gridCol w:w="109"/>
        <w:gridCol w:w="109"/>
        <w:gridCol w:w="1186"/>
        <w:gridCol w:w="109"/>
        <w:gridCol w:w="109"/>
        <w:gridCol w:w="109"/>
        <w:gridCol w:w="142"/>
        <w:gridCol w:w="142"/>
        <w:gridCol w:w="686"/>
        <w:gridCol w:w="144"/>
        <w:gridCol w:w="109"/>
        <w:gridCol w:w="109"/>
        <w:gridCol w:w="109"/>
        <w:gridCol w:w="109"/>
        <w:gridCol w:w="1186"/>
        <w:gridCol w:w="109"/>
        <w:gridCol w:w="109"/>
        <w:gridCol w:w="109"/>
        <w:gridCol w:w="142"/>
        <w:gridCol w:w="142"/>
        <w:gridCol w:w="686"/>
        <w:gridCol w:w="144"/>
        <w:gridCol w:w="154"/>
      </w:tblGrid>
      <w:tr>
        <w:trPr/>
        <w:tc>
          <w:tcPr>
            <w:tcW w:w="15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90"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Securities Beneficially </w:t>
            </w:r>
            <w:r>
              <w:rPr/>
              <w:br/>
            </w:r>
            <w:r>
              <w:rPr>
                <w:spacing w:val="-3"/>
              </w:rPr>
              <w:t xml:space="preserve">Owned Prior to this 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45"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Securities to be </w:t>
            </w:r>
            <w:r>
              <w:rPr/>
              <w:br/>
            </w:r>
            <w:r>
              <w:rPr>
                <w:spacing w:val="-3"/>
              </w:rPr>
              <w:t xml:space="preserve">Sold in this 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45"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Securities Beneficially </w:t>
            </w:r>
            <w:r>
              <w:rPr/>
              <w:br/>
            </w:r>
            <w:r>
              <w:rPr>
                <w:spacing w:val="-3"/>
              </w:rPr>
              <w:t xml:space="preserve">Owned After This Offering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49"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Names of Selling Securityholders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Class A ADSs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Percentage of</w:t>
            </w:r>
            <w:r>
              <w:rPr/>
              <w:t xml:space="preserve"> </w:t>
              <w:br/>
            </w:r>
            <w:r>
              <w:rPr>
                <w:spacing w:val="-3"/>
              </w:rPr>
              <w:t xml:space="preserve">Class A ADSs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Class A ADSs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Percentage of</w:t>
            </w:r>
            <w:r>
              <w:rPr/>
              <w:t xml:space="preserve"> </w:t>
              <w:br/>
            </w:r>
            <w:r>
              <w:rPr>
                <w:spacing w:val="-3"/>
              </w:rPr>
              <w:t xml:space="preserve">Class A ADSs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Class A ADSs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Percentage of</w:t>
            </w:r>
            <w:r>
              <w:rPr/>
              <w:t xml:space="preserve"> </w:t>
              <w:br/>
            </w:r>
            <w:r>
              <w:rPr>
                <w:spacing w:val="-3"/>
              </w:rPr>
              <w:t xml:space="preserve">Class A ADSs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49" w:type="dxa"/>
            <w:tcBorders/>
            <w:shd w:fill="CCEEFF" w:val="clear"/>
            <w:tcMar>
              <w:bottom w:w="0" w:type="dxa"/>
            </w:tcMar>
            <w:vAlign w:val="center"/>
          </w:tcPr>
          <w:p>
            <w:pPr>
              <w:pStyle w:val="TableContents"/>
              <w:bidi w:val="0"/>
              <w:spacing w:before="0" w:after="0"/>
              <w:jc w:val="left"/>
              <w:rPr>
                <w:spacing w:val="4"/>
              </w:rPr>
            </w:pPr>
            <w:r>
              <w:rPr>
                <w:spacing w:val="4"/>
              </w:rPr>
              <w:t xml:space="preserve">PSD Investment Limited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33,949,660</w:t>
            </w:r>
            <w:r>
              <w:rPr>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20.7%</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6,349,206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3.9%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27,600,454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16.8%</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9" w:type="dxa"/>
            <w:tcBorders/>
            <w:tcMar>
              <w:bottom w:w="0" w:type="dxa"/>
            </w:tcMar>
            <w:vAlign w:val="center"/>
          </w:tcPr>
          <w:p>
            <w:pPr>
              <w:pStyle w:val="TableContents"/>
              <w:bidi w:val="0"/>
              <w:spacing w:before="0" w:after="0"/>
              <w:jc w:val="left"/>
              <w:rPr>
                <w:spacing w:val="4"/>
              </w:rPr>
            </w:pPr>
            <w:r>
              <w:rPr>
                <w:spacing w:val="4"/>
              </w:rPr>
              <w:t xml:space="preserve">Snita Holding B.V.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32,691,731</w:t>
            </w:r>
            <w:r>
              <w:rPr>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19.9%</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20,014,300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12.2%</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12,677,431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7.7%</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9"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Geely Sweden Automotive </w:t>
            </w:r>
            <w:r>
              <w:rPr/>
              <w:br/>
            </w:r>
            <w:r>
              <w:rPr>
                <w:spacing w:val="4"/>
              </w:rPr>
              <w:t xml:space="preserve">Investment B.V.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32,250,434</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19.6%</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32,250,434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19.6%</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32,953,241 Class A ADSs and 996,419 Class B ADSs for which PSD Investment Limited is the recordholder. The business address of PSD is 13/F, Gloucester Tower, The Landmark, 15 Queen’s Road Central, Central, Hong Kong. </w:t>
      </w:r>
      <w:r>
        <mc:AlternateContent>
          <mc:Choice Requires="wps">
            <w:drawing>
              <wp:anchor behindDoc="0" distT="8382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Snita is Stationveg 2, Beesd, 4153 RD, Netherlands. </w:t>
      </w:r>
      <w:r>
        <mc:AlternateContent>
          <mc:Choice Requires="wps">
            <w:drawing>
              <wp:anchor behindDoc="0" distT="3302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GSAI BV is Stationveg 2, Beesd, 4153 RD, Netherlands. </w:t>
      </w:r>
      <w:r>
        <mc:AlternateContent>
          <mc:Choice Requires="wps">
            <w:drawing>
              <wp:anchor behindDoc="0" distT="3302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Relationships and Agreements with the 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information on relationships and agreements between us and the Selling Securityholders, see “</w:t>
      </w:r>
      <w:r>
        <w:rPr>
          <w:rFonts w:ascii="Times New Roman;Times;serif" w:hAnsi="Times New Roman;Times;serif"/>
          <w:b w:val="false"/>
          <w:i/>
          <w:caps w:val="false"/>
          <w:smallCaps w:val="false"/>
          <w:color w:val="000000"/>
          <w:spacing w:val="4"/>
          <w:sz w:val="20"/>
        </w:rPr>
        <w:t>Item 7. Major Shareholders and Related Party Transactions — B. Related Party Transactions</w:t>
      </w:r>
      <w:r>
        <w:rPr>
          <w:rFonts w:ascii="Times New Roman;Times;serif" w:hAnsi="Times New Roman;Times;serif"/>
          <w:b w:val="false"/>
          <w:i w:val="false"/>
          <w:caps w:val="false"/>
          <w:smallCaps w:val="false"/>
          <w:color w:val="000000"/>
          <w:spacing w:val="4"/>
          <w:sz w:val="20"/>
        </w:rPr>
        <w:t>” in our 2025 Annual Report.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POD"/>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offer and sale from time to time by the Selling Securityholders of up to 58,613,940 Class A ADSs.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proceeds from any sale by the Selling Securityholders of the Class A ADSs being registered hereunder. We will pay certain expenses associated with the registration of the securities covered by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offer and sell, from time to time, some or all of the securities covered by this prospectus. As used herein, “Selling Securityholders” means the persons referenced or listed in the tables in the section “Selling Securityholders”,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 We have registered the offer and sale of the Class A ADSs covered by this prospectus so that those Class A ADSs may be freely sold to the public by the Selling Securityholders. Registration of the resale of the Class A ADSs covered by this prospectus does not mean, however, that those Class A ADSs necessarily will be offered or resold by the Selling Securityholders.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the Class A ADSs offered hereby may be effected by the Selling Securityholders from time to time in one or more types of transactions (which may include block transactions) on Nasdaq (or any other national securities exchange or quotation service on which the Class A ADSs may be listed or quoted at the time of sale) at prevailing market prices, as well as any of the following methods: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over-the-counter distribution in accordance with the rules of the applicable exchange; </w:t>
      </w:r>
      <w:r>
        <mc:AlternateContent>
          <mc:Choice Requires="wps">
            <w:drawing>
              <wp:anchor behindDoc="0" distT="7493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trading plans entered into by the Selling Securityholders pursuant to Rule 10b5-1 under the Exchange Act that are in place at the time of an offering pursuant to this prospectus and any applicable prospectus supplement hereto that provide for periodic sales of their securities on the basis of parameters described in such trading plans; </w:t>
      </w:r>
      <w:r>
        <mc:AlternateContent>
          <mc:Choice Requires="wps">
            <w:drawing>
              <wp:anchor behindDoc="0" distT="7493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underwritten offerings on a firm commitment or best efforts basis; </w:t>
      </w:r>
      <w:r>
        <mc:AlternateContent>
          <mc:Choice Requires="wps">
            <w:drawing>
              <wp:anchor behindDoc="0" distT="7493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agreements with broker-dealers to sell a specified number of the securities at a stipulated price per share; </w:t>
      </w:r>
      <w:r>
        <mc:AlternateContent>
          <mc:Choice Requires="wps">
            <w:drawing>
              <wp:anchor behindDoc="0" distT="7493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r>
        <mc:AlternateContent>
          <mc:Choice Requires="wps">
            <w:drawing>
              <wp:anchor behindDoc="0" distT="7493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including through a specific bidding, auction or other process or in privately negotiated transactions;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or settlement of options or other hedging transactions, whether through an options exchange or otherwise;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 exchange distribution in accordance with the rules of the applicable exchange;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distribution by the Selling Securityholders to their employees, partners (including limited partners), members or stockholders;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whereby broker-dealers may agree with the Selling Securityholders to sell a specified number of such shares at a stipulated price per share;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settlement of short sales entered into after the date of this prospectus;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delayed delivery requirements;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pledge to secured debts and other obligations;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so engaged will attempt to sell the securities as agent but may position and resell a portion of the block as principal to facilitate the transaction;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 above methods of sale; or </w:t>
      </w:r>
      <w:r>
        <mc:AlternateContent>
          <mc:Choice Requires="wps">
            <w:drawing>
              <wp:anchor behindDoc="0" distT="0" distB="0" distL="254000" distR="0" simplePos="0" locked="0" layoutInCell="1" allowOverlap="1" relativeHeight="185">
                <wp:simplePos x="0" y="0"/>
                <wp:positionH relativeFrom="column">
                  <wp:align>left</wp:align>
                </wp:positionH>
                <wp:positionV relativeFrom="line">
                  <wp:posOffset>635</wp:posOffset>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239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transactions may or may not involve brokers or dealers. In effecting sales, brokers or dealers engaged by the Selling Securityholders may arrange for other brokers or dealers to participate. Broker-dealer transactions may include purchases of the Class A ADSs by a broker-dealer as principal and resales of the Class A ADSs by the broker-dealer for its account pursuant to this prospectus, ordinary brokerage transactions, transactions in which the broker-dealer solicits purchasers, or block trades in which the broker-dealer so engaged will attempt to sell the Class A ADSs as agent but may position and resell a portion of the block as principal to facilitate the transaction. Such broker-dealers may receive compensation in the form of discounts, concessions or commissions from the Selling Securityholders and/or the purchasers of the Class A ADSs offered hereby for whom such broker-dealers may act as agents or to whom they sell as principal, or both (which compensation as to a particular broker-dealer might be in excess of customary commissions). Any broker-dealers participating in the distribution of the Class A ADSs covered by this prospectus may be deemed to be “underwriters” within the meaning of the Securities Act, and any commissions received by any of those broker-dealers may be deemed to be underwriting commissions under the Securities Act (it being understood that the Selling Securityholders shall not be deemed to be underwriters solely as a result of their participation in this offering). The Selling Securityholders have advised us that they has not entered into any agreements, understandings or arrangements with any broker-dealers regarding the sale of the Class A ADSs covered by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 that the Selling Securityholders will sell all or any of the Class A ADSs offered by this prospectus. In addition, the Selling Securityholders may also sell Class A ADSs under Rule 144 under the Securities Act, if available, or in other transactions exempt from registration, rather than under this prospectus. Rule 144 is not available for the resale of securities initially issued by shell companies or issuers that have been at any time previously a shell company. However, Rule 144 also includes an important exception to this prohibition if the following conditions are met: (i) the issuer of the securities that was formerly a shell company has ceased to be a shell company; (ii) the issuer of the securities is subject to the reporting requirements of Section 13 or 15(d) of the Exchange Act; (iii) the issuer of the securities has filed all Exchange Act reports and materials required to be filed, as applicable, during the preceding 12 months (or such shorter period that the issuer was required to file such reports and materials), other than current reports; and (iv) at least one year has elapsed from the time that the issuer filed current Form 20-F type information with the SEC reflecting its status as an entity that is not a shell company (which we filed on June 29, 2022).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have the sole and absolute discretion not to accept any purchase offer or make any sale of Class A ADSs if it deems the purchase price to be unsatisfactory at any particular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elect to make a pro rata in-kind distribution of Class A ADSs to their members, partners or shareholders pursuant to the registration statement of which this prospectus is a part by delivering a prospectus with a plan of distribution.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also may transfer the Class A ADSs in other circumstances, in which case the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will be the selling beneficial owners for purposes of this prospectus. Upon being notified by the Selling Securityholders that such a donee, pledgee, transferee or successor intends to sell our securities, we will, to the extent required, promptly file a supplement to this prospectus or a post-effective amendment to the registration statement of which this prospectus is a part to name specifically such person as a Selling Securityholders.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being notified by the Selling Securityholders that any material arrangement has been entered into with a broker-dealer for the sale of Class A ADSs offered hereby through a block trade, special offering, exchange distribution or secondary distribution or a purchase by a broker or dealer, a supplement to this prospectus will be filed, if required, pursuant to Rule 424(b) under the Securities Act, disclosing: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of the participating broker-dealer(s); </w:t>
      </w:r>
      <w:r>
        <mc:AlternateContent>
          <mc:Choice Requires="wps">
            <w:drawing>
              <wp:anchor behindDoc="0" distT="736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securities involved; </w:t>
      </w:r>
      <w:r>
        <mc:AlternateContent>
          <mc:Choice Requires="wps">
            <w:drawing>
              <wp:anchor behindDoc="0" distT="7239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price at which such securities are to be sold; </w:t>
      </w:r>
      <w:r>
        <mc:AlternateContent>
          <mc:Choice Requires="wps">
            <w:drawing>
              <wp:anchor behindDoc="0" distT="0" distB="0" distL="254000" distR="0" simplePos="0" locked="0" layoutInCell="1" allowOverlap="1" relativeHeight="189">
                <wp:simplePos x="0" y="0"/>
                <wp:positionH relativeFrom="column">
                  <wp:align>left</wp:align>
                </wp:positionH>
                <wp:positionV relativeFrom="line">
                  <wp:posOffset>635</wp:posOffset>
                </wp:positionV>
                <wp:extent cx="127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commissions paid or discounts or concessions allowed to such broker-dealer(s), where applicable; and </w:t>
      </w:r>
      <w:r>
        <mc:AlternateContent>
          <mc:Choice Requires="wps">
            <w:drawing>
              <wp:anchor behindDoc="0" distT="7366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7"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facts material to the transaction. </w:t>
      </w:r>
      <w:r>
        <mc:AlternateContent>
          <mc:Choice Requires="wps">
            <w:drawing>
              <wp:anchor behindDoc="0" distT="7366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8"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Securityholders. The Selling Securityholders may also enter into options or other transactions with broker-dealers or other financial institutions which require the delivery to such broker-dealers or other financial institutions of the securities offered by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Selling Securityholders or borrowed from the Selling Securityholders or others to settle those sales or to close out any related open borrowings of stock, and may use securities received from the Selling Securityholders in settlement of those derivatives to close out any related open borrowings of stock. The third party in such sale transactions will be an underwriter and will be identified in the applicable prospectus supplement (or a post-effective amendment). In addition, the Selling Securityholders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we will use our best efforts to file one or more supplements to this prospectus to describe any material information with respect to the plan of distribution not previously disclosed in this prospectus or any material change to such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compliance with the guidelines of the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Selling Securityholders against certain liabilities, including liabilities under the Securities Act. The Selling Securityholders have agreed to indemnify us in certain circumstances against certain liabilities, including certain liabilities under the Securities Act. The Selling Securityholders may indemnify any broker or underwriter that participates in transactions involving the sale of the securities against certain liabilities, including liabilities arising under the Securities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the European Economic Area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each Member State of the European Economic Area (each, a “Relevant State”), no securities of the Company have been offered or will be offered pursuant to the offering to the public in that Relevant State, except that offers of securities may be made to the public in that Relevant State at any time under the following exemptions under the Prospectus Regulation (Regulation (EU) 2017/1129):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legal entity which is a qualified investor as defined in the Prospectus Regulation; </w:t>
      </w:r>
      <w:r>
        <mc:AlternateContent>
          <mc:Choice Requires="wps">
            <w:drawing>
              <wp:anchor behindDoc="0" distT="7366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9"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natural or legal persons (other than qualified investors as defined in the Prospectus Regulation), subject to obtaining the prior consent of any underwriters for any such offer; or </w:t>
      </w:r>
      <w:r>
        <mc:AlternateContent>
          <mc:Choice Requires="wps">
            <w:drawing>
              <wp:anchor behindDoc="0" distT="7493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0"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Article 1(4) of the Prospectus Regulation, </w:t>
      </w:r>
      <w:r>
        <mc:AlternateContent>
          <mc:Choice Requires="wps">
            <w:drawing>
              <wp:anchor behindDoc="0" distT="7366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1"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securities shall require us or the representatives to publish a prospectus pursuant to Article 3 of the Prospectus Regulation or supplement a prospectus pursuant to Article 23 of the Prospectus Regulation.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in a Relevant State who initially acquires any security or to whom any offer is made will be deemed to have represented, acknowledged and agreed that it is a “qualified investor” within the meaning of Article 2(e) of the Prospectus Regulation. In the case of any securities being offered to a financial intermediary as that term is used in Article 5(1) of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representatives has been obtained to each such proposed offer or resale.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the representatives and each of our and the representatives’ affiliates will rely upon the truth and accuracy of the foregoing representations, acknowledgements and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has been prepared on the basis that any offer of securities in any Relevant State will be made pursuant to an exemption under the Prospectus Regulation from the requirement to publish a prospectus for offers of securities. Accordingly, any person making or intending to make an offer in that Relevant State of securities which are the subject of the offering contemplated in this prospectus may only do so in circumstances in which no obligation arises for the Company or any underwriters to publish a prospectus pursuant to Article 3 of the Prospectus Regulation in relation to such offer. Neither we nor any underwriters have authorized, nor do they authorize, the making of any offer of securities in circumstances in which an obligation arises for the Company or any underwriters to publish a prospectus for such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 of the above provisions, the expression “an offer to the public” in relation to any securities in any Relevant State means the communication in any form and by any means of sufficient information on the terms of the offer and the securities to be offered so as to enable investors to decide to purchase or subscribe for any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MiFID II Product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offering, selling or recommending the securities (a “distributor”) should take into consideration the manufacturers’ target market assessment; however, a distributor subject to MiFID II (Directive 2014/65/EU) is responsible for undertaking its own target market assessment in respect of the securities (by either adopting or refining the manufacturers’ target market assessment) and determining appropriate distribution channels.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the United Kingdom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Shares or ADSs have been offered or will be offered, pursuant to any offering contemplated hereby, to the public in the United Kingdom prior to the publication of a prospectus in relation to such Shares or ADSs which has been approved by the Financial Conduct Authority, except that the Shares may be offered to the public in the United Kingdom at any time: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legal entity which is a qualified investor as defined under Paragraph 15 of Schedule 1 of the POATRs; </w:t>
      </w:r>
      <w:r>
        <mc:AlternateContent>
          <mc:Choice Requires="wps">
            <w:drawing>
              <wp:anchor behindDoc="0" distT="102870" distB="0" distL="25400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92" name="Frame1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natural or legal persons (other than qualified investors as defined under paragraph 15 of Schedule 1 of the POATRs), subject to obtaining the prior consent of any underwriters for any such offer; or </w:t>
      </w:r>
      <w:r>
        <mc:AlternateContent>
          <mc:Choice Requires="wps">
            <w:drawing>
              <wp:anchor behindDoc="0" distT="102870" distB="0" distL="25400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93"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the exceptions set out in Schedule 1 of the POATRs, provided that no such offer of the Shares or ADSs shall require the Company or any underwriter to publish a prospectus pursuant to Regulation 12 of the POATRs or supplement a prospectus pursuant to the FCA’s Prospectus Rules (“PRM”). </w:t>
      </w:r>
      <w:r>
        <mc:AlternateContent>
          <mc:Choice Requires="wps">
            <w:drawing>
              <wp:anchor behindDoc="0" distT="102870" distB="0" distL="25400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194" name="Frame1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TAX"/>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the Shares and ADSs in the United Kingdom means the communication in any form and by any means of sufficient information on the terms of the offer and any Shares to be offered so as to enable an investor to decide to purchase or subscribe for any Shares or ADSs and the expression “POATRs means Public Offers and Admission to Trading Regulations 2024.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Material U.S. Federal Income Tax Considerations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describes the material U.S. federal income tax considerations to U.S. Holders (as defined below) of the ownership and disposition of ADSs. This discussion is based on the Code, its legislative history, the Treasury Regulations, published guidance by the IRS and court decisions, all as of the date hereof, and does not take into account proposed changes in such tax laws. These laws are subject to change, possibly on a retroactive basis. This discussion is necessarily general and does not address all aspects of U.S. federal income taxation, including the effect of any U.S. federal alternative minimum tax, or U.S. federal estate and gift tax, or any state, local or non-U.S. tax laws to a holder of ADSs. This discussion also assumes that the Company will not be a “controlled foreign corporation” as defined in the Code. The Company has not sought and does not intend to seek any rulings from the IRS regarding the ADSs. There is no assurance that the IRS will not take positions concerning certain tax consequences of the ownership and disposition of ADSs that are different from those discussed below, or that any such different positions would not be sustained by a court.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this discussion applies only to ADSs held as capital assets for U.S. federal income tax purposes (generally, property held for investment) and does not discuss all aspects of U.S. federal income taxation that might be relevant to U.S. Holders in light of their particular circumstances or status, including the Medicare contribution tax on net investment income, or U.S. Holders who are subject to special rules, including: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or dealers; </w:t>
      </w:r>
      <w:r>
        <mc:AlternateContent>
          <mc:Choice Requires="wps">
            <w:drawing>
              <wp:anchor behindDoc="0" distT="7239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5"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elect to use a mark-to-market method of accounting for their securities holdings; </w:t>
      </w:r>
      <w:r>
        <mc:AlternateContent>
          <mc:Choice Requires="wps">
            <w:drawing>
              <wp:anchor behindDoc="0" distT="7239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6"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S-corporations; </w:t>
      </w:r>
      <w:r>
        <mc:AlternateContent>
          <mc:Choice Requires="wps">
            <w:drawing>
              <wp:anchor behindDoc="0" distT="7239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7"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governments or agencies or instrumentalities thereof; </w:t>
      </w:r>
      <w:r>
        <mc:AlternateContent>
          <mc:Choice Requires="wps">
            <w:drawing>
              <wp:anchor behindDoc="0" distT="7239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8"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subject to the base erosion and anti-abuse tax; </w:t>
      </w:r>
      <w:r>
        <mc:AlternateContent>
          <mc:Choice Requires="wps">
            <w:drawing>
              <wp:anchor behindDoc="0" distT="7239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9"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mutual funds; </w:t>
      </w:r>
      <w:r>
        <mc:AlternateContent>
          <mc:Choice Requires="wps">
            <w:drawing>
              <wp:anchor behindDoc="0" distT="7366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0"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pension funds; </w:t>
      </w:r>
      <w:r>
        <mc:AlternateContent>
          <mc:Choice Requires="wps">
            <w:drawing>
              <wp:anchor behindDoc="0" distT="7366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1"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trusts and estates; </w:t>
      </w:r>
      <w:r>
        <mc:AlternateContent>
          <mc:Choice Requires="wps">
            <w:drawing>
              <wp:anchor behindDoc="0" distT="7366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2"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subject to the alternative minimum tax provisions of the Code; </w:t>
      </w:r>
      <w:r>
        <mc:AlternateContent>
          <mc:Choice Requires="wps">
            <w:drawing>
              <wp:anchor behindDoc="0" distT="7366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3"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accrual method taxpayers that file applicable financial statements as described in Section 451(b) of the Code; </w:t>
      </w:r>
      <w:r>
        <mc:AlternateContent>
          <mc:Choice Requires="wps">
            <w:drawing>
              <wp:anchor behindDoc="0" distT="7366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4"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subject to the U.S. “anti-inversion” rules; </w:t>
      </w:r>
      <w:r>
        <mc:AlternateContent>
          <mc:Choice Requires="wps">
            <w:drawing>
              <wp:anchor behindDoc="0" distT="7366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5"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(including private foundations), qualified retirement plans, individual retirement accounts or other tax deferred accounts; </w:t>
      </w:r>
      <w:r>
        <mc:AlternateContent>
          <mc:Choice Requires="wps">
            <w:drawing>
              <wp:anchor behindDoc="0" distT="7366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6"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or other financial institutions, underwriters, insurance companies, real estate investment trusts or regulated investment companies; </w:t>
      </w:r>
      <w:r>
        <mc:AlternateContent>
          <mc:Choice Requires="wps">
            <w:drawing>
              <wp:anchor behindDoc="0" distT="7366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7"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or former long-term residents of the United States; </w:t>
      </w:r>
      <w:r>
        <mc:AlternateContent>
          <mc:Choice Requires="wps">
            <w:drawing>
              <wp:anchor behindDoc="0" distT="7366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8"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own (directly, indirectly, or by attribution) 5% or more (by vote or value) of any class of ADSs or of the Company in the aggregate; </w:t>
      </w:r>
      <w:r>
        <mc:AlternateContent>
          <mc:Choice Requires="wps">
            <w:drawing>
              <wp:anchor behindDoc="0" distT="7366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9"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ADSs as part of a straddle, hedging or conversion transaction, constructive sale, or other arrangement involving more than one position; </w:t>
      </w:r>
      <w:r>
        <mc:AlternateContent>
          <mc:Choice Requires="wps">
            <w:drawing>
              <wp:anchor behindDoc="0" distT="7366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0"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(as defined below) whose functional currency is not the U.S. dollar; </w:t>
      </w:r>
      <w:r>
        <mc:AlternateContent>
          <mc:Choice Requires="wps">
            <w:drawing>
              <wp:anchor behindDoc="0" distT="0" distB="0" distL="254000" distR="0" simplePos="0" locked="0" layoutInCell="1" allowOverlap="1" relativeHeight="214">
                <wp:simplePos x="0" y="0"/>
                <wp:positionH relativeFrom="column">
                  <wp:align>left</wp:align>
                </wp:positionH>
                <wp:positionV relativeFrom="line">
                  <wp:posOffset>635</wp:posOffset>
                </wp:positionV>
                <wp:extent cx="127000" cy="350520"/>
                <wp:effectExtent l="0" t="0" r="0" b="0"/>
                <wp:wrapSquare wrapText="right"/>
                <wp:docPr id="211"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received ADSs as compensation for services; or </w:t>
      </w:r>
      <w:r>
        <mc:AlternateContent>
          <mc:Choice Requires="wps">
            <w:drawing>
              <wp:anchor behindDoc="0" distT="7747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2"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controlled foreign corporations or passive foreign investment companies. </w:t>
      </w:r>
      <w:r>
        <mc:AlternateContent>
          <mc:Choice Requires="wps">
            <w:drawing>
              <wp:anchor behindDoc="0" distT="7747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3"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(including any entity or arrangement treated as a partnership for U.S. federal income tax purposes) holds ADSs, the tax treatment of a partner in such partnership will depend upon the status and activities of the partner and the activities of the partnership. Partners should consult their tax advisors regarding the U.S. federal income tax treatment of the ownership and disposition of ADSs.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HOLDERS OF ADSs ARE URGED TO CONSULT THEIR TAX ADVISORS REGARDING THE TAX CONSIDERATIONS RELATING TO THE OWNERSHIP AND DISPOSITION OF ADS, INCLUDING THE EFFECTS OF U.S. FEDERAL, STATE, AND LOCAL AND NON-U.S. TAX LAWS.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Federal Income Tax Treatment of the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generally is considered to be a tax resident for U.S. federal income tax purposes in the jurisdiction of its organization or incorporation. Accordingly, under the generally applicable U.S. federal income tax rules, the Company, which is incorporated under the laws of England and Wales,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Section 7874 of the Code, a corporation created or organized outside the United States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one or more U.S. corporations (including through the acquisition of all of the outstanding shares of a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percentage of the shares of the non-U.S. acquiring corporation held by former shareholders of the acquired U.S. corporation(s) by reason of holding shares in the U.S. acquired corporation(s) (taking into account the receipt of the non-U.S. corporation’s shares in exchange for each U.S. corporation’s shares) as determined for purposes of Section 7874 of the Code (the “Section 7874 ownership percentage”) is at least 80% (by either vote or value) (this test is referred to as the “80% ownership test” and the three-prong test described in clauses (i) – (iii) above is referred to as the “Section 7874(b) expatriation test”).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Section 7874 of the Code can limit the ability of U.S. corporations and their U.S. affiliates acquired by “surrogate foreign corporations” to utilize certain U.S. tax attributes (including net operating losses and certain tax credits) to offset U.S. taxable income resulting from certain transactions. These limitations will potentially apply if the Section 7874(b) expatriation test would be satisfied if the 80% ownership test were applied by substituting “60%” for “80%,” in which case the taxable income of the U.S. corporations (and any U.S. person considered to be related to the U.S. corporations pursuant to applicable rules) for any given year, within a period beginning on the first date the U.S. corporations’ properties were acquired directly or indirectly by the non-U.S. acquiring corporation and ending 10 years after the last date the U.S. corporations’ properties were acquired, will be no less than that person’s “inversion gain” for that taxable year. A person’s inversion gain includes gain from the transfer of shares or any other property (other than property held for sale to customers) and income from the license of any property that is either transferred or licensed as part of the acquisition or after the acquisition to a non-U.S. related person. In general, the effect of this provision is to deny the use of net operating losses, foreign tax credits or other tax attributes to offset the inversion gain. In addition, dividends paid by the Company would not qualify for “qualified dividend income” treatment. Further, there are additional requirements imposed on a U.S. corporation that has failed the substantial business activities test and met the 60% ownership test,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such U.S. corporation must include, as base erosion payments that may be subject to a minimum tax, any amounts treated as reductions in gross income paid to a related non-U.S. person within the meaning of Section 59A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the rules for determining share ownership under Section 7874 of the Code and the Treasury Regulations promulgated thereunder, the Section 7874 ownership percentage for the Company is not more than 60%. Accordingly, the Company is not treated as a U.S. corporation for U.S. federal income tax purposes, and the U.S. subsidiaries of the Company are not subject to the limitations and other rules described above under Section 7874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were to be treated as a U.S. corporation for U.S. federal income tax purposes, it could be subject to substantial liability for additional U.S. income taxes. However, if the Company were to be treated as a U.S. corporation for U.S. federal income tax purposes, dividend payments would generally constitute “qualified dividends” and be subject to tax at the rates accorded to long-term capital gains. Furthermore, if the IRS were to successfully assert that the 60% ownership test has been met, the ability of the U.S. subsidiaries of the Company to utilize certain U.S. tax attributes against income or gain recognized pursuant to certain transactions may be limited.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remainder of this discussion assumes that the Company will not be treated as a U.S. corporation for U.S. federal income tax purposes, that dividends of the Company could be eligible to be treated as “qualified dividends” ​(if all other requirements are satisfied), and that the U.S. subsidiaries of the Company will not be subject to the limitations and other rules under Section 7874 of the Code.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American Depositary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ADS represents the right to receive, and to exercise the beneficial ownership interests in, thirty Class A Shares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 because of legal restrictions or practical considerations.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remainder of this discussion assumes that, for U.S. federal income tax purposes, ownership of ADSs will be treated as ownership of the underlying Class A Shares (as applicable).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U.S.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means a beneficial owner of ADSs that is, for U.S. federal income tax purposes: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874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4"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for U.S. federal income tax purposes) created or organized in or under the laws of the United States, any state thereof or the District of Columbia; </w:t>
      </w:r>
      <w:r>
        <mc:AlternateContent>
          <mc:Choice Requires="wps">
            <w:drawing>
              <wp:anchor behindDoc="0" distT="7874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5"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whose income is subject to U.S. federal income tax regardless of its source; or </w:t>
      </w:r>
      <w:r>
        <mc:AlternateContent>
          <mc:Choice Requires="wps">
            <w:drawing>
              <wp:anchor behindDoc="0" distT="7874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6"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 </w:t>
      </w:r>
      <w:r>
        <mc:AlternateContent>
          <mc:Choice Requires="wps">
            <w:drawing>
              <wp:anchor behindDoc="0" distT="7874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7"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Consequences to Holders of Class A ADSs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 on Class A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under “— Passive Foreign Investment Company Rules,” the gross amount of any distribution on Class A ADSs generally will be taxable to a U.S. Holder as dividend income on the date such distribution is actually or constructively received, but only to the extent that the distribution is paid out of the Company’s current or accumulated earnings and profits (as determined under U.S. federal income tax principles).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Company does not maintain, and it is not required to maintain, calculations of its earnings and profits under U.S. federal income tax principles, it is currently expected that any distributions generally will be reported to U.S. Holders as dividends. Any such dividends generally will not be eligible for the dividends received deduction allowed to corporations in respect of dividends received from other U.S. corporations, but they may nonetheless qualify for other dividend received deductions depending on the ownership by a U.S. Holder. Each U.S. Holder should consult its own tax advisor to determine whether a deduction under Section 245A of the Code, or other sections, is available based on its particular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non-corporate U.S. Holders, dividends will be taxed at the lower applicable long-term capital gains rate if Class A ADSs are readily tradable on an established securities market in the United States (which they will be if the Class A ADSs are traded on Nasdaq) and certain other requirements are met, including that the Company is not classified as a passive foreign investment company during the taxable year in which the dividend is paid or the preceding taxable year and certain holding period requirements are met, or the Company qualifies for the benefits of certain U.S. income tax treaties. There can be no assurance that Class A ADSs will be considered readily tradable on an established securities market in future years or that the Company qualifies for the benefits of such a treaty. U.S. Holders should consult their own tax advisors regarding the potential availability of the lower rate for any dividends paid with respect to Class A ADSs.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Exchange, Redemption or Other Taxable Disposition of Class A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under “— Passive Foreign Investment Company Rules,” a U.S. Holder generally will recognize gain or loss on any sale, exchange or other taxable disposition of Class A ADSs in an amount equal to the difference between (i) the amount realized on the disposition and (ii) such U.S. Holder’s adjusted tax basis in such securities. Any gain or loss recognized by a U.S. Holder on a taxable disposition of Class A ADSs generally will be capital gain or loss and will be long-term capital gain or loss if such U.S. Holder’s holding period in such Class A ADS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Class A ADSs generally will be treated as U.S. source gain or loss for foreign tax credit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redeems Class A ADSs, the treatment of such redemption for U.S. federal income tax purposes will depend on whether the redemption qualifies as a sale of such Class A ADSs pursuant to Section 302 of the Code or whether the U.S. Holder will be treated as receiving a corporate distribution. Whether that redemption qualifies for sale treatment will depend largely on the total number of shares of the Company’s stock treated as held by the U.S. Holder (including any stock constructively owned by the U.S. Holder as a result of, among other things, owning multiple classes of ADS) relative to all of shares of the Company’s stock both before and after the redemption. A redemption of stock generally will be treated as a sale of the stock (rather than as a corporate distribution) if the redemption is “substantially disproportionate” with respect to the U.S. Holder, results in a “complete termination” of the U.S. Holder’s interest in the Company or is “not essentially equivalent to a dividend” with respect to the U.S. Holder. These tests are explained more fully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whether any of the foregoing tests are satisfied, a U.S. Holder takes into account not only Class A ADSs actually owned by the U.S. Holder but also shares of stock of the Company that are actually or constructively owned by such U.S. Holder. A U.S. Holder may constructively own, in addition to ADSs owned directly, ADSs owned by certain related individuals and entities in which the U.S. Holder has an interest or that have an interest in such U.S. Holder, as well as any ADSs the U.S. Holder has a right to acquire by exercise of an option. To meet the substantially disproportionate test, the percentage of the Company’s outstanding voting stock actually and constructively owned by the U.S. Holder immediately following the redemption of such Class A ADSs must, among other requirements, be less than 80% of the percentage of the Company’s outstanding voting ADSs actually and constructively owned by the U.S. Holder immediately before the redemption. There will be a complete termination of a U.S. Holder’s interest if either all the ADSs actually and constructively owned by the U.S. Holder are redeemed or ADSs actually owned by the U.S. Holder are redeemed and the U.S. Holder is eligible to waive, and effectively waives in accordance with specific rules, the attribution of stock owned by certain family members and the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 does not constructively own any other shares of stock of the Company. The redemption of Class A ADSs will not be essentially equivalent to a dividend if the redemption from a U.S. Holder’s results in a “meaningful reduction” of the U.S. Holder’s proportionate interest in the Company. Whether the redemption will result in a meaningful reduction in a U.S. Holder’s proportionate interest in the Company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redemption qualifies as a sale of stock by the U.S. Holder under Section 302 of the Code, the U.S. Holder generally will be required to recognize gain or loss with the consequences described in the first paragraph under this heading.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redemption does not qualify as a sale of stock under Section 302 of the Code, then the U.S. Holder will be treated as receiving a distribution as described above in “— Distributions on Class A ADSs.”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Passive Foreign Investment Company Rules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treatment of U.S. Holders of the Class A ADSs could be materially different from that described above if the Company is treated as a passive foreign investment company, or “PFIC”, for U.S. federal income tax purposes. A PFIC is any non-U.S. corporation with respect to which either: (i) 75% or more of the gross income for a taxable year constitutes passive income for purposes of the PFIC rules, or (ii) 50% or more of such non-U.S.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royalties and certain rents. The determination of whether a non-U.S. corporation is a PFIC is based upon the composition of such non-U.S. corporation’s income and assets (including, among others, its proportionate share of the income and assets of any other corporation in which it owns, directly or indirectly, 25% or more (by value) of the stock), and the nature of such non-U.S. corporation’s activities. A separate determination must be made after the close of each taxable year as to whether a non-U.S. corporation was a PFIC for that year. Once a non-U.S. corporation qualifies as a PFIC it is, with respect to a shareholder during the time it qualifies as a PFIC, and subject to certain exceptions, always treated as a PFIC with respect to such shareholder, regardless of whether it satisfies either of the qualification tests in subsequent years.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projected composition of the Company’s income and assets (including the income and assets of each subsidiary for which the Company owns, directly or indirectly, 25% or more (by value) of its stock), the Company does not believe it was classified as a PFIC for its most recent taxable year ended on December 31, 2025, and does not expect to be classified as a PFIC for its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is or becomes a PFIC during any year in which a U.S. Holder holds Class A ADSs and such U.S. Holder does not make a mark-to-market election, as described below, the U.S. Holder will be subject to special tax rules with respect to (i) any gain realized on a sale or other disposition (including a pledge) of its Class A ADSs, and (ii) any “excess distributions” it receives on its Class A ADSs (generally, any distributions in excess of 125% of the average of the annual distributions on Class A ADSs during the preceding three years or the U.S. Holder’s holding period, whichever is shorter).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under this excess distribution regime: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or excess distribution will be allocated ratably over the period during which the U.S. Holder held its Class A ADSs; </w:t>
      </w:r>
      <w:r>
        <mc:AlternateContent>
          <mc:Choice Requires="wps">
            <w:drawing>
              <wp:anchor behindDoc="0" distT="7620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8"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allocated to the current taxable year will be treated as ordinary income; and </w:t>
      </w:r>
      <w:r>
        <mc:AlternateContent>
          <mc:Choice Requires="wps">
            <w:drawing>
              <wp:anchor behindDoc="0" distT="7620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9"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allocated to prior taxable years will be subject to the highest tax rate in effect for that taxable year and the interest charge generally applicable to underpayments of tax will be imposed on the resulting tax attributable to each such year. </w:t>
      </w:r>
      <w:r>
        <mc:AlternateContent>
          <mc:Choice Requires="wps">
            <w:drawing>
              <wp:anchor behindDoc="0" distT="7620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0"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lieu of being subject to the special tax rules discussed above with regard to its Class A ADSs, a U.S. Holder may make a mark-to-market election with respect to its Class A ADSs. A U.S. Holder may make a mark-to-market election if such shares are treated as “marketable stock.” The ADSs generally will be treated as marketable stock if they are regularly traded on a national securities exchange that is registered with the SEC, including Nasdaq, or on a qualified non-U.S. exchange or other market (within the meaning of the applicable Treasury Regulations). Although the ADSs are expected to be listed on Nasdaq, no assurance can be given that the ADSs will be “regularly traded” for purposes of the mark-to-market election. The Company currently does not intend to provide information necessary for U.S. Holders to make a “qualified electing fund” election which, if available, would result in tax treatment different from the general tax treatment for PFICs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is classified as a PFIC for any taxable year, a U.S. Holder of ADSs will be required to file an annual report on IRS Form 8621. Failure to file IRS Form 8621 for each applicable taxable year may result in substantial penalties and result in the U.S. Holder’s taxable years being open to audit by the IRS until such Forms are properly filed.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are urged to consult their tax advisors concerning the U.S. federal income tax consequences of holding ADSs in the event that the Company is considered a PFIC in any taxable year.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Reporting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who are individuals and certain entities will be required to report information with respect to such U.S. Holder’s investment in “specified foreign financial assets” on IRS Form 8938 (Statement of Specified Foreign Financial Assets), subject to certain exceptions (including an exception for ADSs held in accounts maintained at certain financial institutions). An interest in ADSs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U.S. Holders are urged to consult their tax advisors regarding the foreign financial asset and other reporting obligations and their application to the ownership and disposition of ADSs.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dividends and sales proceeds that are made within the United States or through certain U.S.- related financial intermediaries are subject to information reporting and may be subject to backup withholding. Backup withholding generally will not apply, however, to a U.S. Holder if (i) the U.S. Holder is a corporation or other exempt recipient or (ii) in the case of backup withholding, the U.S. Holder provides a correct taxpayer identification number and certifies that it is not subject to backup withholding. Backup withholding is not an additional tax. The amount of any backup withholding from a payment to a U.S. Holder will be allowed as a credit against such U.S. Holder’s U.S. federal income tax liability and a holder may obtain a refund of any excess amounts withheld under the backup withholding rules by timely filing the appropriate claim for a refund with the IRS and furnishing any required information.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Material United Kingdom Tax Considerations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intended as a general guide to current United Kingdom tax law and HMRC published practice applying as at the date of this prospectus (both of which are subject to change at any time, possibly with retrospective effect) relating to (i) the United Kingdom withholding tax implications of dividends paid by the Company in respect of Class A Shares and (ii) the United Kingdom stamp duty and SDRT implications of transfers of, and agreements to transfer, ADS. It does not constitute legal or tax advice and does not purport to be an analysis of any other United Kingdom tax considerations relating to the acquisition, holding or disposing of ADS or any other shares or securities that may be issued by the Company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PARAGRAPHS ARE A SUMMARY OF MATERIAL UNITED KINGDOM TAX CONSIDERATIONS AND ARE INTENDED AS A GENERAL GUIDE ONLY. IT IS RECOMMENDED THAT ALL HOLDERS OF ADS OBTAIN ADVICE AS TO THE CONSEQUENCES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EOCC"/>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ACQUISITION, OWNERSHIP AND DISPOSAL OF THE ADS IN THEIR OWN SPECIFIC CIRCUMSTANCES FROM THEIR OWN TAX ADVISORS.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Withholding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paid by the Company in respect of Class A Shares should not be subject to any withholding or deduction for or on account of United Kingdom income tax.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Stamp Duty and Stamp Duty Reserve Tax — Transfers of ADS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The statement in this section assumes that the ADS are held at all relevant times through the clearance service facilities of DTC and that all transfers of the ADS take place in paperless form without </w:t>
      </w:r>
      <w:r>
        <w:rPr>
          <w:rFonts w:ascii="Times New Roman;Times;serif" w:hAnsi="Times New Roman;Times;serif"/>
          <w:b w:val="false"/>
          <w:i w:val="false"/>
          <w:caps w:val="false"/>
          <w:smallCaps w:val="false"/>
          <w:color w:val="000000"/>
          <w:spacing w:val="4"/>
          <w:sz w:val="20"/>
        </w:rPr>
        <w:t xml:space="preserve">the </w:t>
      </w:r>
      <w:r>
        <w:rPr>
          <w:rFonts w:ascii="Times New Roman;Times;serif" w:hAnsi="Times New Roman;Times;serif"/>
          <w:b w:val="false"/>
          <w:i/>
          <w:caps w:val="false"/>
          <w:smallCaps w:val="false"/>
          <w:color w:val="000000"/>
          <w:spacing w:val="4"/>
          <w:sz w:val="20"/>
        </w:rPr>
        <w:t xml:space="preserve">creation of any written instrument of transfer. This section does not consider the implications of transfers of, or agreements to transfer, any Company securities held in certificated form.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Stamp Duty should be payable on a paperless transfer of ADS, as Stamp Duty is only chargeable on executed written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contrast to the Stamp Duty, SDRT could be applicable in the United Kingdom on paperless transfer of securities. However, in line with the provisions of Sections 70(9) and 97(1) of the United Kingdom Finance Act 1986, no SDRT should be required to be paid on a paperless transfer of ADS through the clearance service facilities of DTC, provided that DTC has not made an election under section 97A of the United Kingdom Finance Act 1986, and such ADS are held through DTC at the time of any agreement for their transfer. If DTC makes the Section 97A election, SDRT may apply at a rate of 0.5% to all agreements to transfer chargeable securities.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ENFORCEABILITY OF CERTAIN CIVIL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incorporated and currently existing under the laws of England and Wales. In addition, certain of our directors and officers reside outside of the United States and most of the assets of our non-U.S. subsidiaries are located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uncertainty exists as to whether the courts of England and Wales would: </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recognize or enforce judgments of United States courts obtained against us or our directors or officers predicated upon the civil liabilities provisions of the securities laws of the United States or any state in the United States; or </w:t>
      </w:r>
      <w:r>
        <mc:AlternateContent>
          <mc:Choice Requires="wps">
            <w:drawing>
              <wp:anchor behindDoc="0" distT="8763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1"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entertain original actions brought in England and Wales against us or our directors or officers predicated upon the securities laws of the United States or any state in the United States. </w:t>
      </w:r>
      <w:r>
        <mc:AlternateContent>
          <mc:Choice Requires="wps">
            <w:drawing>
              <wp:anchor behindDoc="0" distT="8890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2"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advised by Alston &amp; Bird LLP and Alston &amp; Bird (City) LLP that there is currently no bilateral treaty or multilateral convention in force between: (i) the United States; and (ii) the United Kingdom providing for reciprocal recognition and enforcement of judgments of United States courts in civil and commercial matters (although the United States and the UK are both parties to the New York Convention on the Recognition and Enforcement of Foreign Arbitral Awards) and that a final judgment for the payment of money rendered by any federal or state court in the United States based on civil liability, whether or not predicated solely upon the United States securities laws, would not be automatically enforceable in England and Wales. We have also been advised by Alston &amp; Bird LLP and Alston &amp; Bird (City) LLP that any final and conclusive monetary judgment for a definite sum obtained against us in United States courts would be treated by the courts of England and Wales as a cause of action in itself and sued upon as a debt at common law so that no retrial of the issues would be necessary, provided that: </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relevant U.S. court had jurisdiction over the original proceedings according to English conflicts of laws principles at the time when proceedings were initiated; </w:t>
      </w:r>
      <w:r>
        <mc:AlternateContent>
          <mc:Choice Requires="wps">
            <w:drawing>
              <wp:anchor behindDoc="0" distT="8763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3"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3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courts of England and Wales had jurisdiction over the matter on enforcement and the relevant judgement debtor either submitted to such jurisdiction or were resident or carrying on business within such jurisdiction and were duly served with process; </w:t>
      </w:r>
      <w:r>
        <mc:AlternateContent>
          <mc:Choice Requires="wps">
            <w:drawing>
              <wp:anchor behindDoc="0" distT="0" distB="0" distL="254000" distR="0" simplePos="0" locked="0" layoutInCell="1" allowOverlap="1" relativeHeight="227">
                <wp:simplePos x="0" y="0"/>
                <wp:positionH relativeFrom="column">
                  <wp:align>left</wp:align>
                </wp:positionH>
                <wp:positionV relativeFrom="line">
                  <wp:posOffset>635</wp:posOffset>
                </wp:positionV>
                <wp:extent cx="127000" cy="350520"/>
                <wp:effectExtent l="0" t="0" r="0" b="0"/>
                <wp:wrapSquare wrapText="right"/>
                <wp:docPr id="224"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judgment was final and conclusive on the merits in the sense of being final and unalterable in the court that pronounced it and being for a definite sum of money; </w:t>
      </w:r>
      <w:r>
        <mc:AlternateContent>
          <mc:Choice Requires="wps">
            <w:drawing>
              <wp:anchor behindDoc="0" distT="7620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5"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judgment given by the courts was not in respect of penalties, taxes, fines or similar fiscal or revenue obligations (or otherwise based on a U.S. law that the courts of England and Wales consider to relate to a penal, revenue or other public law); </w:t>
      </w:r>
      <w:r>
        <mc:AlternateContent>
          <mc:Choice Requires="wps">
            <w:drawing>
              <wp:anchor behindDoc="0" distT="7620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6"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judgment was not procured by fraud; </w:t>
      </w:r>
      <w:r>
        <mc:AlternateContent>
          <mc:Choice Requires="wps">
            <w:drawing>
              <wp:anchor behindDoc="0" distT="7620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7"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recognition or enforcement of the judgment in England and Wales would not be contrary to public policy or the Human Rights Act 1998; </w:t>
      </w:r>
      <w:r>
        <mc:AlternateContent>
          <mc:Choice Requires="wps">
            <w:drawing>
              <wp:anchor behindDoc="0" distT="7620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8"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proceedings pursuant to which judgment was obtained were not contrary to natural justice; </w:t>
      </w:r>
      <w:r>
        <mc:AlternateContent>
          <mc:Choice Requires="wps">
            <w:drawing>
              <wp:anchor behindDoc="0" distT="7620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9"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judgment was not arrived at by doubling, trebling or otherwise multiplying a sum assessed as compensation for the loss or damages sustained and not being otherwise in breach of Section 5 of the UK Protection of Trading Interests Act 1980, and the judgment is not based on measures designated by the Secretary of State under Section 1 of that Act; </w:t>
      </w:r>
      <w:r>
        <mc:AlternateContent>
          <mc:Choice Requires="wps">
            <w:drawing>
              <wp:anchor behindDoc="0" distT="7620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0"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not a prior decision of the courts of England and Wales or the court of another jurisdiction on the issues in question between the same parties; and </w:t>
      </w:r>
      <w:r>
        <mc:AlternateContent>
          <mc:Choice Requires="wps">
            <w:drawing>
              <wp:anchor behindDoc="0" distT="7620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1"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English enforcement proceedings were commenced within the limitation period. </w:t>
      </w:r>
      <w:r>
        <mc:AlternateContent>
          <mc:Choice Requires="wps">
            <w:drawing>
              <wp:anchor behindDoc="0" distT="7620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2"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these requirements are met in respect of a judgment based upon the civil liability provisions of the United States securities laws, including whether the award of monetary damages under such laws would constitute a penalty, is an issue for the court making such decision.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courts of England and Wales give a judgment for the sum payable under a U.S. judgment, the English judgment will be enforceable by methods generally available for this purpose. These methods generally permit the courts of England and Wales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 It should also be noted that in the courts system of England and Wales the usual rule is that the losing party is ordered to pay the legal costs of the litigation that were incurred by the successful party.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costs are assessed by the courts of England and Wales at the conclusion of the litigation.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ERTT"/>
      <w:bookmarkEnd w:id="19"/>
      <w:r>
        <w:rPr>
          <w:rFonts w:ascii="calibri;arial;sans-serif" w:hAnsi="calibri;arial;sans-serif"/>
          <w:b w:val="false"/>
          <w:i w:val="false"/>
          <w:caps w:val="false"/>
          <w:smallCaps w:val="false"/>
          <w:color w:val="000000"/>
          <w:sz w:val="16"/>
        </w:rPr>
        <w:t>​</w:t>
      </w:r>
      <w:bookmarkStart w:id="20" w:name="tLEMA"/>
      <w:bookmarkEnd w:id="20"/>
      <w:r>
        <w:rPr>
          <w:rFonts w:ascii="calibri;arial;sans-serif" w:hAnsi="calibri;arial;sans-serif"/>
          <w:b w:val="false"/>
          <w:i w:val="false"/>
          <w:caps w:val="false"/>
          <w:smallCaps w:val="false"/>
          <w:color w:val="000000"/>
          <w:sz w:val="16"/>
        </w:rPr>
        <w:t>​</w:t>
      </w:r>
      <w:bookmarkStart w:id="21" w:name="tEXP"/>
      <w:bookmarkEnd w:id="21"/>
      <w:r>
        <w:rPr>
          <w:rFonts w:ascii="calibri;arial;sans-serif" w:hAnsi="calibri;arial;sans-serif"/>
          <w:b w:val="false"/>
          <w:i w:val="false"/>
          <w:caps w:val="false"/>
          <w:smallCaps w:val="false"/>
          <w:color w:val="000000"/>
          <w:sz w:val="16"/>
        </w:rPr>
        <w:t>​</w:t>
      </w:r>
      <w:bookmarkStart w:id="22" w:name="tWYCF"/>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RELATED TO THE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the following expenses in connection with the offer and sale of our Class A ADSs by the Selling Securityholders. With the exception of the SEC Registration Fee, all amounts are estimates. </w:t>
      </w:r>
    </w:p>
    <w:tbl>
      <w:tblPr>
        <w:tblW w:w="7337" w:type="dxa"/>
        <w:jc w:val="left"/>
        <w:tblInd w:w="1393" w:type="dxa"/>
        <w:tblLayout w:type="fixed"/>
        <w:tblCellMar>
          <w:top w:w="0" w:type="dxa"/>
          <w:left w:w="0" w:type="dxa"/>
          <w:bottom w:w="0" w:type="dxa"/>
          <w:right w:w="0" w:type="dxa"/>
        </w:tblCellMar>
      </w:tblPr>
      <w:tblGrid>
        <w:gridCol w:w="124"/>
        <w:gridCol w:w="5271"/>
        <w:gridCol w:w="109"/>
        <w:gridCol w:w="109"/>
        <w:gridCol w:w="109"/>
        <w:gridCol w:w="226"/>
        <w:gridCol w:w="112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271" w:type="dxa"/>
            <w:tcBorders/>
            <w:shd w:fill="CCEEFF" w:val="clear"/>
            <w:vAlign w:val="center"/>
          </w:tcPr>
          <w:p>
            <w:pPr>
              <w:pStyle w:val="TableContents"/>
              <w:bidi w:val="0"/>
              <w:spacing w:before="0" w:after="0"/>
              <w:jc w:val="left"/>
              <w:rPr>
                <w:spacing w:val="4"/>
              </w:rPr>
            </w:pPr>
            <w:r>
              <w:rPr>
                <w:spacing w:val="4"/>
              </w:rPr>
              <w:t xml:space="preserve">US Securities and Exchange Commission Filing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26" w:type="dxa"/>
            <w:tcBorders/>
            <w:shd w:fill="CCEEFF" w:val="clear"/>
            <w:vAlign w:val="center"/>
          </w:tcPr>
          <w:p>
            <w:pPr>
              <w:pStyle w:val="TableContents"/>
              <w:bidi w:val="0"/>
              <w:spacing w:before="0" w:after="283"/>
              <w:jc w:val="right"/>
              <w:rPr/>
            </w:pPr>
            <w:r>
              <w:rPr/>
              <w:t xml:space="preserve">56,500.20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71" w:type="dxa"/>
            <w:tcBorders/>
            <w:vAlign w:val="center"/>
          </w:tcPr>
          <w:p>
            <w:pPr>
              <w:pStyle w:val="TableContents"/>
              <w:bidi w:val="0"/>
              <w:spacing w:before="0" w:after="0"/>
              <w:jc w:val="left"/>
              <w:rPr>
                <w:spacing w:val="4"/>
              </w:rPr>
            </w:pPr>
            <w:r>
              <w:rPr>
                <w:spacing w:val="4"/>
              </w:rPr>
              <w:t xml:space="preserve">FINRA Filing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2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271" w:type="dxa"/>
            <w:tcBorders/>
            <w:shd w:fill="CCEEFF" w:val="cle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2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71" w:type="dxa"/>
            <w:tcBorders/>
            <w:vAlign w:val="center"/>
          </w:tcPr>
          <w:p>
            <w:pPr>
              <w:pStyle w:val="TableContents"/>
              <w:bidi w:val="0"/>
              <w:spacing w:before="0" w:after="0"/>
              <w:jc w:val="left"/>
              <w:rPr>
                <w:spacing w:val="4"/>
              </w:rPr>
            </w:pPr>
            <w:r>
              <w:rPr>
                <w:spacing w:val="4"/>
              </w:rPr>
              <w:t xml:space="preserve">Accountants’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2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271" w:type="dxa"/>
            <w:tcBorders/>
            <w:shd w:fill="CCEEFF" w:val="clear"/>
            <w:vAlign w:val="center"/>
          </w:tcPr>
          <w:p>
            <w:pPr>
              <w:pStyle w:val="TableContents"/>
              <w:bidi w:val="0"/>
              <w:spacing w:before="0" w:after="0"/>
              <w:jc w:val="left"/>
              <w:rPr>
                <w:spacing w:val="4"/>
              </w:rPr>
            </w:pPr>
            <w:r>
              <w:rPr>
                <w:spacing w:val="4"/>
              </w:rPr>
              <w:t xml:space="preserve">Printing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26" w:type="dxa"/>
            <w:tcBorders/>
            <w:shd w:fill="CCEEFF" w:val="clear"/>
            <w:vAlign w:val="center"/>
          </w:tcPr>
          <w:p>
            <w:pPr>
              <w:pStyle w:val="TableContents"/>
              <w:bidi w:val="0"/>
              <w:spacing w:before="0" w:after="283"/>
              <w:jc w:val="right"/>
              <w:rPr/>
            </w:pPr>
            <w:r>
              <w:rPr/>
              <w:t>15,000+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71" w:type="dxa"/>
            <w:tcBorders/>
            <w:vAlign w:val="center"/>
          </w:tcPr>
          <w:p>
            <w:pPr>
              <w:pStyle w:val="TableContents"/>
              <w:bidi w:val="0"/>
              <w:spacing w:before="0" w:after="0"/>
              <w:jc w:val="left"/>
              <w:rPr>
                <w:spacing w:val="4"/>
              </w:rPr>
            </w:pPr>
            <w:r>
              <w:rPr>
                <w:spacing w:val="4"/>
              </w:rPr>
              <w:t xml:space="preserve">Transfer agent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2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271" w:type="dxa"/>
            <w:tcBorders/>
            <w:shd w:fill="CCEEFF" w:val="clear"/>
            <w:vAlign w:val="center"/>
          </w:tcPr>
          <w:p>
            <w:pPr>
              <w:pStyle w:val="TableContents"/>
              <w:bidi w:val="0"/>
              <w:spacing w:before="0" w:after="0"/>
              <w:jc w:val="left"/>
              <w:rPr>
                <w:spacing w:val="4"/>
              </w:rPr>
            </w:pPr>
            <w:r>
              <w:rPr>
                <w:spacing w:val="4"/>
              </w:rPr>
              <w:t xml:space="preserve">Miscellaneous costs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2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271" w:type="dxa"/>
            <w:tcBorders/>
            <w:vAlign w:val="center"/>
          </w:tcPr>
          <w:p>
            <w:pPr>
              <w:pStyle w:val="TableContents"/>
              <w:bidi w:val="0"/>
              <w:spacing w:before="0" w:after="0"/>
              <w:jc w:val="left"/>
              <w:rPr>
                <w:b/>
              </w:rPr>
            </w:pPr>
            <w:r>
              <w:rPr>
                <w:b/>
                <w:spacing w:val="-4"/>
              </w:rPr>
              <w:t>Total</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2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securities offered and the number of issuances and accordingly cannot be defined at this time. </w:t>
      </w:r>
      <w:r>
        <mc:AlternateContent>
          <mc:Choice Requires="wps">
            <w:drawing>
              <wp:anchor behindDoc="0" distT="102870" distB="0" distL="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33" name="Frame2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solely for purposes of this section. Actual expenses may vary. </w:t>
      </w:r>
      <w:r>
        <mc:AlternateContent>
          <mc:Choice Requires="wps">
            <w:drawing>
              <wp:anchor behindDoc="0" distT="52070" distB="0" distL="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right"/>
                <wp:docPr id="234"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certain expenses associated with the registration of the securities covered by this prospectus, whereas the Selling Securityholders will bear all incremental selling expenses, including commissions, brokerage fees and other similar selling expenses.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our Class A Shares shall be passed upon for us by Alston &amp; Bird (City), LLP, as our counsel with respect to certain legal matters as to English law.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Polestar Automotive Holding UK PLC as of December 31, 2025 and 2024 and for each of the three years in the period ended December 31, 2025, incorporated by reference in this prospectus, and the effectiveness of Polestar Automotive Holding UK PLC’s internal control over financial reporting have been audited by Deloitte AB, an independent registered public accounting firm, as stated in their reports which express an unqualified opinion on the financial statements and an adverse opinion on the effectiveness of Polestar Automotive Holding UK PLC’s internal control over financial reporting. Such financial statements are incorporated by reference in reliance upon the reports of such firm given their authority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(including amendments and exhibits to the registration statement) on Form F-3 under the Securities Act. For purposes of this section, the term registration statement means the original registration statement and any and all amendments including the schedules and exhibits to the original registration statement or any amendment.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certain of the informational filing requirements of the Exchange Act. As a foreign private issuer,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consents or authorizations applicable to a security registered under the Exchange Act, including the U.S. proxy rules under Section 14 of the Exchange Act. In addition, our officers and directors are exempt from the “short-swing” profit recovery provisions of Section 16 of the Exchange Act with respect to their purchases and sales of our securities. Moreover, while we expect to submit interim consolidated financial data to the SEC under cover of the SEC’s Form 6-K, we are not required to file periodic reports and financial statements with the SEC as frequently or as promptly as U.S. public companies and are not required to file quarterly reports on Form 10-Q or current reports on Form 8-K under the Exchange Act. The SEC maintains a website at http://www.sec.gov that contains reports and other information that we file with or furnish electronically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mailing address of Polestar’s principal executive office is Assar Gabrielssons Väg 9, 405 31 Gothenburg, Sweden and its telephone number is +1 (551) 284 9479. Polestar also maintains a website at https://www.polestar.com/us/. In this prospectus, the website addresses of the SEC and Polestar are provided solely for information and are not intended to be active links. Polestar is not incorporating the contents of the websites of the SEC and Polestar or any other entity into this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2727" w:after="283"/>
        <w:jc w:val="center"/>
        <w:rPr>
          <w:caps w:val="false"/>
          <w:smallCaps w:val="false"/>
          <w:color w:val="000000"/>
        </w:rPr>
      </w:pPr>
      <w:r>
        <w:rPr>
          <w:caps w:val="false"/>
          <w:smallCaps w:val="false"/>
          <w:color w:val="000000"/>
        </w:rPr>
        <w:drawing>
          <wp:inline distT="0" distB="0" distL="0" distR="0">
            <wp:extent cx="1076325" cy="495300"/>
            <wp:effectExtent l="0" t="0" r="0" b="0"/>
            <wp:docPr id="2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 descr=""/>
                    <pic:cNvPicPr>
                      <a:picLocks noChangeAspect="1" noChangeArrowheads="1"/>
                    </pic:cNvPicPr>
                  </pic:nvPicPr>
                  <pic:blipFill>
                    <a:blip r:embed="rId13"/>
                    <a:stretch>
                      <a:fillRect/>
                    </a:stretch>
                  </pic:blipFill>
                  <pic:spPr bwMode="auto">
                    <a:xfrm>
                      <a:off x="0" y="0"/>
                      <a:ext cx="1076325" cy="4953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592"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1,758,418,200 Ordinary Shares represented by</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58,613,940 Class A American Depositary Shares</w:t>
      </w:r>
      <w:r>
        <w:rPr>
          <w:rFonts w:ascii="Times New Roman;Times;serif" w:hAnsi="Times New Roman;Times;serif"/>
          <w:b/>
          <w:i w:val="false"/>
          <w:caps w:val="false"/>
          <w:smallCaps w:val="false"/>
          <w:color w:val="000000"/>
          <w:spacing w:val="6"/>
          <w:sz w:val="28"/>
        </w:rPr>
        <w:t xml:space="preserve"> </w:t>
      </w:r>
    </w:p>
    <w:p>
      <w:pPr>
        <w:pStyle w:val="TextBody"/>
        <w:bidi w:val="0"/>
        <w:spacing w:before="214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238"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w:t>
      </w:r>
      <w:r>
        <w:rPr>
          <w:rFonts w:ascii="Times New Roman;Times;serif" w:hAnsi="Times New Roman;Times;serif"/>
          <w:b/>
          <w:i w:val="false"/>
          <w:caps w:val="false"/>
          <w:smallCaps w:val="false"/>
          <w:color w:val="000000"/>
          <w:spacing w:val="5"/>
          <w:sz w:val="24"/>
        </w:rPr>
        <w:t xml:space="preserve"> </w:t>
      </w:r>
    </w:p>
    <w:p>
      <w:pPr>
        <w:pStyle w:val="TextBody"/>
        <w:bidi w:val="0"/>
        <w:spacing w:before="21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083"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September 28, 2026</w:t>
      </w:r>
      <w:r>
        <w:rPr>
          <w:rFonts w:ascii="Times New Roman;Times;serif" w:hAnsi="Times New Roman;Times;serif"/>
          <w:b/>
          <w:i w:val="false"/>
          <w:caps w:val="false"/>
          <w:smallCaps w:val="false"/>
          <w:color w:val="000000"/>
          <w:spacing w:val="4"/>
          <w:sz w:val="20"/>
        </w:rPr>
        <w:t xml:space="preserve"> </w:t>
      </w:r>
    </w:p>
    <w:p>
      <w:pPr>
        <w:pStyle w:val="TextBody"/>
        <w:bidi w:val="0"/>
        <w:spacing w:before="279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PART 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8.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Companies Act, and without prejudice to any indemnity to which he or she may otherwise be entitled, members of the registrant’s board of directors and its officers shall have the benefit of the following indemnification provisions in the registrant’s articles of association: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and former members of the registrant’s board of directors or officers (other than any person, whether or not an officer of the registrant or an associated company (as defined in the Companies Act), engaged by the registrant or an associated company as auditor) shall be indemnified for all costs, charges, losses, expenses and liabilities sustained or incurred by them in connection with their duties or powers in relation to the registrant, any associated company or any pension fund or employee share scheme of ours or an associated company and in relation to the registrant’s (or an associated company’s) activities as trustee of an occupational pension scheme, including any liability incurred in defending any criminal or civil proceedings in which judgement is given in his or her favor or in which he or she is acquitted or the proceedings are otherwise disposed of without any finding or admission of any material breach of duty on his or her behalf or in connection with any application in which the court grants him or her relief from liability for negligence, default, breach of duty or breach of trust in relation to the registrant’s or its group’s affairs.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current or former members of the registrant’s board of directors, in compliance with the Companies Act, there shall be no entitlement to indemnification as referred to above for (i) any liability incurred to the registrant or any associated company, (ii) the payment of a fine imposed in any criminal proceeding or a penalty imposed by a regulatory authority for non-compliance with any requirement of a regulatory nature, (iii) the defense of any criminal proceeding if the member of the registrant’s board of directors is convicted, (iv) the defense of any civil proceeding brought by the registrant or an associated company in which judgement is given against the director and (v) any application for relief under the Companies Act in which the court refuses to grant relief to the director.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may provide any current or former director or officer with funds to meet expenditure incurred or to be incurred by them in connection with any proceedings or application referred to above and otherwise may take any action to enable any such relevant officer to avoid incurring such expenditure. Members of the registrant’s board of directors and its officers who have received payment from the registrant under the relevant indemnification provisions must repay the amount they received in accordance with the Companies Act or in any other circumstances that the registrant may prescribe or where the registrant has reserved the right to require repayment.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registrant entered into deeds of indemnity with its directors, officers and certain members of Polestar Group’s senior management pursuant to which the registrant agrees to indemnify each such person in connection with threatened, pending or completed actions, suits or proceedings to which such person has been made a party or in which such person becomes involved.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9.   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list of exhibits filed with this registration statement is set forth on the Exhibit Index and is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10.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254000" distR="0" simplePos="0" locked="0" layoutInCell="1" allowOverlap="1" relativeHeight="238">
                <wp:simplePos x="0" y="0"/>
                <wp:positionH relativeFrom="column">
                  <wp:align>left</wp:align>
                </wp:positionH>
                <wp:positionV relativeFrom="line">
                  <wp:align>top</wp:align>
                </wp:positionV>
                <wp:extent cx="254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01600" distB="0" distL="50800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w:t>
      </w:r>
      <w:r>
        <mc:AlternateContent>
          <mc:Choice Requires="wps">
            <w:drawing>
              <wp:anchor behindDoc="0" distT="101600" distB="0" distL="762000" distR="0" simplePos="0" locked="0" layoutInCell="1" allowOverlap="1" relativeHeight="240">
                <wp:simplePos x="0" y="0"/>
                <wp:positionH relativeFrom="column">
                  <wp:align>left</wp:align>
                </wp:positionH>
                <wp:positionV relativeFrom="line">
                  <wp:align>top</wp:align>
                </wp:positionV>
                <wp:extent cx="254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 effective amendment thereof) which, </w:t>
      </w:r>
      <w:r>
        <mc:AlternateContent>
          <mc:Choice Requires="wps">
            <w:drawing>
              <wp:anchor behindDoc="0" distT="101600" distB="0" distL="762000" distR="0" simplePos="0" locked="0" layoutInCell="1" allowOverlap="1" relativeHeight="241">
                <wp:simplePos x="0" y="0"/>
                <wp:positionH relativeFrom="column">
                  <wp:align>left</wp:align>
                </wp:positionH>
                <wp:positionV relativeFrom="line">
                  <wp:align>top</wp:align>
                </wp:positionV>
                <wp:extent cx="254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SEC pursuant to Rule 424(b) if, in the aggregate, the changes in volume and price represent no more than a 20% change in the maximum aggregate offering price set forth in the “Calculation of Registration Fee” table in the effective registration statement. </w:t>
      </w:r>
    </w:p>
    <w:p>
      <w:pPr>
        <w:pStyle w:val="TextBody"/>
        <w:bidi w:val="0"/>
        <w:spacing w:lineRule="atLeast" w:line="240" w:before="154"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97790" distB="0" distL="762000" distR="0" simplePos="0" locked="0" layoutInCell="1" allowOverlap="1" relativeHeight="242">
                <wp:simplePos x="0" y="0"/>
                <wp:positionH relativeFrom="column">
                  <wp:align>left</wp:align>
                </wp:positionH>
                <wp:positionV relativeFrom="line">
                  <wp:align>top</wp:align>
                </wp:positionV>
                <wp:extent cx="254000" cy="525780"/>
                <wp:effectExtent l="0" t="0" r="0" b="0"/>
                <wp:wrapSquare wrapText="right"/>
                <wp:docPr id="240" name="Frame23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7.7pt;mso-wrap-distance-bottom:0pt;margin-top:7.7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paragraphs (a)(1)(i), (a)(1)(ii) and (a)(1)(iii)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99060" distB="0" distL="50800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99060" distB="0" distL="508000" distR="0" simplePos="0" locked="0" layoutInCell="1" allowOverlap="1" relativeHeight="244">
                <wp:simplePos x="0" y="0"/>
                <wp:positionH relativeFrom="column">
                  <wp:align>left</wp:align>
                </wp:positionH>
                <wp:positionV relativeFrom="line">
                  <wp:align>top</wp:align>
                </wp:positionV>
                <wp:extent cx="254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 (3)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 effective amendment need not be filed to include financial statements and information required by Section 10(a)(3) of the Securities Act of 1933 if such financial statements and information are contained in periodic reports filed with or furnished to the SEC by the registrant pursuant to Section 13 or Section 15(d) of the Securities Exchange Act of 1934 that are incorporated by reference in the registration statement; </w:t>
      </w:r>
      <w:r>
        <mc:AlternateContent>
          <mc:Choice Requires="wps">
            <w:drawing>
              <wp:anchor behindDoc="0" distT="99060" distB="0" distL="50800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30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of 1933 to any purchaser: </w:t>
      </w:r>
      <w:r>
        <mc:AlternateContent>
          <mc:Choice Requires="wps">
            <w:drawing>
              <wp:anchor behindDoc="0" distT="99060" distB="0" distL="508000" distR="0" simplePos="0" locked="0" layoutInCell="1" allowOverlap="1" relativeHeight="246">
                <wp:simplePos x="0" y="0"/>
                <wp:positionH relativeFrom="column">
                  <wp:align>left</wp:align>
                </wp:positionH>
                <wp:positionV relativeFrom="line">
                  <wp:align>top</wp:align>
                </wp:positionV>
                <wp:extent cx="5207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520700" cy="350520"/>
                        </a:xfrm>
                        <a:prstGeom prst="rect"/>
                        <a:solidFill>
                          <a:srgbClr val="FFFFFF"/>
                        </a:solidFill>
                      </wps:spPr>
                      <wps:txbx>
                        <w:txbxContent>
                          <w:p>
                            <w:pPr>
                              <w:pStyle w:val="TextBody"/>
                              <w:bidi w:val="0"/>
                              <w:spacing w:lineRule="atLeast" w:line="240" w:before="0" w:after="283"/>
                              <w:jc w:val="left"/>
                              <w:rPr/>
                            </w:pPr>
                            <w:r>
                              <w:rPr>
                                <w:spacing w:val="4"/>
                              </w:rPr>
                              <w:t>(5)   (i)</w:t>
                            </w:r>
                            <w:r>
                              <w:rPr/>
                              <w:t xml:space="preserve"> </w:t>
                              <w:br/>
                            </w:r>
                          </w:p>
                        </w:txbxContent>
                      </wps:txbx>
                      <wps:bodyPr anchor="t" lIns="0" tIns="0" rIns="0" bIns="0">
                        <a:noAutofit/>
                      </wps:bodyPr>
                    </wps:wsp>
                  </a:graphicData>
                </a:graphic>
              </wp:anchor>
            </w:drawing>
          </mc:Choice>
          <mc:Fallback>
            <w:pict>
              <v:rect style="position:absolute;rotation:-0;width:41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(5)   (i)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a registrant pursuant to Rule 424(b)(3) shall be deemed to be part of the registration statement as of the date the filed prospectus was deemed part of and included in the registration statement; and </w:t>
      </w:r>
      <w:r>
        <mc:AlternateContent>
          <mc:Choice Requires="wps">
            <w:drawing>
              <wp:anchor behindDoc="0" distT="99060" distB="0" distL="1016000" distR="0" simplePos="0" locked="0" layoutInCell="1" allowOverlap="1" relativeHeight="247">
                <wp:simplePos x="0" y="0"/>
                <wp:positionH relativeFrom="column">
                  <wp:align>left</wp:align>
                </wp:positionH>
                <wp:positionV relativeFrom="line">
                  <wp:align>top</wp:align>
                </wp:positionV>
                <wp:extent cx="254000" cy="525780"/>
                <wp:effectExtent l="0" t="0" r="0" b="0"/>
                <wp:wrapSquare wrapText="right"/>
                <wp:docPr id="245" name="Frame24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80pt;mso-wrap-distance-right:0pt;mso-wrap-distance-top:7.8pt;mso-wrap-distance-bottom:0pt;margin-top:7.8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w:t>
      </w:r>
      <w:r>
        <mc:AlternateContent>
          <mc:Choice Requires="wps">
            <w:drawing>
              <wp:anchor behindDoc="0" distT="99060" distB="0" distL="1016000" distR="0" simplePos="0" locked="0" layoutInCell="1" allowOverlap="1" relativeHeight="248">
                <wp:simplePos x="0" y="0"/>
                <wp:positionH relativeFrom="column">
                  <wp:align>left</wp:align>
                </wp:positionH>
                <wp:positionV relativeFrom="line">
                  <wp:align>top</wp:align>
                </wp:positionV>
                <wp:extent cx="254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7.8pt;mso-wrap-distance-bottom:0pt;margin-top:7.8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r>
        <mc:AlternateContent>
          <mc:Choice Requires="wps">
            <w:drawing>
              <wp:anchor behindDoc="0" distT="101600" distB="0" distL="508000" distR="0" simplePos="0" locked="0" layoutInCell="1" allowOverlap="1" relativeHeight="249">
                <wp:simplePos x="0" y="0"/>
                <wp:positionH relativeFrom="column">
                  <wp:align>left</wp:align>
                </wp:positionH>
                <wp:positionV relativeFrom="line">
                  <wp:align>top</wp:align>
                </wp:positionV>
                <wp:extent cx="254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1600" distB="0" distL="762000" distR="0" simplePos="0" locked="0" layoutInCell="1" allowOverlap="1" relativeHeight="250">
                <wp:simplePos x="0" y="0"/>
                <wp:positionH relativeFrom="column">
                  <wp:align>left</wp:align>
                </wp:positionH>
                <wp:positionV relativeFrom="line">
                  <wp:align>top</wp:align>
                </wp:positionV>
                <wp:extent cx="254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1600" distB="0" distL="762000" distR="0" simplePos="0" locked="0" layoutInCell="1" allowOverlap="1" relativeHeight="251">
                <wp:simplePos x="0" y="0"/>
                <wp:positionH relativeFrom="column">
                  <wp:align>left</wp:align>
                </wp:positionH>
                <wp:positionV relativeFrom="line">
                  <wp:align>top</wp:align>
                </wp:positionV>
                <wp:extent cx="254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1600" distB="0" distL="762000" distR="0" simplePos="0" locked="0" layoutInCell="1" allowOverlap="1" relativeHeight="252">
                <wp:simplePos x="0" y="0"/>
                <wp:positionH relativeFrom="column">
                  <wp:align>left</wp:align>
                </wp:positionH>
                <wp:positionV relativeFrom="line">
                  <wp:align>top</wp:align>
                </wp:positionV>
                <wp:extent cx="254000" cy="525780"/>
                <wp:effectExtent l="0" t="0" r="0" b="0"/>
                <wp:wrapSquare wrapText="right"/>
                <wp:docPr id="250" name="Frame24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1600" distB="0" distL="762000" distR="0" simplePos="0" locked="0" layoutInCell="1" allowOverlap="1" relativeHeight="253">
                <wp:simplePos x="0" y="0"/>
                <wp:positionH relativeFrom="column">
                  <wp:align>left</wp:align>
                </wp:positionH>
                <wp:positionV relativeFrom="line">
                  <wp:align>top</wp:align>
                </wp:positionV>
                <wp:extent cx="254000" cy="525780"/>
                <wp:effectExtent l="0" t="0" r="0" b="0"/>
                <wp:wrapSquare wrapText="right"/>
                <wp:docPr id="251" name="Frame24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254000" distR="0" simplePos="0" locked="0" layoutInCell="1" allowOverlap="1" relativeHeight="254">
                <wp:simplePos x="0" y="0"/>
                <wp:positionH relativeFrom="column">
                  <wp:align>left</wp:align>
                </wp:positionH>
                <wp:positionV relativeFrom="line">
                  <wp:align>top</wp:align>
                </wp:positionV>
                <wp:extent cx="254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r>
        <mc:AlternateContent>
          <mc:Choice Requires="wps">
            <w:drawing>
              <wp:anchor behindDoc="0" distT="101600" distB="0" distL="254000" distR="0" simplePos="0" locked="0" layoutInCell="1" allowOverlap="1" relativeHeight="255">
                <wp:simplePos x="0" y="0"/>
                <wp:positionH relativeFrom="column">
                  <wp:align>left</wp:align>
                </wp:positionH>
                <wp:positionV relativeFrom="line">
                  <wp:align>top</wp:align>
                </wp:positionV>
                <wp:extent cx="254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INDEX</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842"/>
        <w:gridCol w:w="109"/>
        <w:gridCol w:w="109"/>
        <w:gridCol w:w="4371"/>
        <w:gridCol w:w="109"/>
        <w:gridCol w:w="109"/>
        <w:gridCol w:w="959"/>
        <w:gridCol w:w="109"/>
        <w:gridCol w:w="109"/>
        <w:gridCol w:w="814"/>
        <w:gridCol w:w="109"/>
        <w:gridCol w:w="109"/>
        <w:gridCol w:w="674"/>
        <w:gridCol w:w="156"/>
      </w:tblGrid>
      <w:tr>
        <w:trPr/>
        <w:tc>
          <w:tcPr>
            <w:tcW w:w="124" w:type="dxa"/>
            <w:vMerge w:val="restart"/>
            <w:tcBorders>
              <w:bottom w:val="single" w:sz="2" w:space="0" w:color="FFFFFF"/>
            </w:tcBorders>
            <w:vAlign w:val="center"/>
          </w:tcPr>
          <w:p>
            <w:pPr>
              <w:pStyle w:val="TableContents"/>
              <w:bidi w:val="0"/>
              <w:spacing w:before="0" w:after="283"/>
              <w:jc w:val="left"/>
              <w:rPr/>
            </w:pPr>
            <w:r>
              <w:rPr/>
              <w:t>​</w:t>
            </w:r>
          </w:p>
        </w:tc>
        <w:tc>
          <w:tcPr>
            <w:tcW w:w="842" w:type="dxa"/>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Exhibit </w:t>
            </w:r>
            <w:r>
              <w:rPr/>
              <w:t xml:space="preserve"> </w:t>
              <w:br/>
            </w:r>
            <w:r>
              <w:rPr>
                <w:spacing w:val="-3"/>
              </w:rPr>
              <w:t xml:space="preserve">No.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4371" w:type="dxa"/>
            <w:vMerge w:val="restart"/>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Description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83" w:type="dxa"/>
            <w:gridSpan w:val="7"/>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Incorporated by Reference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vMerge w:val="continue"/>
            <w:tcBorders>
              <w:bottom w:val="single" w:sz="2" w:space="0" w:color="FFFFFF"/>
            </w:tcBorders>
            <w:vAlign w:val="center"/>
          </w:tcPr>
          <w:p>
            <w:pPr>
              <w:pStyle w:val="Normal"/>
              <w:bidi w:val="0"/>
              <w:jc w:val="left"/>
              <w:rPr/>
            </w:pPr>
            <w:r>
              <w:rPr/>
            </w:r>
          </w:p>
        </w:tc>
        <w:tc>
          <w:tcPr>
            <w:tcW w:w="842" w:type="dxa"/>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4371" w:type="dxa"/>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959"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Schedule </w:t>
            </w:r>
            <w:r>
              <w:rPr/>
              <w:br/>
            </w:r>
            <w:r>
              <w:rPr>
                <w:spacing w:val="-3"/>
              </w:rPr>
              <w:t xml:space="preserve">Form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14"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4"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Filing </w:t>
            </w:r>
            <w:r>
              <w:rPr/>
              <w:br/>
            </w: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2" w:type="dxa"/>
            <w:tcBorders/>
            <w:tcMar>
              <w:bottom w:w="0" w:type="dxa"/>
            </w:tcMar>
            <w:vAlign w:val="center"/>
          </w:tcPr>
          <w:p>
            <w:pPr>
              <w:pStyle w:val="TableContents"/>
              <w:bidi w:val="0"/>
              <w:spacing w:before="0" w:after="283"/>
              <w:ind w:left="100" w:right="0" w:hanging="0"/>
              <w:jc w:val="left"/>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1"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"https://www.sec.gov/Archives/edgar/data/1884082/000119312522156731/d239003df4a.htm" \l "tx239003_501"</w:instrText>
            </w:r>
            <w:r>
              <w:rPr>
                <w:rStyle w:val="InternetLink"/>
              </w:rPr>
              <w:fldChar w:fldCharType="separate"/>
            </w:r>
            <w:r>
              <w:rPr>
                <w:rStyle w:val="InternetLink"/>
              </w:rPr>
              <w:t>Business Combination Agreement, dated as of September 27, 2021, by and among Gores Guggenheim Inc., Polestar Automotive Holding Limited, Polestar Automotive (Singapore) Pte. Ltd., Polestar Holding AB, Inc., Polestar Automotive Holding UK Limited and PAH UK Merger Sub Inc.</w:t>
            </w:r>
            <w:r>
              <w:rPr>
                <w:rStyle w:val="InternetLink"/>
              </w:rPr>
              <w:fldChar w:fldCharType="end"/>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283"/>
              <w:jc w:val="left"/>
              <w:rPr>
                <w:spacing w:val="4"/>
              </w:rPr>
            </w:pPr>
            <w:r>
              <w:rPr>
                <w:spacing w:val="4"/>
              </w:rPr>
              <w:t xml:space="preserve">F-1/A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4" w:type="dxa"/>
            <w:tcBorders/>
            <w:tcMar>
              <w:bottom w:w="0" w:type="dxa"/>
            </w:tcMar>
            <w:vAlign w:val="center"/>
          </w:tcPr>
          <w:p>
            <w:pPr>
              <w:pStyle w:val="TableContents"/>
              <w:bidi w:val="0"/>
              <w:spacing w:before="0" w:after="283"/>
              <w:jc w:val="left"/>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4" w:type="dxa"/>
            <w:tcBorders/>
            <w:tcMar>
              <w:bottom w:w="0" w:type="dxa"/>
            </w:tcMar>
            <w:vAlign w:val="center"/>
          </w:tcPr>
          <w:p>
            <w:pPr>
              <w:pStyle w:val="TableContents"/>
              <w:bidi w:val="0"/>
              <w:spacing w:before="0" w:after="283"/>
              <w:jc w:val="left"/>
              <w:rPr>
                <w:spacing w:val="4"/>
              </w:rPr>
            </w:pPr>
            <w:r>
              <w:rPr>
                <w:spacing w:val="4"/>
              </w:rPr>
              <w:t xml:space="preserve">8/18/22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2" w:type="dxa"/>
            <w:tcBorders/>
            <w:tcMar>
              <w:bottom w:w="0" w:type="dxa"/>
            </w:tcMar>
            <w:vAlign w:val="center"/>
          </w:tcPr>
          <w:p>
            <w:pPr>
              <w:pStyle w:val="TableContents"/>
              <w:bidi w:val="0"/>
              <w:spacing w:before="0" w:after="283"/>
              <w:ind w:left="100" w:right="0" w:hanging="0"/>
              <w:jc w:val="left"/>
              <w:rPr>
                <w:spacing w:val="4"/>
              </w:rPr>
            </w:pPr>
            <w:r>
              <w:rPr>
                <w:spacing w:val="4"/>
              </w:rPr>
              <w:t xml:space="preserve">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1"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"https://www.sec.gov/Archives/edgar/data/1884082/000119312522156731/d239003df4a.htm" \l "tx239003_601"</w:instrText>
            </w:r>
            <w:r>
              <w:rPr>
                <w:rStyle w:val="InternetLink"/>
              </w:rPr>
              <w:fldChar w:fldCharType="separate"/>
            </w:r>
            <w:r>
              <w:rPr>
                <w:rStyle w:val="InternetLink"/>
              </w:rPr>
              <w:t>Amendment No. 1 to the Business Combination Agreement, dated as of December 17, 2021, by and among Gores Guggenheim Inc., Polestar Automotive Holding Limited, Polestar Automotive (Singapore) Pte. Ltd., Polestar Holding AB, Inc., Polestar Automotive Holding UK Limited and PAH UK Merger Sub Inc.</w:t>
            </w:r>
            <w:r>
              <w:rPr>
                <w:rStyle w:val="InternetLink"/>
              </w:rPr>
              <w:fldChar w:fldCharType="end"/>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283"/>
              <w:jc w:val="left"/>
              <w:rPr>
                <w:spacing w:val="4"/>
              </w:rPr>
            </w:pPr>
            <w:r>
              <w:rPr>
                <w:spacing w:val="4"/>
              </w:rPr>
              <w:t xml:space="preserve">F-1/A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4" w:type="dxa"/>
            <w:tcBorders/>
            <w:tcMar>
              <w:bottom w:w="0" w:type="dxa"/>
            </w:tcMar>
            <w:vAlign w:val="center"/>
          </w:tcPr>
          <w:p>
            <w:pPr>
              <w:pStyle w:val="TableContents"/>
              <w:bidi w:val="0"/>
              <w:spacing w:before="0" w:after="283"/>
              <w:jc w:val="left"/>
              <w:rPr>
                <w:spacing w:val="4"/>
              </w:rPr>
            </w:pPr>
            <w:r>
              <w:rPr>
                <w:spacing w:val="4"/>
              </w:rPr>
              <w:t xml:space="preserve">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4" w:type="dxa"/>
            <w:tcBorders/>
            <w:tcMar>
              <w:bottom w:w="0" w:type="dxa"/>
            </w:tcMar>
            <w:vAlign w:val="center"/>
          </w:tcPr>
          <w:p>
            <w:pPr>
              <w:pStyle w:val="TableContents"/>
              <w:bidi w:val="0"/>
              <w:spacing w:before="0" w:after="283"/>
              <w:jc w:val="left"/>
              <w:rPr>
                <w:spacing w:val="4"/>
              </w:rPr>
            </w:pPr>
            <w:r>
              <w:rPr>
                <w:spacing w:val="4"/>
              </w:rPr>
              <w:t xml:space="preserve">8/18/22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2" w:type="dxa"/>
            <w:tcBorders/>
            <w:tcMar>
              <w:bottom w:w="0" w:type="dxa"/>
            </w:tcMar>
            <w:vAlign w:val="center"/>
          </w:tcPr>
          <w:p>
            <w:pPr>
              <w:pStyle w:val="TableContents"/>
              <w:bidi w:val="0"/>
              <w:spacing w:before="0" w:after="283"/>
              <w:ind w:left="100" w:right="0" w:hanging="0"/>
              <w:jc w:val="left"/>
              <w:rPr>
                <w:spacing w:val="4"/>
              </w:rPr>
            </w:pPr>
            <w:r>
              <w:rPr>
                <w:spacing w:val="4"/>
              </w:rPr>
              <w:t xml:space="preserve">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1"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"https://www.sec.gov/Archives/edgar/data/1884082/000119312522156731/d239003df4a.htm" \l "tx239003_611"</w:instrText>
            </w:r>
            <w:r>
              <w:rPr>
                <w:rStyle w:val="InternetLink"/>
              </w:rPr>
              <w:fldChar w:fldCharType="separate"/>
            </w:r>
            <w:r>
              <w:rPr>
                <w:rStyle w:val="InternetLink"/>
              </w:rPr>
              <w:t>Amendment No. 2 to the Business Combination Agreement, dated as of March 24, 2022, by and among Gores Guggenheim Inc., Polestar Automotive Holding Limited, Polestar Automotive (Singapore) Pte. Ltd., Polestar Holding AB, Inc., Polestar Automotive Holding UK Limited and PAH UK Merger Sub Inc.</w:t>
            </w:r>
            <w:r>
              <w:rPr>
                <w:rStyle w:val="InternetLink"/>
              </w:rPr>
              <w:fldChar w:fldCharType="end"/>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283"/>
              <w:jc w:val="left"/>
              <w:rPr>
                <w:spacing w:val="4"/>
              </w:rPr>
            </w:pPr>
            <w:r>
              <w:rPr>
                <w:spacing w:val="4"/>
              </w:rPr>
              <w:t xml:space="preserve">F-1/A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4" w:type="dxa"/>
            <w:tcBorders/>
            <w:tcMar>
              <w:bottom w:w="0" w:type="dxa"/>
            </w:tcMar>
            <w:vAlign w:val="center"/>
          </w:tcPr>
          <w:p>
            <w:pPr>
              <w:pStyle w:val="TableContents"/>
              <w:bidi w:val="0"/>
              <w:spacing w:before="0" w:after="283"/>
              <w:jc w:val="left"/>
              <w:rPr>
                <w:spacing w:val="4"/>
              </w:rPr>
            </w:pPr>
            <w:r>
              <w:rPr>
                <w:spacing w:val="4"/>
              </w:rPr>
              <w:t xml:space="preserve">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4" w:type="dxa"/>
            <w:tcBorders/>
            <w:tcMar>
              <w:bottom w:w="0" w:type="dxa"/>
            </w:tcMar>
            <w:vAlign w:val="center"/>
          </w:tcPr>
          <w:p>
            <w:pPr>
              <w:pStyle w:val="TableContents"/>
              <w:bidi w:val="0"/>
              <w:spacing w:before="0" w:after="283"/>
              <w:jc w:val="left"/>
              <w:rPr>
                <w:spacing w:val="4"/>
              </w:rPr>
            </w:pPr>
            <w:r>
              <w:rPr>
                <w:spacing w:val="4"/>
              </w:rPr>
              <w:t xml:space="preserve">8/18/22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2" w:type="dxa"/>
            <w:tcBorders/>
            <w:tcMar>
              <w:bottom w:w="0" w:type="dxa"/>
            </w:tcMar>
            <w:vAlign w:val="center"/>
          </w:tcPr>
          <w:p>
            <w:pPr>
              <w:pStyle w:val="TableContents"/>
              <w:bidi w:val="0"/>
              <w:spacing w:before="0" w:after="283"/>
              <w:ind w:left="100" w:right="0" w:hanging="0"/>
              <w:jc w:val="left"/>
              <w:rPr>
                <w:spacing w:val="4"/>
              </w:rPr>
            </w:pPr>
            <w:r>
              <w:rPr>
                <w:spacing w:val="4"/>
              </w:rPr>
              <w:t xml:space="preserve">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1"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"https://www.sec.gov/Archives/edgar/data/1884082/000119312522156731/d239003df4a.htm" \l "tx239003_1b"</w:instrText>
            </w:r>
            <w:r>
              <w:rPr>
                <w:rStyle w:val="InternetLink"/>
              </w:rPr>
              <w:fldChar w:fldCharType="separate"/>
            </w:r>
            <w:r>
              <w:rPr>
                <w:rStyle w:val="InternetLink"/>
              </w:rPr>
              <w:t>Amendment No. 3 to the Business Combination Agreement, dated as of April 21, 2022, by and among Gores Guggenheim Inc., Polestar Automotive Holding Limited, Polestar Automotive (Singapore) Pte. Ltd., Polestar Holding AB, Inc., Polestar Automotive Holding UK Limited and PAH UK Merger Sub Inc.</w:t>
            </w:r>
            <w:r>
              <w:rPr>
                <w:rStyle w:val="InternetLink"/>
              </w:rPr>
              <w:fldChar w:fldCharType="end"/>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283"/>
              <w:jc w:val="left"/>
              <w:rPr>
                <w:spacing w:val="4"/>
              </w:rPr>
            </w:pPr>
            <w:r>
              <w:rPr>
                <w:spacing w:val="4"/>
              </w:rPr>
              <w:t xml:space="preserve">F-1/A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4" w:type="dxa"/>
            <w:tcBorders/>
            <w:tcMar>
              <w:bottom w:w="0" w:type="dxa"/>
            </w:tcMar>
            <w:vAlign w:val="center"/>
          </w:tcPr>
          <w:p>
            <w:pPr>
              <w:pStyle w:val="TableContents"/>
              <w:bidi w:val="0"/>
              <w:spacing w:before="0" w:after="283"/>
              <w:jc w:val="left"/>
              <w:rPr>
                <w:spacing w:val="4"/>
              </w:rPr>
            </w:pPr>
            <w:r>
              <w:rPr>
                <w:spacing w:val="4"/>
              </w:rPr>
              <w:t xml:space="preserve">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4" w:type="dxa"/>
            <w:tcBorders/>
            <w:tcMar>
              <w:bottom w:w="0" w:type="dxa"/>
            </w:tcMar>
            <w:vAlign w:val="center"/>
          </w:tcPr>
          <w:p>
            <w:pPr>
              <w:pStyle w:val="TableContents"/>
              <w:bidi w:val="0"/>
              <w:spacing w:before="0" w:after="283"/>
              <w:jc w:val="left"/>
              <w:rPr>
                <w:spacing w:val="4"/>
              </w:rPr>
            </w:pPr>
            <w:r>
              <w:rPr>
                <w:spacing w:val="4"/>
              </w:rPr>
              <w:t xml:space="preserve">8/18/22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2" w:type="dxa"/>
            <w:tcBorders/>
            <w:tcMar>
              <w:bottom w:w="0" w:type="dxa"/>
            </w:tcMar>
            <w:vAlign w:val="center"/>
          </w:tcPr>
          <w:p>
            <w:pPr>
              <w:pStyle w:val="TableContents"/>
              <w:bidi w:val="0"/>
              <w:spacing w:before="0" w:after="283"/>
              <w:ind w:left="100" w:right="0" w:hanging="0"/>
              <w:jc w:val="left"/>
              <w:rPr>
                <w:spacing w:val="4"/>
              </w:rPr>
            </w:pPr>
            <w:r>
              <w:rPr>
                <w:spacing w:val="4"/>
              </w:rPr>
              <w:t xml:space="preserve">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1" w:type="dxa"/>
            <w:tcBorders/>
            <w:tcMar>
              <w:bottom w:w="0" w:type="dxa"/>
            </w:tcMar>
            <w:vAlign w:val="center"/>
          </w:tcPr>
          <w:p>
            <w:pPr>
              <w:pStyle w:val="TableContents"/>
              <w:bidi w:val="0"/>
              <w:spacing w:before="0" w:after="0"/>
              <w:jc w:val="left"/>
              <w:rPr/>
            </w:pPr>
            <w:hyperlink r:id="rId14">
              <w:r>
                <w:rPr>
                  <w:rStyle w:val="InternetLink"/>
                  <w:spacing w:val="4"/>
                </w:rPr>
                <w:t>ADS Deposit Agreement — Class A ADSs</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283"/>
              <w:jc w:val="left"/>
              <w:rPr>
                <w:spacing w:val="4"/>
              </w:rPr>
            </w:pPr>
            <w:r>
              <w:rPr>
                <w:spacing w:val="4"/>
              </w:rPr>
              <w:t xml:space="preserve">F-6EF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4" w:type="dxa"/>
            <w:tcBorders/>
            <w:tcMar>
              <w:bottom w:w="0" w:type="dxa"/>
            </w:tcMar>
            <w:vAlign w:val="center"/>
          </w:tcPr>
          <w:p>
            <w:pPr>
              <w:pStyle w:val="TableContents"/>
              <w:bidi w:val="0"/>
              <w:spacing w:before="0" w:after="283"/>
              <w:jc w:val="left"/>
              <w:rPr>
                <w:spacing w:val="4"/>
              </w:rPr>
            </w:pPr>
            <w:r>
              <w:rPr>
                <w:spacing w:val="4"/>
              </w:rPr>
              <w:t xml:space="preserv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4" w:type="dxa"/>
            <w:tcBorders/>
            <w:tcMar>
              <w:bottom w:w="0" w:type="dxa"/>
            </w:tcMar>
            <w:vAlign w:val="center"/>
          </w:tcPr>
          <w:p>
            <w:pPr>
              <w:pStyle w:val="TableContents"/>
              <w:bidi w:val="0"/>
              <w:spacing w:before="0" w:after="283"/>
              <w:jc w:val="left"/>
              <w:rPr>
                <w:spacing w:val="4"/>
              </w:rPr>
            </w:pPr>
            <w:r>
              <w:rPr>
                <w:spacing w:val="4"/>
              </w:rPr>
              <w:t xml:space="preserve">8/26/22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2" w:type="dxa"/>
            <w:tcBorders/>
            <w:tcMar>
              <w:bottom w:w="0" w:type="dxa"/>
            </w:tcMar>
            <w:vAlign w:val="center"/>
          </w:tcPr>
          <w:p>
            <w:pPr>
              <w:pStyle w:val="TableContents"/>
              <w:bidi w:val="0"/>
              <w:spacing w:before="0" w:after="283"/>
              <w:ind w:left="100" w:right="0" w:hanging="0"/>
              <w:jc w:val="left"/>
              <w:rPr>
                <w:spacing w:val="4"/>
              </w:rPr>
            </w:pPr>
            <w:r>
              <w:rPr>
                <w:spacing w:val="4"/>
              </w:rPr>
              <w:t xml:space="preserve">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1" w:type="dxa"/>
            <w:tcBorders/>
            <w:tcMar>
              <w:bottom w:w="0" w:type="dxa"/>
            </w:tcMar>
            <w:vAlign w:val="center"/>
          </w:tcPr>
          <w:p>
            <w:pPr>
              <w:pStyle w:val="TableContents"/>
              <w:bidi w:val="0"/>
              <w:spacing w:before="0" w:after="0"/>
              <w:jc w:val="left"/>
              <w:rPr/>
            </w:pPr>
            <w:hyperlink r:id="rId15">
              <w:r>
                <w:rPr>
                  <w:rStyle w:val="InternetLink"/>
                  <w:spacing w:val="4"/>
                </w:rPr>
                <w:t>ADS Deposit Agreement — Class C-1 ADSs</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283"/>
              <w:jc w:val="left"/>
              <w:rPr>
                <w:spacing w:val="4"/>
              </w:rPr>
            </w:pPr>
            <w:r>
              <w:rPr>
                <w:spacing w:val="4"/>
              </w:rPr>
              <w:t xml:space="preserve">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4" w:type="dxa"/>
            <w:tcBorders/>
            <w:tcMar>
              <w:bottom w:w="0" w:type="dxa"/>
            </w:tcMar>
            <w:vAlign w:val="center"/>
          </w:tcPr>
          <w:p>
            <w:pPr>
              <w:pStyle w:val="TableContents"/>
              <w:bidi w:val="0"/>
              <w:spacing w:before="0" w:after="283"/>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4" w:type="dxa"/>
            <w:tcBorders/>
            <w:tcMar>
              <w:bottom w:w="0" w:type="dxa"/>
            </w:tcMar>
            <w:vAlign w:val="center"/>
          </w:tcPr>
          <w:p>
            <w:pPr>
              <w:pStyle w:val="TableContents"/>
              <w:bidi w:val="0"/>
              <w:spacing w:before="0" w:after="283"/>
              <w:jc w:val="left"/>
              <w:rPr>
                <w:spacing w:val="4"/>
              </w:rPr>
            </w:pPr>
            <w:r>
              <w:rPr>
                <w:spacing w:val="4"/>
              </w:rPr>
              <w:t xml:space="preserve">6/27/22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2" w:type="dxa"/>
            <w:tcBorders/>
            <w:tcMar>
              <w:bottom w:w="0" w:type="dxa"/>
            </w:tcMar>
            <w:vAlign w:val="center"/>
          </w:tcPr>
          <w:p>
            <w:pPr>
              <w:pStyle w:val="TableContents"/>
              <w:bidi w:val="0"/>
              <w:spacing w:before="0" w:after="283"/>
              <w:ind w:left="100" w:right="0" w:hanging="0"/>
              <w:jc w:val="left"/>
              <w:rPr>
                <w:spacing w:val="4"/>
              </w:rPr>
            </w:pPr>
            <w:r>
              <w:rPr>
                <w:spacing w:val="4"/>
              </w:rPr>
              <w:t xml:space="preserve">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1" w:type="dxa"/>
            <w:tcBorders/>
            <w:tcMar>
              <w:bottom w:w="0" w:type="dxa"/>
            </w:tcMar>
            <w:vAlign w:val="center"/>
          </w:tcPr>
          <w:p>
            <w:pPr>
              <w:pStyle w:val="TableContents"/>
              <w:bidi w:val="0"/>
              <w:spacing w:before="0" w:after="0"/>
              <w:jc w:val="left"/>
              <w:rPr/>
            </w:pPr>
            <w:hyperlink r:id="rId16">
              <w:r>
                <w:rPr>
                  <w:rStyle w:val="InternetLink"/>
                  <w:spacing w:val="4"/>
                </w:rPr>
                <w:t>ADS Deposit Agreement — Class C-2 ADSs</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283"/>
              <w:jc w:val="left"/>
              <w:rPr>
                <w:spacing w:val="4"/>
              </w:rPr>
            </w:pPr>
            <w:r>
              <w:rPr>
                <w:spacing w:val="4"/>
              </w:rPr>
              <w:t xml:space="preserve">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4" w:type="dxa"/>
            <w:tcBorders/>
            <w:tcMar>
              <w:bottom w:w="0" w:type="dxa"/>
            </w:tcMar>
            <w:vAlign w:val="center"/>
          </w:tcPr>
          <w:p>
            <w:pPr>
              <w:pStyle w:val="TableContents"/>
              <w:bidi w:val="0"/>
              <w:spacing w:before="0" w:after="283"/>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4" w:type="dxa"/>
            <w:tcBorders/>
            <w:tcMar>
              <w:bottom w:w="0" w:type="dxa"/>
            </w:tcMar>
            <w:vAlign w:val="center"/>
          </w:tcPr>
          <w:p>
            <w:pPr>
              <w:pStyle w:val="TableContents"/>
              <w:bidi w:val="0"/>
              <w:spacing w:before="0" w:after="283"/>
              <w:jc w:val="left"/>
              <w:rPr>
                <w:spacing w:val="4"/>
              </w:rPr>
            </w:pPr>
            <w:r>
              <w:rPr>
                <w:spacing w:val="4"/>
              </w:rPr>
              <w:t xml:space="preserve">6/27/22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2" w:type="dxa"/>
            <w:tcBorders/>
            <w:tcMar>
              <w:bottom w:w="0" w:type="dxa"/>
            </w:tcMar>
            <w:vAlign w:val="center"/>
          </w:tcPr>
          <w:p>
            <w:pPr>
              <w:pStyle w:val="TableContents"/>
              <w:bidi w:val="0"/>
              <w:spacing w:before="0" w:after="283"/>
              <w:ind w:left="100" w:right="0" w:hanging="0"/>
              <w:jc w:val="left"/>
              <w:rPr>
                <w:spacing w:val="4"/>
              </w:rPr>
            </w:pPr>
            <w:r>
              <w:rPr>
                <w:spacing w:val="4"/>
              </w:rPr>
              <w:t xml:space="preserve">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1" w:type="dxa"/>
            <w:tcBorders/>
            <w:tcMar>
              <w:bottom w:w="0" w:type="dxa"/>
            </w:tcMar>
            <w:vAlign w:val="center"/>
          </w:tcPr>
          <w:p>
            <w:pPr>
              <w:pStyle w:val="TableContents"/>
              <w:bidi w:val="0"/>
              <w:spacing w:before="0" w:after="0"/>
              <w:jc w:val="left"/>
              <w:rPr/>
            </w:pPr>
            <w:hyperlink r:id="rId17">
              <w:r>
                <w:rPr>
                  <w:rStyle w:val="InternetLink"/>
                  <w:spacing w:val="4"/>
                </w:rPr>
                <w:t>Amendment No. 1 to ADS Deposit Agreement</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0"/>
              <w:jc w:val="left"/>
              <w:rPr>
                <w:spacing w:val="4"/>
              </w:rPr>
            </w:pPr>
            <w:r>
              <w:rPr>
                <w:spacing w:val="4"/>
              </w:rPr>
              <w:t xml:space="preserve">F-6 POS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4" w:type="dxa"/>
            <w:tcBorders/>
            <w:tcMar>
              <w:bottom w:w="0" w:type="dxa"/>
            </w:tcMar>
            <w:vAlign w:val="center"/>
          </w:tcPr>
          <w:p>
            <w:pPr>
              <w:pStyle w:val="TableContents"/>
              <w:bidi w:val="0"/>
              <w:spacing w:before="0" w:after="283"/>
              <w:jc w:val="left"/>
              <w:rPr>
                <w:spacing w:val="4"/>
              </w:rPr>
            </w:pPr>
            <w:r>
              <w:rPr>
                <w:spacing w:val="4"/>
              </w:rPr>
              <w:t xml:space="preserve">99(A)(1)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4" w:type="dxa"/>
            <w:tcBorders/>
            <w:tcMar>
              <w:bottom w:w="0" w:type="dxa"/>
            </w:tcMar>
            <w:vAlign w:val="center"/>
          </w:tcPr>
          <w:p>
            <w:pPr>
              <w:pStyle w:val="TableContents"/>
              <w:bidi w:val="0"/>
              <w:spacing w:before="0" w:after="283"/>
              <w:jc w:val="left"/>
              <w:rPr>
                <w:spacing w:val="4"/>
              </w:rPr>
            </w:pPr>
            <w:r>
              <w:rPr>
                <w:spacing w:val="4"/>
              </w:rPr>
              <w:t xml:space="preserve">11/14/25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2" w:type="dxa"/>
            <w:tcBorders/>
            <w:tcMar>
              <w:bottom w:w="0" w:type="dxa"/>
            </w:tcMar>
            <w:vAlign w:val="center"/>
          </w:tcPr>
          <w:p>
            <w:pPr>
              <w:pStyle w:val="TableContents"/>
              <w:bidi w:val="0"/>
              <w:spacing w:before="0" w:after="283"/>
              <w:ind w:left="100" w:right="0" w:hanging="0"/>
              <w:jc w:val="left"/>
              <w:rPr>
                <w:spacing w:val="4"/>
              </w:rPr>
            </w:pPr>
            <w:r>
              <w:rPr>
                <w:spacing w:val="4"/>
              </w:rPr>
              <w:t xml:space="preserve">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1" w:type="dxa"/>
            <w:tcBorders/>
            <w:tcMar>
              <w:bottom w:w="0" w:type="dxa"/>
            </w:tcMar>
            <w:vAlign w:val="center"/>
          </w:tcPr>
          <w:p>
            <w:pPr>
              <w:pStyle w:val="TableContents"/>
              <w:bidi w:val="0"/>
              <w:spacing w:before="0" w:after="0"/>
              <w:jc w:val="left"/>
              <w:rPr/>
            </w:pPr>
            <w:hyperlink r:id="rId18">
              <w:r>
                <w:rPr>
                  <w:rStyle w:val="InternetLink"/>
                  <w:spacing w:val="4"/>
                </w:rPr>
                <w:t>Amendment No. 1 to Class C-1 Deposit Agreement</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0"/>
              <w:jc w:val="left"/>
              <w:rPr>
                <w:spacing w:val="4"/>
              </w:rPr>
            </w:pPr>
            <w:r>
              <w:rPr>
                <w:spacing w:val="4"/>
              </w:rPr>
              <w:t xml:space="preserve">F-6 POS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4" w:type="dxa"/>
            <w:tcBorders/>
            <w:tcMar>
              <w:bottom w:w="0" w:type="dxa"/>
            </w:tcMar>
            <w:vAlign w:val="center"/>
          </w:tcPr>
          <w:p>
            <w:pPr>
              <w:pStyle w:val="TableContents"/>
              <w:bidi w:val="0"/>
              <w:spacing w:before="0" w:after="283"/>
              <w:jc w:val="left"/>
              <w:rPr>
                <w:spacing w:val="4"/>
              </w:rPr>
            </w:pPr>
            <w:r>
              <w:rPr>
                <w:spacing w:val="4"/>
              </w:rPr>
              <w:t xml:space="preserve">99(A)(1)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4" w:type="dxa"/>
            <w:tcBorders/>
            <w:tcMar>
              <w:bottom w:w="0" w:type="dxa"/>
            </w:tcMar>
            <w:vAlign w:val="center"/>
          </w:tcPr>
          <w:p>
            <w:pPr>
              <w:pStyle w:val="TableContents"/>
              <w:bidi w:val="0"/>
              <w:spacing w:before="0" w:after="283"/>
              <w:jc w:val="left"/>
              <w:rPr>
                <w:spacing w:val="4"/>
              </w:rPr>
            </w:pPr>
            <w:r>
              <w:rPr>
                <w:spacing w:val="4"/>
              </w:rPr>
              <w:t xml:space="preserve">11/14/25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2" w:type="dxa"/>
            <w:tcBorders/>
            <w:tcMar>
              <w:bottom w:w="0" w:type="dxa"/>
            </w:tcMar>
            <w:vAlign w:val="center"/>
          </w:tcPr>
          <w:p>
            <w:pPr>
              <w:pStyle w:val="TableContents"/>
              <w:bidi w:val="0"/>
              <w:spacing w:before="0" w:after="283"/>
              <w:ind w:left="100" w:right="0" w:hanging="0"/>
              <w:jc w:val="left"/>
              <w:rPr>
                <w:spacing w:val="4"/>
              </w:rPr>
            </w:pPr>
            <w:r>
              <w:rPr>
                <w:spacing w:val="4"/>
              </w:rPr>
              <w:t xml:space="preserve">2.10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1" w:type="dxa"/>
            <w:tcBorders/>
            <w:tcMar>
              <w:bottom w:w="0" w:type="dxa"/>
            </w:tcMar>
            <w:vAlign w:val="center"/>
          </w:tcPr>
          <w:p>
            <w:pPr>
              <w:pStyle w:val="TableContents"/>
              <w:bidi w:val="0"/>
              <w:spacing w:before="0" w:after="0"/>
              <w:jc w:val="left"/>
              <w:rPr/>
            </w:pPr>
            <w:hyperlink r:id="rId19">
              <w:r>
                <w:rPr>
                  <w:rStyle w:val="InternetLink"/>
                  <w:spacing w:val="4"/>
                </w:rPr>
                <w:t>Amendment No. 1 to Class C-2 Deposit Agreement</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0"/>
              <w:jc w:val="left"/>
              <w:rPr>
                <w:spacing w:val="4"/>
              </w:rPr>
            </w:pPr>
            <w:r>
              <w:rPr>
                <w:spacing w:val="4"/>
              </w:rPr>
              <w:t xml:space="preserve">F-6 POS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4" w:type="dxa"/>
            <w:tcBorders/>
            <w:tcMar>
              <w:bottom w:w="0" w:type="dxa"/>
            </w:tcMar>
            <w:vAlign w:val="center"/>
          </w:tcPr>
          <w:p>
            <w:pPr>
              <w:pStyle w:val="TableContents"/>
              <w:bidi w:val="0"/>
              <w:spacing w:before="0" w:after="283"/>
              <w:jc w:val="left"/>
              <w:rPr>
                <w:spacing w:val="4"/>
              </w:rPr>
            </w:pPr>
            <w:r>
              <w:rPr>
                <w:spacing w:val="4"/>
              </w:rPr>
              <w:t xml:space="preserve">99(A)(1)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4" w:type="dxa"/>
            <w:tcBorders/>
            <w:tcMar>
              <w:bottom w:w="0" w:type="dxa"/>
            </w:tcMar>
            <w:vAlign w:val="center"/>
          </w:tcPr>
          <w:p>
            <w:pPr>
              <w:pStyle w:val="TableContents"/>
              <w:bidi w:val="0"/>
              <w:spacing w:before="0" w:after="283"/>
              <w:jc w:val="left"/>
              <w:rPr>
                <w:spacing w:val="4"/>
              </w:rPr>
            </w:pPr>
            <w:r>
              <w:rPr>
                <w:spacing w:val="4"/>
              </w:rPr>
              <w:t xml:space="preserve">11/14/25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2" w:type="dxa"/>
            <w:tcBorders/>
            <w:tcMar>
              <w:bottom w:w="0" w:type="dxa"/>
            </w:tcMar>
            <w:vAlign w:val="center"/>
          </w:tcPr>
          <w:p>
            <w:pPr>
              <w:pStyle w:val="TableContents"/>
              <w:bidi w:val="0"/>
              <w:spacing w:before="0" w:after="283"/>
              <w:ind w:left="100" w:right="0" w:hanging="0"/>
              <w:jc w:val="left"/>
              <w:rPr>
                <w:spacing w:val="4"/>
              </w:rPr>
            </w:pPr>
            <w:r>
              <w:rPr>
                <w:spacing w:val="4"/>
              </w:rPr>
              <w:t xml:space="preserve">2.11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1" w:type="dxa"/>
            <w:tcBorders/>
            <w:tcMar>
              <w:bottom w:w="0" w:type="dxa"/>
            </w:tcMar>
            <w:vAlign w:val="center"/>
          </w:tcPr>
          <w:p>
            <w:pPr>
              <w:pStyle w:val="TableContents"/>
              <w:bidi w:val="0"/>
              <w:spacing w:before="0" w:after="0"/>
              <w:jc w:val="left"/>
              <w:rPr/>
            </w:pPr>
            <w:r>
              <w:fldChar w:fldCharType="begin"/>
            </w:r>
            <w:r>
              <w:rPr>
                <w:rStyle w:val="InternetLink"/>
                <w:spacing w:val="4"/>
              </w:rPr>
              <w:instrText xml:space="preserve"> HYPERLINK "https://www.sec.gov/Archives/edgar/data/1884082/000119312522066540/d239003df4a.htm" \l "tx239003_506"</w:instrText>
            </w:r>
            <w:r>
              <w:rPr>
                <w:rStyle w:val="InternetLink"/>
                <w:spacing w:val="4"/>
              </w:rPr>
              <w:fldChar w:fldCharType="separate"/>
            </w:r>
            <w:r>
              <w:rPr>
                <w:rStyle w:val="InternetLink"/>
                <w:spacing w:val="4"/>
              </w:rPr>
              <w:t>Form of Subscription Agreement (incorporated by reference to Annex F to the proxy statement/prospectus used in connection with the Business Combination).</w:t>
            </w:r>
            <w:r>
              <w:rPr>
                <w:rStyle w:val="InternetLink"/>
                <w:spacing w:val="4"/>
              </w:rPr>
              <w:fldChar w:fldCharType="end"/>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283"/>
              <w:jc w:val="left"/>
              <w:rPr>
                <w:spacing w:val="4"/>
              </w:rPr>
            </w:pPr>
            <w:r>
              <w:rPr>
                <w:spacing w:val="4"/>
              </w:rPr>
              <w:t xml:space="preserve">F-4/A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4" w:type="dxa"/>
            <w:tcBorders/>
            <w:tcMar>
              <w:bottom w:w="0" w:type="dxa"/>
            </w:tcMar>
            <w:vAlign w:val="center"/>
          </w:tcPr>
          <w:p>
            <w:pPr>
              <w:pStyle w:val="TableContents"/>
              <w:bidi w:val="0"/>
              <w:spacing w:before="0" w:after="283"/>
              <w:jc w:val="left"/>
              <w:rPr>
                <w:spacing w:val="4"/>
              </w:rPr>
            </w:pPr>
            <w:r>
              <w:rPr>
                <w:spacing w:val="4"/>
              </w:rPr>
              <w:t xml:space="preserve">10.1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4" w:type="dxa"/>
            <w:tcBorders/>
            <w:tcMar>
              <w:bottom w:w="0" w:type="dxa"/>
            </w:tcMar>
            <w:vAlign w:val="center"/>
          </w:tcPr>
          <w:p>
            <w:pPr>
              <w:pStyle w:val="TableContents"/>
              <w:bidi w:val="0"/>
              <w:spacing w:before="0" w:after="283"/>
              <w:jc w:val="left"/>
              <w:rPr>
                <w:spacing w:val="4"/>
              </w:rPr>
            </w:pPr>
            <w:r>
              <w:rPr>
                <w:spacing w:val="4"/>
              </w:rPr>
              <w:t xml:space="preserve">5/23/22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2" w:type="dxa"/>
            <w:tcBorders/>
            <w:tcMar>
              <w:bottom w:w="0" w:type="dxa"/>
            </w:tcMar>
            <w:vAlign w:val="center"/>
          </w:tcPr>
          <w:p>
            <w:pPr>
              <w:pStyle w:val="TableContents"/>
              <w:bidi w:val="0"/>
              <w:spacing w:before="0" w:after="283"/>
              <w:ind w:left="100" w:right="0" w:hanging="0"/>
              <w:jc w:val="left"/>
              <w:rPr>
                <w:spacing w:val="4"/>
              </w:rPr>
            </w:pPr>
            <w:r>
              <w:rPr>
                <w:spacing w:val="4"/>
              </w:rPr>
              <w:t xml:space="preserve">2.12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1"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"https://www.sec.gov/Archives/edgar/data/1884082/000119312522066540/d239003df4a.htm" \l "tx239003_507"</w:instrText>
            </w:r>
            <w:r>
              <w:rPr>
                <w:rStyle w:val="InternetLink"/>
              </w:rPr>
              <w:fldChar w:fldCharType="separate"/>
            </w:r>
            <w:r>
              <w:rPr>
                <w:rStyle w:val="InternetLink"/>
              </w:rPr>
              <w:t>Registration Rights Agreement, dated as of September 27, 2021, by and among Polestar Automotive Holding UK Limited, Gores Guggenheim Sponsor LLC, Randall Bort, Elizabeth Marcellino and Nancy Tellem, Polestar Automotive Holding Limited and certain of its shareholders (incorporated by reference to Annex G-1 to the proxy statement/prospectus used in connection with the Business Combination).</w:t>
            </w:r>
            <w:r>
              <w:rPr>
                <w:rStyle w:val="InternetLink"/>
              </w:rPr>
              <w:fldChar w:fldCharType="end"/>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283"/>
              <w:jc w:val="left"/>
              <w:rPr>
                <w:spacing w:val="4"/>
              </w:rPr>
            </w:pPr>
            <w:r>
              <w:rPr>
                <w:spacing w:val="4"/>
              </w:rPr>
              <w:t xml:space="preserve">F-4/A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4" w:type="dxa"/>
            <w:tcBorders/>
            <w:tcMar>
              <w:bottom w:w="0" w:type="dxa"/>
            </w:tcMar>
            <w:vAlign w:val="center"/>
          </w:tcPr>
          <w:p>
            <w:pPr>
              <w:pStyle w:val="TableContents"/>
              <w:bidi w:val="0"/>
              <w:spacing w:before="0" w:after="283"/>
              <w:jc w:val="left"/>
              <w:rPr>
                <w:spacing w:val="4"/>
              </w:rPr>
            </w:pPr>
            <w:r>
              <w:rPr>
                <w:spacing w:val="4"/>
              </w:rPr>
              <w:t xml:space="preserve">10.4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4" w:type="dxa"/>
            <w:tcBorders/>
            <w:tcMar>
              <w:bottom w:w="0" w:type="dxa"/>
            </w:tcMar>
            <w:vAlign w:val="center"/>
          </w:tcPr>
          <w:p>
            <w:pPr>
              <w:pStyle w:val="TableContents"/>
              <w:bidi w:val="0"/>
              <w:spacing w:before="0" w:after="283"/>
              <w:jc w:val="left"/>
              <w:rPr>
                <w:spacing w:val="4"/>
              </w:rPr>
            </w:pPr>
            <w:r>
              <w:rPr>
                <w:spacing w:val="4"/>
              </w:rPr>
              <w:t xml:space="preserve">5/23/22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2"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1" w:type="dxa"/>
            <w:tcBorders/>
            <w:tcMar>
              <w:bottom w:w="0" w:type="dxa"/>
            </w:tcMar>
            <w:vAlign w:val="center"/>
          </w:tcPr>
          <w:p>
            <w:pPr>
              <w:pStyle w:val="TableContents"/>
              <w:bidi w:val="0"/>
              <w:spacing w:before="0" w:after="0"/>
              <w:jc w:val="left"/>
              <w:rPr/>
            </w:pPr>
            <w:hyperlink r:id="rId20">
              <w:r>
                <w:rPr>
                  <w:rStyle w:val="InternetLink"/>
                  <w:spacing w:val="4"/>
                </w:rPr>
                <w:t>Articles of Association</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283"/>
              <w:jc w:val="left"/>
              <w:rPr>
                <w:spacing w:val="4"/>
              </w:rPr>
            </w:pPr>
            <w:r>
              <w:rPr>
                <w:spacing w:val="4"/>
              </w:rPr>
              <w:t xml:space="preserve">20-F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4" w:type="dxa"/>
            <w:tcBorders/>
            <w:tcMar>
              <w:bottom w:w="0" w:type="dxa"/>
            </w:tcMar>
            <w:vAlign w:val="center"/>
          </w:tcPr>
          <w:p>
            <w:pPr>
              <w:pStyle w:val="TableContents"/>
              <w:bidi w:val="0"/>
              <w:spacing w:before="0" w:after="283"/>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4" w:type="dxa"/>
            <w:tcBorders/>
            <w:tcMar>
              <w:bottom w:w="0" w:type="dxa"/>
            </w:tcMar>
            <w:vAlign w:val="center"/>
          </w:tcPr>
          <w:p>
            <w:pPr>
              <w:pStyle w:val="TableContents"/>
              <w:bidi w:val="0"/>
              <w:spacing w:before="0" w:after="283"/>
              <w:jc w:val="left"/>
              <w:rPr>
                <w:spacing w:val="4"/>
              </w:rPr>
            </w:pPr>
            <w:r>
              <w:rPr>
                <w:spacing w:val="4"/>
              </w:rPr>
              <w:t xml:space="preserve">4/17/26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2"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1" w:type="dxa"/>
            <w:tcBorders/>
            <w:tcMar>
              <w:bottom w:w="0" w:type="dxa"/>
            </w:tcMar>
            <w:vAlign w:val="center"/>
          </w:tcPr>
          <w:p>
            <w:pPr>
              <w:pStyle w:val="TableContents"/>
              <w:bidi w:val="0"/>
              <w:spacing w:before="0" w:after="283"/>
              <w:jc w:val="left"/>
              <w:rPr/>
            </w:pPr>
            <w:hyperlink r:id="rId21">
              <w:r>
                <w:rPr>
                  <w:rStyle w:val="InternetLink"/>
                </w:rPr>
                <w:t>ADS Deposit Agreement — Clas</w:t>
              </w:r>
            </w:hyperlink>
            <w:hyperlink r:id="rId22">
              <w:r>
                <w:rPr>
                  <w:rStyle w:val="InternetLink"/>
                  <w:i/>
                </w:rPr>
                <w:t>s</w:t>
              </w:r>
            </w:hyperlink>
            <w:hyperlink r:id="rId23">
              <w:r>
                <w:rPr>
                  <w:rStyle w:val="InternetLink"/>
                </w:rPr>
                <w:t xml:space="preserve"> A ADSs</w:t>
              </w:r>
            </w:hyperlink>
            <w:r>
              <w:rPr>
                <w:spacing w:val="4"/>
              </w:rPr>
              <w:t xml:space="preserve"> and </w:t>
            </w:r>
            <w:hyperlink r:id="rId24">
              <w:r>
                <w:rPr>
                  <w:rStyle w:val="InternetLink"/>
                </w:rPr>
                <w:t>Form of Clas</w:t>
              </w:r>
            </w:hyperlink>
            <w:hyperlink r:id="rId25">
              <w:r>
                <w:rPr>
                  <w:rStyle w:val="InternetLink"/>
                  <w:i/>
                </w:rPr>
                <w:t>s</w:t>
              </w:r>
            </w:hyperlink>
            <w:hyperlink r:id="rId26">
              <w:r>
                <w:rPr>
                  <w:rStyle w:val="InternetLink"/>
                </w:rPr>
                <w:t xml:space="preserve"> A American Depositary Receipt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283"/>
              <w:jc w:val="left"/>
              <w:rPr>
                <w:spacing w:val="4"/>
              </w:rPr>
            </w:pPr>
            <w:r>
              <w:rPr>
                <w:spacing w:val="4"/>
              </w:rPr>
              <w:t xml:space="preserve">20-F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4" w:type="dxa"/>
            <w:tcBorders/>
            <w:tcMar>
              <w:bottom w:w="0" w:type="dxa"/>
            </w:tcMar>
            <w:vAlign w:val="center"/>
          </w:tcPr>
          <w:p>
            <w:pPr>
              <w:pStyle w:val="TableContents"/>
              <w:bidi w:val="0"/>
              <w:spacing w:before="0" w:after="0"/>
              <w:jc w:val="left"/>
              <w:rPr>
                <w:spacing w:val="4"/>
              </w:rPr>
            </w:pPr>
            <w:r>
              <w:rPr>
                <w:spacing w:val="4"/>
              </w:rPr>
              <w:t xml:space="preserve">2.1 and 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4" w:type="dxa"/>
            <w:tcBorders/>
            <w:tcMar>
              <w:bottom w:w="0" w:type="dxa"/>
            </w:tcMar>
            <w:vAlign w:val="center"/>
          </w:tcPr>
          <w:p>
            <w:pPr>
              <w:pStyle w:val="TableContents"/>
              <w:bidi w:val="0"/>
              <w:spacing w:before="0" w:after="283"/>
              <w:jc w:val="left"/>
              <w:rPr>
                <w:spacing w:val="4"/>
              </w:rPr>
            </w:pPr>
            <w:r>
              <w:rPr>
                <w:spacing w:val="4"/>
              </w:rPr>
              <w:t xml:space="preserve">4/21/23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2"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1" w:type="dxa"/>
            <w:tcBorders/>
            <w:tcMar>
              <w:bottom w:w="0" w:type="dxa"/>
            </w:tcMar>
            <w:vAlign w:val="center"/>
          </w:tcPr>
          <w:p>
            <w:pPr>
              <w:pStyle w:val="TableContents"/>
              <w:bidi w:val="0"/>
              <w:spacing w:before="0" w:after="0"/>
              <w:jc w:val="left"/>
              <w:rPr/>
            </w:pPr>
            <w:hyperlink r:id="rId27">
              <w:r>
                <w:rPr>
                  <w:rStyle w:val="InternetLink"/>
                  <w:spacing w:val="4"/>
                </w:rPr>
                <w:t>Description of Securities</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283"/>
              <w:jc w:val="left"/>
              <w:rPr>
                <w:spacing w:val="4"/>
              </w:rPr>
            </w:pPr>
            <w:r>
              <w:rPr>
                <w:spacing w:val="4"/>
              </w:rPr>
              <w:t xml:space="preserve">20-F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4" w:type="dxa"/>
            <w:tcBorders/>
            <w:tcMar>
              <w:bottom w:w="0" w:type="dxa"/>
            </w:tcMar>
            <w:vAlign w:val="center"/>
          </w:tcPr>
          <w:p>
            <w:pPr>
              <w:pStyle w:val="TableContents"/>
              <w:bidi w:val="0"/>
              <w:spacing w:before="0" w:after="283"/>
              <w:jc w:val="left"/>
              <w:rPr>
                <w:spacing w:val="4"/>
              </w:rPr>
            </w:pPr>
            <w:r>
              <w:rPr>
                <w:spacing w:val="4"/>
              </w:rPr>
              <w:t xml:space="preserve">2.14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4" w:type="dxa"/>
            <w:tcBorders/>
            <w:tcMar>
              <w:bottom w:w="0" w:type="dxa"/>
            </w:tcMar>
            <w:vAlign w:val="center"/>
          </w:tcPr>
          <w:p>
            <w:pPr>
              <w:pStyle w:val="TableContents"/>
              <w:bidi w:val="0"/>
              <w:spacing w:before="0" w:after="283"/>
              <w:jc w:val="left"/>
              <w:rPr>
                <w:spacing w:val="4"/>
              </w:rPr>
            </w:pPr>
            <w:r>
              <w:rPr>
                <w:spacing w:val="4"/>
              </w:rPr>
              <w:t xml:space="preserve">4/17/26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42"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71" w:type="dxa"/>
            <w:tcBorders/>
            <w:tcMar>
              <w:bottom w:w="0" w:type="dxa"/>
            </w:tcMar>
            <w:vAlign w:val="center"/>
          </w:tcPr>
          <w:p>
            <w:pPr>
              <w:pStyle w:val="TableContents"/>
              <w:bidi w:val="0"/>
              <w:spacing w:before="0" w:after="0"/>
              <w:jc w:val="left"/>
              <w:rPr/>
            </w:pPr>
            <w:hyperlink w:anchor="tm2626167d2_ex5-1.htm">
              <w:r>
                <w:rPr>
                  <w:rStyle w:val="InternetLink"/>
                  <w:spacing w:val="4"/>
                </w:rPr>
                <w:t>Opinion of Alston &amp; Bird (City), LLP</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4"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850"/>
        <w:gridCol w:w="109"/>
        <w:gridCol w:w="109"/>
        <w:gridCol w:w="4333"/>
        <w:gridCol w:w="109"/>
        <w:gridCol w:w="109"/>
        <w:gridCol w:w="967"/>
        <w:gridCol w:w="109"/>
        <w:gridCol w:w="109"/>
        <w:gridCol w:w="790"/>
        <w:gridCol w:w="109"/>
        <w:gridCol w:w="109"/>
        <w:gridCol w:w="721"/>
        <w:gridCol w:w="155"/>
      </w:tblGrid>
      <w:tr>
        <w:trPr/>
        <w:tc>
          <w:tcPr>
            <w:tcW w:w="124" w:type="dxa"/>
            <w:vMerge w:val="restart"/>
            <w:tcBorders>
              <w:bottom w:val="single" w:sz="2" w:space="0" w:color="FFFFFF"/>
            </w:tcBorders>
            <w:vAlign w:val="center"/>
          </w:tcPr>
          <w:p>
            <w:pPr>
              <w:pStyle w:val="TableContents"/>
              <w:bidi w:val="0"/>
              <w:spacing w:before="0" w:after="283"/>
              <w:jc w:val="left"/>
              <w:rPr/>
            </w:pPr>
            <w:r>
              <w:rPr/>
              <w:t>​</w:t>
            </w:r>
          </w:p>
        </w:tc>
        <w:tc>
          <w:tcPr>
            <w:tcW w:w="850" w:type="dxa"/>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Exhibit </w:t>
            </w:r>
            <w:r>
              <w:rPr/>
              <w:t xml:space="preserve"> </w:t>
              <w:br/>
            </w:r>
            <w:r>
              <w:rPr>
                <w:spacing w:val="-3"/>
              </w:rPr>
              <w:t xml:space="preserve">No.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4333" w:type="dxa"/>
            <w:vMerge w:val="restart"/>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Description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14" w:type="dxa"/>
            <w:gridSpan w:val="7"/>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Incorporated by Reference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vMerge w:val="continue"/>
            <w:tcBorders>
              <w:bottom w:val="single" w:sz="2" w:space="0" w:color="FFFFFF"/>
            </w:tcBorders>
            <w:vAlign w:val="center"/>
          </w:tcPr>
          <w:p>
            <w:pPr>
              <w:pStyle w:val="Normal"/>
              <w:bidi w:val="0"/>
              <w:jc w:val="left"/>
              <w:rPr/>
            </w:pPr>
            <w:r>
              <w:rPr/>
            </w:r>
          </w:p>
        </w:tc>
        <w:tc>
          <w:tcPr>
            <w:tcW w:w="850" w:type="dxa"/>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4333" w:type="dxa"/>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967"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Schedule </w:t>
            </w:r>
            <w:r>
              <w:rPr/>
              <w:br/>
            </w:r>
            <w:r>
              <w:rPr>
                <w:spacing w:val="-3"/>
              </w:rPr>
              <w:t xml:space="preserve">Form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0"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1"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Filing </w:t>
            </w:r>
            <w:r>
              <w:rPr/>
              <w:br/>
            </w: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0" w:type="dxa"/>
            <w:tcBorders/>
            <w:tcMar>
              <w:bottom w:w="0" w:type="dxa"/>
            </w:tcMar>
            <w:vAlign w:val="center"/>
          </w:tcPr>
          <w:p>
            <w:pPr>
              <w:pStyle w:val="TableContents"/>
              <w:bidi w:val="0"/>
              <w:spacing w:before="0" w:after="283"/>
              <w:jc w:val="left"/>
              <w:rPr>
                <w:spacing w:val="4"/>
              </w:rPr>
            </w:pPr>
            <w:r>
              <w:rPr>
                <w:spacing w:val="4"/>
              </w:rPr>
              <w:t xml:space="preserve">10.1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33" w:type="dxa"/>
            <w:tcBorders/>
            <w:tcMar>
              <w:bottom w:w="0" w:type="dxa"/>
            </w:tcMar>
            <w:vAlign w:val="center"/>
          </w:tcPr>
          <w:p>
            <w:pPr>
              <w:pStyle w:val="TableContents"/>
              <w:bidi w:val="0"/>
              <w:spacing w:before="0" w:after="0"/>
              <w:jc w:val="left"/>
              <w:rPr/>
            </w:pPr>
            <w:hyperlink r:id="rId28">
              <w:r>
                <w:rPr>
                  <w:rStyle w:val="InternetLink"/>
                  <w:spacing w:val="4"/>
                </w:rPr>
                <w:t>Registration Rights Agreement, dated July 23, 2025, by and between Polestar Automotive Holding UK PLC and PSD Investment Limited.</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7" w:type="dxa"/>
            <w:tcBorders/>
            <w:tcMar>
              <w:bottom w:w="0" w:type="dxa"/>
            </w:tcMar>
            <w:vAlign w:val="center"/>
          </w:tcPr>
          <w:p>
            <w:pPr>
              <w:pStyle w:val="TableContents"/>
              <w:bidi w:val="0"/>
              <w:spacing w:before="0" w:after="283"/>
              <w:jc w:val="left"/>
              <w:rPr>
                <w:spacing w:val="4"/>
              </w:rPr>
            </w:pPr>
            <w:r>
              <w:rPr>
                <w:spacing w:val="4"/>
              </w:rPr>
              <w:t xml:space="preserve">6-K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jc w:val="left"/>
              <w:rPr>
                <w:spacing w:val="4"/>
              </w:rPr>
            </w:pPr>
            <w:r>
              <w:rPr>
                <w:spacing w:val="4"/>
              </w:rPr>
              <w:t xml:space="preserve">10.1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 w:type="dxa"/>
            <w:tcBorders/>
            <w:tcMar>
              <w:bottom w:w="0" w:type="dxa"/>
            </w:tcMar>
            <w:vAlign w:val="center"/>
          </w:tcPr>
          <w:p>
            <w:pPr>
              <w:pStyle w:val="TableContents"/>
              <w:bidi w:val="0"/>
              <w:spacing w:before="0" w:after="283"/>
              <w:jc w:val="left"/>
              <w:rPr>
                <w:spacing w:val="4"/>
              </w:rPr>
            </w:pPr>
            <w:r>
              <w:rPr>
                <w:spacing w:val="4"/>
              </w:rPr>
              <w:t xml:space="preserve">7/23/25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0" w:type="dxa"/>
            <w:tcBorders/>
            <w:tcMar>
              <w:bottom w:w="0" w:type="dxa"/>
            </w:tcMar>
            <w:vAlign w:val="center"/>
          </w:tcPr>
          <w:p>
            <w:pPr>
              <w:pStyle w:val="TableContents"/>
              <w:bidi w:val="0"/>
              <w:spacing w:before="0" w:after="283"/>
              <w:jc w:val="left"/>
              <w:rPr>
                <w:spacing w:val="4"/>
              </w:rPr>
            </w:pPr>
            <w:r>
              <w:rPr>
                <w:spacing w:val="4"/>
              </w:rPr>
              <w:t xml:space="preserve">10.2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33" w:type="dxa"/>
            <w:tcBorders/>
            <w:tcMar>
              <w:bottom w:w="0" w:type="dxa"/>
            </w:tcMar>
            <w:vAlign w:val="center"/>
          </w:tcPr>
          <w:p>
            <w:pPr>
              <w:pStyle w:val="TableContents"/>
              <w:bidi w:val="0"/>
              <w:spacing w:before="0" w:after="0"/>
              <w:jc w:val="left"/>
              <w:rPr/>
            </w:pPr>
            <w:hyperlink r:id="rId29">
              <w:r>
                <w:rPr>
                  <w:rStyle w:val="InternetLink"/>
                  <w:spacing w:val="4"/>
                </w:rPr>
                <w:t>Conversion Agreement, dated December 19, 2025, between Polestar Automotive Holding UK PLC and Geely Sweden Automotive Investment AB</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7" w:type="dxa"/>
            <w:tcBorders/>
            <w:tcMar>
              <w:bottom w:w="0" w:type="dxa"/>
            </w:tcMar>
            <w:vAlign w:val="center"/>
          </w:tcPr>
          <w:p>
            <w:pPr>
              <w:pStyle w:val="TableContents"/>
              <w:bidi w:val="0"/>
              <w:spacing w:before="0" w:after="283"/>
              <w:jc w:val="left"/>
              <w:rPr>
                <w:spacing w:val="4"/>
              </w:rPr>
            </w:pPr>
            <w:r>
              <w:rPr>
                <w:spacing w:val="4"/>
              </w:rPr>
              <w:t xml:space="preserve">6-K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jc w:val="left"/>
              <w:rPr>
                <w:spacing w:val="4"/>
              </w:rPr>
            </w:pPr>
            <w:r>
              <w:rPr>
                <w:spacing w:val="4"/>
              </w:rPr>
              <w:t xml:space="preserve">99.3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 w:type="dxa"/>
            <w:tcBorders/>
            <w:tcMar>
              <w:bottom w:w="0" w:type="dxa"/>
            </w:tcMar>
            <w:vAlign w:val="center"/>
          </w:tcPr>
          <w:p>
            <w:pPr>
              <w:pStyle w:val="TableContents"/>
              <w:bidi w:val="0"/>
              <w:spacing w:before="0" w:after="0"/>
              <w:jc w:val="both"/>
              <w:rPr>
                <w:spacing w:val="4"/>
              </w:rPr>
            </w:pPr>
            <w:r>
              <w:rPr>
                <w:spacing w:val="4"/>
              </w:rPr>
              <w:t xml:space="preserve">12/19/25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0" w:type="dxa"/>
            <w:tcBorders/>
            <w:tcMar>
              <w:bottom w:w="0" w:type="dxa"/>
            </w:tcMar>
            <w:vAlign w:val="center"/>
          </w:tcPr>
          <w:p>
            <w:pPr>
              <w:pStyle w:val="TableContents"/>
              <w:bidi w:val="0"/>
              <w:spacing w:before="0" w:after="283"/>
              <w:jc w:val="left"/>
              <w:rPr>
                <w:spacing w:val="4"/>
              </w:rPr>
            </w:pPr>
            <w:r>
              <w:rPr>
                <w:spacing w:val="4"/>
              </w:rPr>
              <w:t xml:space="preserve">10.3†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33" w:type="dxa"/>
            <w:tcBorders/>
            <w:tcMar>
              <w:bottom w:w="0" w:type="dxa"/>
            </w:tcMar>
            <w:vAlign w:val="center"/>
          </w:tcPr>
          <w:p>
            <w:pPr>
              <w:pStyle w:val="TableContents"/>
              <w:bidi w:val="0"/>
              <w:spacing w:before="0" w:after="0"/>
              <w:jc w:val="left"/>
              <w:rPr/>
            </w:pPr>
            <w:hyperlink r:id="rId30">
              <w:r>
                <w:rPr>
                  <w:rStyle w:val="InternetLink"/>
                  <w:spacing w:val="4"/>
                </w:rPr>
                <w:t>Conversion Agreement, dated March 31, 2026, between Snita Holding B.V. and Polestar Automotive Holding UK PLC</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7" w:type="dxa"/>
            <w:tcBorders/>
            <w:tcMar>
              <w:bottom w:w="0" w:type="dxa"/>
            </w:tcMar>
            <w:vAlign w:val="center"/>
          </w:tcPr>
          <w:p>
            <w:pPr>
              <w:pStyle w:val="TableContents"/>
              <w:bidi w:val="0"/>
              <w:spacing w:before="0" w:after="283"/>
              <w:jc w:val="left"/>
              <w:rPr>
                <w:spacing w:val="4"/>
              </w:rPr>
            </w:pPr>
            <w:r>
              <w:rPr>
                <w:spacing w:val="4"/>
              </w:rPr>
              <w:t xml:space="preserve">20-F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jc w:val="left"/>
              <w:rPr>
                <w:spacing w:val="4"/>
              </w:rPr>
            </w:pPr>
            <w:r>
              <w:rPr>
                <w:spacing w:val="4"/>
              </w:rPr>
              <w:t xml:space="preserve">4.149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 w:type="dxa"/>
            <w:tcBorders/>
            <w:tcMar>
              <w:bottom w:w="0" w:type="dxa"/>
            </w:tcMar>
            <w:vAlign w:val="center"/>
          </w:tcPr>
          <w:p>
            <w:pPr>
              <w:pStyle w:val="TableContents"/>
              <w:bidi w:val="0"/>
              <w:spacing w:before="0" w:after="283"/>
              <w:jc w:val="left"/>
              <w:rPr>
                <w:spacing w:val="4"/>
              </w:rPr>
            </w:pPr>
            <w:r>
              <w:rPr>
                <w:spacing w:val="4"/>
              </w:rPr>
              <w:t xml:space="preserve">4/17/26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0" w:type="dxa"/>
            <w:tcBorders/>
            <w:tcMar>
              <w:bottom w:w="0" w:type="dxa"/>
            </w:tcMar>
            <w:vAlign w:val="center"/>
          </w:tcPr>
          <w:p>
            <w:pPr>
              <w:pStyle w:val="TableContents"/>
              <w:bidi w:val="0"/>
              <w:spacing w:before="0" w:after="283"/>
              <w:jc w:val="left"/>
              <w:rPr>
                <w:spacing w:val="4"/>
              </w:rPr>
            </w:pPr>
            <w:r>
              <w:rPr>
                <w:spacing w:val="4"/>
              </w:rPr>
              <w:t xml:space="preserve">10.4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33" w:type="dxa"/>
            <w:tcBorders/>
            <w:tcMar>
              <w:bottom w:w="0" w:type="dxa"/>
            </w:tcMar>
            <w:vAlign w:val="center"/>
          </w:tcPr>
          <w:p>
            <w:pPr>
              <w:pStyle w:val="TableContents"/>
              <w:bidi w:val="0"/>
              <w:spacing w:before="0" w:after="0"/>
              <w:jc w:val="left"/>
              <w:rPr/>
            </w:pPr>
            <w:hyperlink r:id="rId31">
              <w:r>
                <w:rPr>
                  <w:rStyle w:val="InternetLink"/>
                  <w:spacing w:val="4"/>
                </w:rPr>
                <w:t>Registration Rights Agreement, dated June 30, 2026, by and between Polestar Automotive Holding UK PLC and Geely Sweden Automotive Investment B.V.</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7" w:type="dxa"/>
            <w:tcBorders/>
            <w:tcMar>
              <w:bottom w:w="0" w:type="dxa"/>
            </w:tcMar>
            <w:vAlign w:val="center"/>
          </w:tcPr>
          <w:p>
            <w:pPr>
              <w:pStyle w:val="TableContents"/>
              <w:bidi w:val="0"/>
              <w:spacing w:before="0" w:after="283"/>
              <w:jc w:val="left"/>
              <w:rPr>
                <w:spacing w:val="4"/>
              </w:rPr>
            </w:pPr>
            <w:r>
              <w:rPr>
                <w:spacing w:val="4"/>
              </w:rPr>
              <w:t xml:space="preserve">13D/A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jc w:val="left"/>
              <w:rPr>
                <w:spacing w:val="4"/>
              </w:rPr>
            </w:pPr>
            <w:r>
              <w:rPr>
                <w:spacing w:val="4"/>
              </w:rPr>
              <w:t xml:space="preserve">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 w:type="dxa"/>
            <w:tcBorders/>
            <w:tcMar>
              <w:bottom w:w="0" w:type="dxa"/>
            </w:tcMar>
            <w:vAlign w:val="center"/>
          </w:tcPr>
          <w:p>
            <w:pPr>
              <w:pStyle w:val="TableContents"/>
              <w:bidi w:val="0"/>
              <w:spacing w:before="0" w:after="0"/>
              <w:jc w:val="both"/>
              <w:rPr>
                <w:spacing w:val="4"/>
              </w:rPr>
            </w:pPr>
            <w:r>
              <w:rPr>
                <w:spacing w:val="4"/>
              </w:rPr>
              <w:t xml:space="preserve">07/02/26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0"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33" w:type="dxa"/>
            <w:tcBorders/>
            <w:tcMar>
              <w:bottom w:w="0" w:type="dxa"/>
            </w:tcMar>
            <w:vAlign w:val="center"/>
          </w:tcPr>
          <w:p>
            <w:pPr>
              <w:pStyle w:val="TableContents"/>
              <w:bidi w:val="0"/>
              <w:spacing w:before="0" w:after="0"/>
              <w:jc w:val="left"/>
              <w:rPr/>
            </w:pPr>
            <w:hyperlink w:anchor="tm2626167d2_ex23-1.htm">
              <w:r>
                <w:rPr>
                  <w:rStyle w:val="InternetLink"/>
                  <w:spacing w:val="4"/>
                </w:rPr>
                <w:t>Consent of Deloitte AB.</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0"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33" w:type="dxa"/>
            <w:tcBorders/>
            <w:tcMar>
              <w:bottom w:w="0" w:type="dxa"/>
            </w:tcMar>
            <w:vAlign w:val="center"/>
          </w:tcPr>
          <w:p>
            <w:pPr>
              <w:pStyle w:val="TableContents"/>
              <w:bidi w:val="0"/>
              <w:spacing w:before="0" w:after="0"/>
              <w:jc w:val="left"/>
              <w:rPr/>
            </w:pPr>
            <w:hyperlink w:anchor="tm2626167d2_ex5-1.htm">
              <w:r>
                <w:rPr>
                  <w:rStyle w:val="InternetLink"/>
                  <w:spacing w:val="4"/>
                </w:rPr>
                <w:t>Consent of Alston &amp; Bird (City), LLP (included in Exhibit 5.1).</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0"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33" w:type="dxa"/>
            <w:tcBorders/>
            <w:tcMar>
              <w:bottom w:w="0" w:type="dxa"/>
            </w:tcMar>
            <w:vAlign w:val="center"/>
          </w:tcPr>
          <w:p>
            <w:pPr>
              <w:pStyle w:val="TableContents"/>
              <w:bidi w:val="0"/>
              <w:spacing w:before="0" w:after="0"/>
              <w:jc w:val="left"/>
              <w:rPr/>
            </w:pPr>
            <w:hyperlink w:anchor="tPOA">
              <w:r>
                <w:rPr>
                  <w:rStyle w:val="InternetLink"/>
                  <w:spacing w:val="4"/>
                </w:rPr>
                <w:t>Powers of Attorney (included on signature page).</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50" w:type="dxa"/>
            <w:tcBorders/>
            <w:tcMar>
              <w:bottom w:w="0" w:type="dxa"/>
            </w:tcMar>
            <w:vAlign w:val="center"/>
          </w:tcPr>
          <w:p>
            <w:pPr>
              <w:pStyle w:val="TableContents"/>
              <w:bidi w:val="0"/>
              <w:spacing w:before="0" w:after="0"/>
              <w:jc w:val="center"/>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33" w:type="dxa"/>
            <w:tcBorders/>
            <w:tcMar>
              <w:bottom w:w="0" w:type="dxa"/>
            </w:tcMar>
            <w:vAlign w:val="center"/>
          </w:tcPr>
          <w:p>
            <w:pPr>
              <w:pStyle w:val="TableContents"/>
              <w:bidi w:val="0"/>
              <w:spacing w:before="0" w:after="0"/>
              <w:jc w:val="left"/>
              <w:rPr/>
            </w:pPr>
            <w:hyperlink w:anchor="tm2626167d1_ex-filingfees.htm">
              <w:r>
                <w:rPr>
                  <w:rStyle w:val="InternetLink"/>
                  <w:spacing w:val="4"/>
                </w:rPr>
                <w:t>Filing Fee Table</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herewith. </w:t>
      </w:r>
      <w:r>
        <mc:AlternateContent>
          <mc:Choice Requires="wps">
            <w:drawing>
              <wp:anchor behindDoc="0" distT="152400" distB="0" distL="0" distR="0" simplePos="0" locked="0" layoutInCell="1" allowOverlap="1" relativeHeight="256">
                <wp:simplePos x="0" y="0"/>
                <wp:positionH relativeFrom="column">
                  <wp:align>left</wp:align>
                </wp:positionH>
                <wp:positionV relativeFrom="line">
                  <wp:align>top</wp:align>
                </wp:positionV>
                <wp:extent cx="254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b/>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before="0" w:after="283"/>
                        <w:jc w:val="left"/>
                        <w:rPr/>
                      </w:pPr>
                      <w:r>
                        <w:rPr>
                          <w:b/>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schedules and similar attachments to the exhibit have been omitted in accordance with Regulation S-K Item 601(a)(5). </w:t>
      </w:r>
      <w:r>
        <mc:AlternateContent>
          <mc:Choice Requires="wps">
            <w:drawing>
              <wp:anchor behindDoc="0" distT="101600" distB="0" distL="0" distR="0" simplePos="0" locked="0" layoutInCell="1" allowOverlap="1" relativeHeight="257">
                <wp:simplePos x="0" y="0"/>
                <wp:positionH relativeFrom="column">
                  <wp:align>left</wp:align>
                </wp:positionH>
                <wp:positionV relativeFrom="line">
                  <wp:align>top</wp:align>
                </wp:positionV>
                <wp:extent cx="254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confidential information (indicated by brackets and asterisks) has been omitted from this exhibit because it is both (i) not material and (ii) the type of information that the registrant treats as private or confidential. </w:t>
      </w:r>
      <w:r>
        <mc:AlternateContent>
          <mc:Choice Requires="wps">
            <w:drawing>
              <wp:anchor behindDoc="0" distT="101600" distB="0" distL="0" distR="0" simplePos="0" locked="0" layoutInCell="1" allowOverlap="1" relativeHeight="258">
                <wp:simplePos x="0" y="0"/>
                <wp:positionH relativeFrom="column">
                  <wp:align>left</wp:align>
                </wp:positionH>
                <wp:positionV relativeFrom="line">
                  <wp:align>top</wp:align>
                </wp:positionV>
                <wp:extent cx="254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Form 8-K was originally filed by Gores Guggenheim, Inc., which became a subsidiary of Polestar in connection with the Business Combination.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59">
                <wp:simplePos x="0" y="0"/>
                <wp:positionH relativeFrom="column">
                  <wp:align>left</wp:align>
                </wp:positionH>
                <wp:positionV relativeFrom="line">
                  <wp:align>top</wp:align>
                </wp:positionV>
                <wp:extent cx="254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POA"/>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the City of Gothenburg, Sweden, on September 28, 2026. </w:t>
      </w:r>
    </w:p>
    <w:p>
      <w:pPr>
        <w:pStyle w:val="TextBody"/>
        <w:bidi w:val="0"/>
        <w:spacing w:lineRule="atLeast" w:line="240" w:before="480" w:after="283"/>
        <w:ind w:left="1393" w:right="0" w:firstLine="4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POLESTAR AUTOMOTIVE HOLDING UK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4"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Michael Lohscheller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8440" distB="0" distL="2794000" distR="0" simplePos="0" locked="0" layoutInCell="1" allowOverlap="1" relativeHeight="260">
                <wp:simplePos x="0" y="0"/>
                <wp:positionH relativeFrom="column">
                  <wp:align>left</wp:align>
                </wp:positionH>
                <wp:positionV relativeFrom="line">
                  <wp:align>top</wp:align>
                </wp:positionV>
                <wp:extent cx="254000" cy="525780"/>
                <wp:effectExtent l="0" t="0" r="0" b="0"/>
                <wp:wrapSquare wrapText="right"/>
                <wp:docPr id="258" name="Frame25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2pt;mso-wrap-distance-bottom:0pt;margin-top:17.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4"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Name: Michael Lohscheller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Chief Executive Officer </w:t>
      </w:r>
    </w:p>
    <w:p>
      <w:pPr>
        <w:pStyle w:val="TextBody"/>
        <w:bidi w:val="0"/>
        <w:spacing w:lineRule="atLeast" w:line="240" w:before="164"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Jean-Francois Mady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4140" distB="0" distL="2794000" distR="0" simplePos="0" locked="0" layoutInCell="1" allowOverlap="1" relativeHeight="261">
                <wp:simplePos x="0" y="0"/>
                <wp:positionH relativeFrom="column">
                  <wp:align>left</wp:align>
                </wp:positionH>
                <wp:positionV relativeFrom="line">
                  <wp:align>top</wp:align>
                </wp:positionV>
                <wp:extent cx="254000" cy="525780"/>
                <wp:effectExtent l="0" t="0" r="0" b="0"/>
                <wp:wrapSquare wrapText="right"/>
                <wp:docPr id="259" name="Frame25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2pt;mso-wrap-distance-bottom:0pt;margin-top:8.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2"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Name: Jean-Francois Mady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Chief Financial Officer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ALL PERSONS BY THESE PRESENTS, that each person whose signature appears below severally constitutes and appoints each of Michael Lohscheller or Jean-Francois Mady (with full power to each of them to act alone), his or her true and lawful attorney-in-fact and agents, with full power of substitution and re-substitution, for him or her and in his or her name, place and stead, in any and all capacities to do any and all things and execute any and all instruments that such attorney may deem necessary or advisable under the Securities Act, and any rules, regulations and requirements of the SEC in connection with the registration under the Securities Act of the securities and any blue sky laws or other securities laws of any of the states of the United States of America in order to effect the registration or qualification (or exemption therefrom) of the said securities for issue, offer, sale or trade under the blue sky laws or other securities laws of any of such states and in connection therewith to execute, acknowledge, verify, deliver, file and cause to be published applications, reports, consents to service of process, appointments of attorneys to receive service of process and other papers and instruments which may be required under such laws, including specifically, but without limiting the generality of the foregoing, the power and authority to sign his or her name in his or her capacity as an attorney-in-fact or in any other capacity with respect to this Registration Statement and any registration statement in respect of the securities that is to be effective upon filing pursuant to Rule 462(b) and/or such other form or forms as may be appropriate to be filed with the SEC or under or in connection with any blue sky laws or other securities laws of any state of the United States of America or with such other regulatory bodies and agencies as any of them may deem appropriate in respect of the securities, and with respect to any and all amendments, including post-effective amendments, to this Registration Statement and to any and all instruments and documents filed as part of or in connection with this Registration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474"/>
        <w:gridCol w:w="109"/>
        <w:gridCol w:w="109"/>
        <w:gridCol w:w="3518"/>
        <w:gridCol w:w="109"/>
        <w:gridCol w:w="109"/>
        <w:gridCol w:w="2104"/>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1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0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4" w:type="dxa"/>
            <w:tcBorders/>
            <w:tcMar>
              <w:bottom w:w="0" w:type="dxa"/>
            </w:tcMar>
            <w:vAlign w:val="center"/>
          </w:tcPr>
          <w:p>
            <w:pPr>
              <w:pStyle w:val="TableContents"/>
              <w:bidi w:val="0"/>
              <w:spacing w:before="0" w:after="0"/>
              <w:jc w:val="center"/>
              <w:rPr/>
            </w:pPr>
            <w:r>
              <w:rPr>
                <w:spacing w:val="4"/>
              </w:rPr>
              <w:t>/s/ Michael Lohscheller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Michael Lohscheller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18" w:type="dxa"/>
            <w:tcBorders/>
            <w:tcMar>
              <w:bottom w:w="0" w:type="dxa"/>
            </w:tcMar>
            <w:vAlign w:val="center"/>
          </w:tcPr>
          <w:p>
            <w:pPr>
              <w:pStyle w:val="TableContents"/>
              <w:bidi w:val="0"/>
              <w:spacing w:before="0" w:after="0"/>
              <w:jc w:val="center"/>
              <w:rPr>
                <w:i/>
              </w:rPr>
            </w:pPr>
            <w:r>
              <w:rPr>
                <w:i/>
                <w:spacing w:val="4"/>
              </w:rPr>
              <w:t>Chief Executive Officer &amp; Director</w:t>
            </w:r>
            <w:r>
              <w:rPr>
                <w:i/>
              </w:rPr>
              <w:t xml:space="preserve"> </w:t>
              <w:br/>
            </w:r>
            <w:r>
              <w:rPr>
                <w:i w:val="false"/>
                <w:caps w:val="false"/>
                <w:smallCaps w:val="false"/>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04" w:type="dxa"/>
            <w:tcBorders/>
            <w:tcMar>
              <w:bottom w:w="0" w:type="dxa"/>
            </w:tcMar>
            <w:vAlign w:val="center"/>
          </w:tcPr>
          <w:p>
            <w:pPr>
              <w:pStyle w:val="TableContents"/>
              <w:bidi w:val="0"/>
              <w:spacing w:before="0" w:after="0"/>
              <w:jc w:val="center"/>
              <w:rPr>
                <w:spacing w:val="4"/>
              </w:rPr>
            </w:pPr>
            <w:r>
              <w:rPr>
                <w:spacing w:val="4"/>
              </w:rPr>
              <w:t xml:space="preserve">September 28,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4" w:type="dxa"/>
            <w:tcBorders/>
            <w:tcMar>
              <w:bottom w:w="0" w:type="dxa"/>
            </w:tcMar>
            <w:vAlign w:val="center"/>
          </w:tcPr>
          <w:p>
            <w:pPr>
              <w:pStyle w:val="TableContents"/>
              <w:bidi w:val="0"/>
              <w:spacing w:before="0" w:after="0"/>
              <w:jc w:val="center"/>
              <w:rPr/>
            </w:pPr>
            <w:r>
              <w:rPr>
                <w:spacing w:val="4"/>
              </w:rPr>
              <w:t>/s/ Jean-Francois Mady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Jean-Francois Mady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18" w:type="dxa"/>
            <w:tcBorders/>
            <w:tcMar>
              <w:bottom w:w="0" w:type="dxa"/>
            </w:tcMar>
            <w:vAlign w:val="center"/>
          </w:tcPr>
          <w:p>
            <w:pPr>
              <w:pStyle w:val="TableContents"/>
              <w:bidi w:val="0"/>
              <w:spacing w:before="0" w:after="0"/>
              <w:jc w:val="center"/>
              <w:rPr>
                <w:i/>
              </w:rPr>
            </w:pPr>
            <w:r>
              <w:rPr>
                <w:i/>
                <w:spacing w:val="4"/>
              </w:rPr>
              <w:t>Chief Financial Officer</w:t>
            </w:r>
            <w:r>
              <w:rPr>
                <w:i/>
              </w:rPr>
              <w:t xml:space="preserve"> </w:t>
              <w:br/>
            </w:r>
            <w:r>
              <w:rPr>
                <w:i w:val="false"/>
                <w:caps w:val="false"/>
                <w:smallCaps w:val="false"/>
                <w:spacing w:val="4"/>
              </w:rPr>
              <w:t xml:space="preserve">(Principal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04" w:type="dxa"/>
            <w:tcBorders/>
            <w:tcMar>
              <w:bottom w:w="0" w:type="dxa"/>
            </w:tcMar>
            <w:vAlign w:val="center"/>
          </w:tcPr>
          <w:p>
            <w:pPr>
              <w:pStyle w:val="TableContents"/>
              <w:bidi w:val="0"/>
              <w:spacing w:before="0" w:after="0"/>
              <w:jc w:val="center"/>
              <w:rPr>
                <w:spacing w:val="4"/>
              </w:rPr>
            </w:pPr>
            <w:r>
              <w:rPr>
                <w:spacing w:val="4"/>
              </w:rPr>
              <w:t xml:space="preserve">September 28,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4" w:type="dxa"/>
            <w:tcBorders/>
            <w:tcMar>
              <w:bottom w:w="0" w:type="dxa"/>
            </w:tcMar>
            <w:vAlign w:val="center"/>
          </w:tcPr>
          <w:p>
            <w:pPr>
              <w:pStyle w:val="TableContents"/>
              <w:bidi w:val="0"/>
              <w:spacing w:before="0" w:after="0"/>
              <w:jc w:val="center"/>
              <w:rPr/>
            </w:pPr>
            <w:r>
              <w:rPr>
                <w:spacing w:val="4"/>
              </w:rPr>
              <w:t>/s/ Lisa Thomson Klang</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Lisa Thomson Klang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18" w:type="dxa"/>
            <w:tcBorders/>
            <w:tcMar>
              <w:bottom w:w="0" w:type="dxa"/>
            </w:tcMar>
            <w:vAlign w:val="center"/>
          </w:tcPr>
          <w:p>
            <w:pPr>
              <w:pStyle w:val="TableContents"/>
              <w:bidi w:val="0"/>
              <w:spacing w:before="0" w:after="0"/>
              <w:jc w:val="center"/>
              <w:rPr>
                <w:i/>
              </w:rPr>
            </w:pPr>
            <w:r>
              <w:rPr>
                <w:i/>
                <w:spacing w:val="4"/>
              </w:rPr>
              <w:t>Group Chief Accounting Officer</w:t>
            </w:r>
            <w:r>
              <w:rPr>
                <w:i/>
              </w:rPr>
              <w:t xml:space="preserve"> </w:t>
              <w:br/>
            </w:r>
            <w:r>
              <w:rPr>
                <w:i w:val="false"/>
                <w:caps w:val="false"/>
                <w:smallCaps w:val="false"/>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04" w:type="dxa"/>
            <w:tcBorders/>
            <w:tcMar>
              <w:bottom w:w="0" w:type="dxa"/>
            </w:tcMar>
            <w:vAlign w:val="center"/>
          </w:tcPr>
          <w:p>
            <w:pPr>
              <w:pStyle w:val="TableContents"/>
              <w:bidi w:val="0"/>
              <w:spacing w:before="0" w:after="0"/>
              <w:jc w:val="center"/>
              <w:rPr>
                <w:spacing w:val="4"/>
              </w:rPr>
            </w:pPr>
            <w:r>
              <w:rPr>
                <w:spacing w:val="4"/>
              </w:rPr>
              <w:t xml:space="preserve">September 28, 2026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599" w:type="dxa"/>
        <w:jc w:val="left"/>
        <w:tblInd w:w="1393" w:type="dxa"/>
        <w:tblLayout w:type="fixed"/>
        <w:tblCellMar>
          <w:top w:w="0" w:type="dxa"/>
          <w:left w:w="0" w:type="dxa"/>
          <w:bottom w:w="28" w:type="dxa"/>
          <w:right w:w="0" w:type="dxa"/>
        </w:tblCellMar>
      </w:tblPr>
      <w:tblGrid>
        <w:gridCol w:w="124"/>
        <w:gridCol w:w="2758"/>
        <w:gridCol w:w="109"/>
        <w:gridCol w:w="109"/>
        <w:gridCol w:w="1004"/>
        <w:gridCol w:w="109"/>
        <w:gridCol w:w="109"/>
        <w:gridCol w:w="2123"/>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75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2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58" w:type="dxa"/>
            <w:tcBorders/>
            <w:tcMar>
              <w:bottom w:w="0" w:type="dxa"/>
            </w:tcMar>
            <w:vAlign w:val="center"/>
          </w:tcPr>
          <w:p>
            <w:pPr>
              <w:pStyle w:val="TableContents"/>
              <w:bidi w:val="0"/>
              <w:spacing w:before="0" w:after="0"/>
              <w:jc w:val="center"/>
              <w:rPr/>
            </w:pPr>
            <w:r>
              <w:rPr>
                <w:spacing w:val="4"/>
              </w:rPr>
              <w:t>/s/ Cynthia Dubin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Cynthia Dubin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04" w:type="dxa"/>
            <w:tcBorders/>
            <w:tcMar>
              <w:bottom w:w="0" w:type="dxa"/>
            </w:tcMar>
            <w:vAlign w:val="center"/>
          </w:tcPr>
          <w:p>
            <w:pPr>
              <w:pStyle w:val="TableContents"/>
              <w:bidi w:val="0"/>
              <w:spacing w:before="0" w:after="0"/>
              <w:jc w:val="center"/>
              <w:rPr>
                <w:i/>
              </w:rPr>
            </w:pPr>
            <w:r>
              <w:rPr>
                <w:i/>
                <w:spacing w:val="4"/>
              </w:rPr>
              <w:t>Director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3" w:type="dxa"/>
            <w:tcBorders/>
            <w:tcMar>
              <w:bottom w:w="0" w:type="dxa"/>
            </w:tcMar>
            <w:vAlign w:val="center"/>
          </w:tcPr>
          <w:p>
            <w:pPr>
              <w:pStyle w:val="TableContents"/>
              <w:bidi w:val="0"/>
              <w:spacing w:before="0" w:after="0"/>
              <w:jc w:val="center"/>
              <w:rPr>
                <w:spacing w:val="4"/>
              </w:rPr>
            </w:pPr>
            <w:r>
              <w:rPr>
                <w:spacing w:val="4"/>
              </w:rPr>
              <w:t xml:space="preserve">September 28,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58" w:type="dxa"/>
            <w:tcBorders/>
            <w:tcMar>
              <w:bottom w:w="0" w:type="dxa"/>
            </w:tcMar>
            <w:vAlign w:val="center"/>
          </w:tcPr>
          <w:p>
            <w:pPr>
              <w:pStyle w:val="TableContents"/>
              <w:bidi w:val="0"/>
              <w:spacing w:before="0" w:after="0"/>
              <w:jc w:val="center"/>
              <w:rPr/>
            </w:pPr>
            <w:r>
              <w:rPr>
                <w:spacing w:val="4"/>
              </w:rPr>
              <w:t>/s/ Christine Gorjanc</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Christine Gorjanc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04" w:type="dxa"/>
            <w:tcBorders/>
            <w:tcMar>
              <w:bottom w:w="0" w:type="dxa"/>
            </w:tcMar>
            <w:vAlign w:val="center"/>
          </w:tcPr>
          <w:p>
            <w:pPr>
              <w:pStyle w:val="TableContents"/>
              <w:bidi w:val="0"/>
              <w:spacing w:before="0" w:after="0"/>
              <w:jc w:val="center"/>
              <w:rPr>
                <w:i/>
              </w:rPr>
            </w:pPr>
            <w:r>
              <w:rPr>
                <w:i/>
                <w:spacing w:val="4"/>
              </w:rPr>
              <w:t>Director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3" w:type="dxa"/>
            <w:tcBorders/>
            <w:tcMar>
              <w:bottom w:w="0" w:type="dxa"/>
            </w:tcMar>
            <w:vAlign w:val="center"/>
          </w:tcPr>
          <w:p>
            <w:pPr>
              <w:pStyle w:val="TableContents"/>
              <w:bidi w:val="0"/>
              <w:spacing w:before="0" w:after="0"/>
              <w:jc w:val="center"/>
              <w:rPr>
                <w:spacing w:val="4"/>
              </w:rPr>
            </w:pPr>
            <w:r>
              <w:rPr>
                <w:spacing w:val="4"/>
              </w:rPr>
              <w:t xml:space="preserve">September 28,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58" w:type="dxa"/>
            <w:tcBorders/>
            <w:tcMar>
              <w:bottom w:w="0" w:type="dxa"/>
            </w:tcMar>
            <w:vAlign w:val="center"/>
          </w:tcPr>
          <w:p>
            <w:pPr>
              <w:pStyle w:val="TableContents"/>
              <w:bidi w:val="0"/>
              <w:spacing w:before="0" w:after="0"/>
              <w:jc w:val="center"/>
              <w:rPr/>
            </w:pPr>
            <w:r>
              <w:rPr>
                <w:spacing w:val="4"/>
              </w:rPr>
              <w:t>/s/ Karl-Thomas Neumann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Karl-Thomas Neumann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04" w:type="dxa"/>
            <w:tcBorders/>
            <w:tcMar>
              <w:bottom w:w="0" w:type="dxa"/>
            </w:tcMar>
            <w:vAlign w:val="center"/>
          </w:tcPr>
          <w:p>
            <w:pPr>
              <w:pStyle w:val="TableContents"/>
              <w:bidi w:val="0"/>
              <w:spacing w:before="0" w:after="0"/>
              <w:jc w:val="center"/>
              <w:rPr>
                <w:i/>
              </w:rPr>
            </w:pPr>
            <w:r>
              <w:rPr>
                <w:i/>
                <w:spacing w:val="4"/>
              </w:rPr>
              <w:t>Director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3" w:type="dxa"/>
            <w:tcBorders/>
            <w:tcMar>
              <w:bottom w:w="0" w:type="dxa"/>
            </w:tcMar>
            <w:vAlign w:val="center"/>
          </w:tcPr>
          <w:p>
            <w:pPr>
              <w:pStyle w:val="TableContents"/>
              <w:bidi w:val="0"/>
              <w:spacing w:before="0" w:after="0"/>
              <w:jc w:val="center"/>
              <w:rPr>
                <w:spacing w:val="4"/>
              </w:rPr>
            </w:pPr>
            <w:r>
              <w:rPr>
                <w:spacing w:val="4"/>
              </w:rPr>
              <w:t xml:space="preserve">September 28,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58" w:type="dxa"/>
            <w:tcBorders/>
            <w:tcMar>
              <w:bottom w:w="0" w:type="dxa"/>
            </w:tcMar>
            <w:vAlign w:val="center"/>
          </w:tcPr>
          <w:p>
            <w:pPr>
              <w:pStyle w:val="TableContents"/>
              <w:bidi w:val="0"/>
              <w:spacing w:before="0" w:after="0"/>
              <w:jc w:val="center"/>
              <w:rPr/>
            </w:pPr>
            <w:r>
              <w:rPr>
                <w:spacing w:val="4"/>
              </w:rPr>
              <w:t>/s/ Arek Nowinski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Arek Nowinski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04" w:type="dxa"/>
            <w:tcBorders/>
            <w:tcMar>
              <w:bottom w:w="0" w:type="dxa"/>
            </w:tcMar>
            <w:vAlign w:val="center"/>
          </w:tcPr>
          <w:p>
            <w:pPr>
              <w:pStyle w:val="TableContents"/>
              <w:bidi w:val="0"/>
              <w:spacing w:before="0" w:after="0"/>
              <w:jc w:val="center"/>
              <w:rPr>
                <w:i/>
              </w:rPr>
            </w:pPr>
            <w:r>
              <w:rPr>
                <w:i/>
                <w:spacing w:val="4"/>
              </w:rPr>
              <w:t>Director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3" w:type="dxa"/>
            <w:tcBorders/>
            <w:tcMar>
              <w:bottom w:w="0" w:type="dxa"/>
            </w:tcMar>
            <w:vAlign w:val="center"/>
          </w:tcPr>
          <w:p>
            <w:pPr>
              <w:pStyle w:val="TableContents"/>
              <w:bidi w:val="0"/>
              <w:spacing w:before="0" w:after="0"/>
              <w:jc w:val="center"/>
              <w:rPr>
                <w:spacing w:val="4"/>
              </w:rPr>
            </w:pPr>
            <w:r>
              <w:rPr>
                <w:spacing w:val="4"/>
              </w:rPr>
              <w:t xml:space="preserve">September 28,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58" w:type="dxa"/>
            <w:tcBorders/>
            <w:tcMar>
              <w:bottom w:w="0" w:type="dxa"/>
            </w:tcMar>
            <w:vAlign w:val="center"/>
          </w:tcPr>
          <w:p>
            <w:pPr>
              <w:pStyle w:val="TableContents"/>
              <w:bidi w:val="0"/>
              <w:spacing w:before="0" w:after="0"/>
              <w:jc w:val="center"/>
              <w:rPr/>
            </w:pPr>
            <w:r>
              <w:rPr>
                <w:spacing w:val="4"/>
              </w:rPr>
              <w:t>/s/ Xiaojie (Laura) Shen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Xiaojie (Laura) Shen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04" w:type="dxa"/>
            <w:tcBorders/>
            <w:tcMar>
              <w:bottom w:w="0" w:type="dxa"/>
            </w:tcMar>
            <w:vAlign w:val="center"/>
          </w:tcPr>
          <w:p>
            <w:pPr>
              <w:pStyle w:val="TableContents"/>
              <w:bidi w:val="0"/>
              <w:spacing w:before="0" w:after="0"/>
              <w:jc w:val="center"/>
              <w:rPr>
                <w:i/>
              </w:rPr>
            </w:pPr>
            <w:r>
              <w:rPr>
                <w:i/>
                <w:spacing w:val="4"/>
              </w:rPr>
              <w:t>Director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3" w:type="dxa"/>
            <w:tcBorders/>
            <w:tcMar>
              <w:bottom w:w="0" w:type="dxa"/>
            </w:tcMar>
            <w:vAlign w:val="center"/>
          </w:tcPr>
          <w:p>
            <w:pPr>
              <w:pStyle w:val="TableContents"/>
              <w:bidi w:val="0"/>
              <w:spacing w:before="0" w:after="0"/>
              <w:jc w:val="center"/>
              <w:rPr>
                <w:spacing w:val="4"/>
              </w:rPr>
            </w:pPr>
            <w:r>
              <w:rPr>
                <w:spacing w:val="4"/>
              </w:rPr>
              <w:t xml:space="preserve">September 28,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58" w:type="dxa"/>
            <w:tcBorders/>
            <w:tcMar>
              <w:bottom w:w="0" w:type="dxa"/>
            </w:tcMar>
            <w:vAlign w:val="center"/>
          </w:tcPr>
          <w:p>
            <w:pPr>
              <w:pStyle w:val="TableContents"/>
              <w:bidi w:val="0"/>
              <w:spacing w:before="0" w:after="0"/>
              <w:jc w:val="center"/>
              <w:rPr/>
            </w:pPr>
            <w:r>
              <w:rPr>
                <w:spacing w:val="4"/>
              </w:rPr>
              <w:t>/s/ Winfried Vahland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Winfried Vahland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04" w:type="dxa"/>
            <w:tcBorders/>
            <w:tcMar>
              <w:bottom w:w="0" w:type="dxa"/>
            </w:tcMar>
            <w:vAlign w:val="center"/>
          </w:tcPr>
          <w:p>
            <w:pPr>
              <w:pStyle w:val="TableContents"/>
              <w:bidi w:val="0"/>
              <w:spacing w:before="0" w:after="0"/>
              <w:jc w:val="center"/>
              <w:rPr>
                <w:i/>
              </w:rPr>
            </w:pPr>
            <w:r>
              <w:rPr>
                <w:i/>
                <w:spacing w:val="4"/>
              </w:rPr>
              <w:t>Director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3" w:type="dxa"/>
            <w:tcBorders/>
            <w:tcMar>
              <w:bottom w:w="0" w:type="dxa"/>
            </w:tcMar>
            <w:vAlign w:val="center"/>
          </w:tcPr>
          <w:p>
            <w:pPr>
              <w:pStyle w:val="TableContents"/>
              <w:bidi w:val="0"/>
              <w:spacing w:before="0" w:after="0"/>
              <w:jc w:val="center"/>
              <w:rPr>
                <w:spacing w:val="4"/>
              </w:rPr>
            </w:pPr>
            <w:r>
              <w:rPr>
                <w:spacing w:val="4"/>
              </w:rPr>
              <w:t xml:space="preserve">September 28,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58" w:type="dxa"/>
            <w:tcBorders/>
            <w:tcMar>
              <w:bottom w:w="0" w:type="dxa"/>
            </w:tcMar>
            <w:vAlign w:val="center"/>
          </w:tcPr>
          <w:p>
            <w:pPr>
              <w:pStyle w:val="TableContents"/>
              <w:bidi w:val="0"/>
              <w:spacing w:before="0" w:after="0"/>
              <w:jc w:val="center"/>
              <w:rPr/>
            </w:pPr>
            <w:r>
              <w:rPr>
                <w:spacing w:val="4"/>
              </w:rPr>
              <w:t>/s/ Quan (Joe) Zhang</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Quan (Joe) Zhang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04" w:type="dxa"/>
            <w:tcBorders/>
            <w:tcMar>
              <w:bottom w:w="0" w:type="dxa"/>
            </w:tcMar>
            <w:vAlign w:val="center"/>
          </w:tcPr>
          <w:p>
            <w:pPr>
              <w:pStyle w:val="TableContents"/>
              <w:bidi w:val="0"/>
              <w:spacing w:before="0" w:after="0"/>
              <w:jc w:val="center"/>
              <w:rPr>
                <w:i/>
              </w:rPr>
            </w:pPr>
            <w:r>
              <w:rPr>
                <w:i/>
                <w:spacing w:val="4"/>
              </w:rPr>
              <w:t>Director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3" w:type="dxa"/>
            <w:tcBorders/>
            <w:tcMar>
              <w:bottom w:w="0" w:type="dxa"/>
            </w:tcMar>
            <w:vAlign w:val="center"/>
          </w:tcPr>
          <w:p>
            <w:pPr>
              <w:pStyle w:val="TableContents"/>
              <w:bidi w:val="0"/>
              <w:spacing w:before="0" w:after="0"/>
              <w:jc w:val="center"/>
              <w:rPr/>
            </w:pPr>
            <w:r>
              <w:rPr>
                <w:spacing w:val="4"/>
              </w:rPr>
              <w:t>September 28,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 OF AUTHORIZED REPRESENTATIVE IN THE UNITED STATES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the undersigned, the duly authorized representative of Polestar Automotive Holding UK PLC in the United States, has signed this registration statement, on September 28, 2026. </w:t>
      </w:r>
    </w:p>
    <w:p>
      <w:pPr>
        <w:pStyle w:val="TextBody"/>
        <w:bidi w:val="0"/>
        <w:spacing w:lineRule="atLeast" w:line="240" w:before="48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Polestar Automotive USA Inc.,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Authorized Representative in the United States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Scott Dicken </w:t>
      </w:r>
      <w:r>
        <mc:AlternateContent>
          <mc:Choice Requires="wps">
            <w:drawing>
              <wp:anchor behindDoc="0" distT="215900" distB="0" distL="2794000" distR="0" simplePos="0" locked="0" layoutInCell="1" allowOverlap="1" relativeHeight="262">
                <wp:simplePos x="0" y="0"/>
                <wp:positionH relativeFrom="column">
                  <wp:align>left</wp:align>
                </wp:positionH>
                <wp:positionV relativeFrom="line">
                  <wp:align>top</wp:align>
                </wp:positionV>
                <wp:extent cx="254000" cy="304800"/>
                <wp:effectExtent l="0" t="0" r="0" b="0"/>
                <wp:wrapSquare wrapText="right"/>
                <wp:docPr id="260" name="Frame25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Name: Scott Dicken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   Director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24" w:name="tm2626167d2_ex5-1.htm"/>
      <w:bookmarkStart w:id="25" w:name="kstm2626167d2_ex51"/>
      <w:bookmarkEnd w:id="24"/>
      <w:bookmarkEnd w:id="25"/>
      <w:r>
        <w:rPr/>
        <w:t> </w:t>
      </w:r>
      <w:r>
        <w:br w:type="page"/>
      </w:r>
    </w:p>
    <w:p>
      <w:pPr>
        <w:pStyle w:val="TextBody"/>
        <w:bidi w:val="0"/>
        <w:jc w:val="right"/>
        <w:rPr>
          <w:b/>
          <w:sz w:val="20"/>
        </w:rPr>
      </w:pPr>
      <w:r>
        <w:rPr>
          <w:b/>
          <w:sz w:val="20"/>
        </w:rPr>
        <w:t>Exhibit 5.1</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90725" cy="276225"/>
            <wp:effectExtent l="0" t="0" r="0" b="0"/>
            <wp:docPr id="26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3" descr=""/>
                    <pic:cNvPicPr>
                      <a:picLocks noChangeAspect="1" noChangeArrowheads="1"/>
                    </pic:cNvPicPr>
                  </pic:nvPicPr>
                  <pic:blipFill>
                    <a:blip r:embed="rId32"/>
                    <a:stretch>
                      <a:fillRect/>
                    </a:stretch>
                  </pic:blipFill>
                  <pic:spPr bwMode="auto">
                    <a:xfrm>
                      <a:off x="0" y="0"/>
                      <a:ext cx="1990725" cy="276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LDN:W, 3 Noble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 EC2V 7EE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+44 (0)20 8161-4000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Automotive Holding UK PLC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Pavilions, Bridgwater Road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Bristol, United Kingdom BS13 8AE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 or Madams,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Polestar Automotive Holding UK PLC – Registration Statement on Form 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English law legal advisers to Polestar Automotive Holding UK PLC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preparation and filing on the date hereof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of a registration statement on Form F-3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pursuant to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We have taken instructions solely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relates to the registration of the offer and resale to the public by Geely Sweden Automotive Investment B.V. (“</w:t>
      </w:r>
      <w:r>
        <w:rPr>
          <w:rFonts w:ascii="Times New Roman;Times;Serif" w:hAnsi="Times New Roman;Times;Serif"/>
          <w:b/>
          <w:i w:val="false"/>
          <w:caps w:val="false"/>
          <w:smallCaps w:val="false"/>
          <w:sz w:val="20"/>
        </w:rPr>
        <w:t>Geely</w:t>
      </w:r>
      <w:r>
        <w:rPr>
          <w:rFonts w:ascii="Times New Roman;Times;Serif" w:hAnsi="Times New Roman;Times;Serif"/>
          <w:b w:val="false"/>
          <w:i w:val="false"/>
          <w:caps w:val="false"/>
          <w:smallCaps w:val="false"/>
          <w:sz w:val="20"/>
        </w:rPr>
        <w:t>”), PSD Investment Limited (“</w:t>
      </w:r>
      <w:r>
        <w:rPr>
          <w:rFonts w:ascii="Times New Roman;Times;Serif" w:hAnsi="Times New Roman;Times;Serif"/>
          <w:b/>
          <w:i w:val="false"/>
          <w:caps w:val="false"/>
          <w:smallCaps w:val="false"/>
          <w:sz w:val="20"/>
        </w:rPr>
        <w:t>PSD</w:t>
      </w:r>
      <w:r>
        <w:rPr>
          <w:rFonts w:ascii="Times New Roman;Times;Serif" w:hAnsi="Times New Roman;Times;Serif"/>
          <w:b w:val="false"/>
          <w:i w:val="false"/>
          <w:caps w:val="false"/>
          <w:smallCaps w:val="false"/>
          <w:sz w:val="20"/>
        </w:rPr>
        <w:t>”) and Snita Holding B.V. (“</w:t>
      </w:r>
      <w:r>
        <w:rPr>
          <w:rFonts w:ascii="Times New Roman;Times;Serif" w:hAnsi="Times New Roman;Times;Serif"/>
          <w:b/>
          <w:i w:val="false"/>
          <w:caps w:val="false"/>
          <w:smallCaps w:val="false"/>
          <w:sz w:val="20"/>
        </w:rPr>
        <w:t>Snita</w:t>
      </w:r>
      <w:r>
        <w:rPr>
          <w:rFonts w:ascii="Times New Roman;Times;Serif" w:hAnsi="Times New Roman;Times;Serif"/>
          <w:b w:val="false"/>
          <w:i w:val="false"/>
          <w:caps w:val="false"/>
          <w:smallCaps w:val="false"/>
          <w:sz w:val="20"/>
        </w:rPr>
        <w:t>”, and together with Geely and PSD,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up to 1,758,418,200 class A ordinary shares of $0.01 each in the capital of the Company (the “</w:t>
      </w:r>
      <w:r>
        <w:rPr>
          <w:rFonts w:ascii="Times New Roman;Times;Serif" w:hAnsi="Times New Roman;Times;Serif"/>
          <w:b/>
          <w:i w:val="false"/>
          <w:caps w:val="false"/>
          <w:smallCaps w:val="false"/>
          <w:sz w:val="20"/>
        </w:rPr>
        <w:t>Class A Shares</w:t>
      </w:r>
      <w:r>
        <w:rPr>
          <w:rFonts w:ascii="Times New Roman;Times;Serif" w:hAnsi="Times New Roman;Times;Serif"/>
          <w:b w:val="false"/>
          <w:i w:val="false"/>
          <w:caps w:val="false"/>
          <w:smallCaps w:val="false"/>
          <w:sz w:val="20"/>
        </w:rPr>
        <w:t>”), represented by 58,613,940 American depositary shares (the “</w:t>
      </w:r>
      <w:r>
        <w:rPr>
          <w:rFonts w:ascii="Times New Roman;Times;Serif" w:hAnsi="Times New Roman;Times;Serif"/>
          <w:b/>
          <w:i w:val="false"/>
          <w:caps w:val="false"/>
          <w:smallCaps w:val="false"/>
          <w:sz w:val="20"/>
        </w:rPr>
        <w:t>Class A ADSs</w:t>
      </w:r>
      <w:r>
        <w:rPr>
          <w:rFonts w:ascii="Times New Roman;Times;Serif" w:hAnsi="Times New Roman;Times;Serif"/>
          <w:b w:val="false"/>
          <w:i w:val="false"/>
          <w:caps w:val="false"/>
          <w:smallCaps w:val="false"/>
          <w:sz w:val="20"/>
        </w:rPr>
        <w:t>”), comprising: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20"/>
              </w:rPr>
            </w:pPr>
            <w:r>
              <w:rPr>
                <w:sz w:val="20"/>
              </w:rPr>
              <w:t>(a)</w:t>
            </w:r>
          </w:p>
        </w:tc>
        <w:tc>
          <w:tcPr>
            <w:tcW w:w="9989" w:type="dxa"/>
            <w:tcBorders/>
            <w:vAlign w:val="center"/>
          </w:tcPr>
          <w:p>
            <w:pPr>
              <w:pStyle w:val="TableContents"/>
              <w:bidi w:val="0"/>
              <w:spacing w:before="0" w:after="283"/>
              <w:jc w:val="both"/>
              <w:rPr>
                <w:sz w:val="20"/>
              </w:rPr>
            </w:pPr>
            <w:r>
              <w:rPr>
                <w:sz w:val="20"/>
              </w:rPr>
              <w:t>1,256,261,940 Class A Shares represented by 41,875,398 Class A ADSs, which were issued by the Company pursuant to (i) a securities purchase agreement dated 16 June 2025 between the Company and the PSD (the “</w:t>
            </w:r>
            <w:r>
              <w:rPr>
                <w:b/>
                <w:sz w:val="20"/>
              </w:rPr>
              <w:t>Purchase Agreement</w:t>
            </w:r>
            <w:r>
              <w:rPr>
                <w:sz w:val="20"/>
              </w:rPr>
              <w:t>”); (ii) a conversion agreement dated 19 December 2025 between the Company and Geely Sweden Automotive Investment AB (the benefit of which was subsequently assigned to Geely) (the “</w:t>
            </w:r>
            <w:r>
              <w:rPr>
                <w:b/>
                <w:sz w:val="20"/>
              </w:rPr>
              <w:t>Geely Conversion Agreement</w:t>
            </w:r>
            <w:r>
              <w:rPr>
                <w:sz w:val="20"/>
              </w:rPr>
              <w:t>”); and (iii) a conversion agreement dated 31 March 2026 between the Company and Snita (the “</w:t>
            </w:r>
            <w:r>
              <w:rPr>
                <w:b/>
                <w:sz w:val="20"/>
              </w:rPr>
              <w:t>Snita Conversion Agreement</w:t>
            </w:r>
            <w:r>
              <w:rPr>
                <w:sz w:val="20"/>
              </w:rPr>
              <w:t>”, together with the Purchase Agreement and the Geely Conversion Agreement, the “</w:t>
            </w:r>
            <w:r>
              <w:rPr>
                <w:b/>
                <w:sz w:val="20"/>
              </w:rPr>
              <w:t>Relevant Agreements</w:t>
            </w:r>
            <w:r>
              <w:rPr>
                <w:sz w:val="20"/>
              </w:rPr>
              <w:t>”) (the issue and allotment of such Class A Shares being, the “</w:t>
            </w:r>
            <w:r>
              <w:rPr>
                <w:b/>
                <w:sz w:val="20"/>
              </w:rPr>
              <w:t>2025 Issuance</w:t>
            </w:r>
            <w:r>
              <w:rPr>
                <w:sz w:val="20"/>
              </w:rPr>
              <w:t>”);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Alston &amp; Bird (City), LLP (“Alston &amp; Bird UK”) is a limited liability partnership registered in the U.S., but which practices in the UK from LDN:W, 3 Noble Street, London EC2V 7EE (“firm’s office”). A list of Alston &amp; Bird UK’s members is available for inspection at the firm's office. Alston &amp; Bird UK is authorised and regulated by the Solicitors Regulation Authority with registered number 658074. Alston &amp; Bird UK is connected with its affiliate in the U.S., Alston &amp; Bird LLP, although they are two separate legal entities. The word “partner” denotes a member of Alston &amp; Bird UK or an employee or consultant with equivalent standing and qualifications.</w:t>
      </w:r>
    </w:p>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1355"/>
        <w:gridCol w:w="1190"/>
      </w:tblGrid>
      <w:tr>
        <w:trPr/>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Alston &amp; Bird LLP</w:t>
            </w:r>
          </w:p>
        </w:tc>
        <w:tc>
          <w:tcPr>
            <w:tcW w:w="11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www.alston.com</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Atlanta | Brussels | Century City | Charlotte | Chicago | Dallas | London | Los Angeles | New York | Raleigh | San Francisco | Silicon Valley | Washington, D.C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20"/>
              </w:rPr>
            </w:pPr>
            <w:r>
              <w:rPr>
                <w:sz w:val="20"/>
              </w:rPr>
              <w:t>(b)</w:t>
            </w:r>
          </w:p>
        </w:tc>
        <w:tc>
          <w:tcPr>
            <w:tcW w:w="9978" w:type="dxa"/>
            <w:tcBorders/>
            <w:vAlign w:val="center"/>
          </w:tcPr>
          <w:p>
            <w:pPr>
              <w:pStyle w:val="TableContents"/>
              <w:bidi w:val="0"/>
              <w:spacing w:before="0" w:after="283"/>
              <w:jc w:val="both"/>
              <w:rPr>
                <w:sz w:val="20"/>
              </w:rPr>
            </w:pPr>
            <w:r>
              <w:rPr>
                <w:sz w:val="20"/>
              </w:rPr>
              <w:t>502,156,260 Class A Shares represented by 16,738,542 Class A ADSs (the “</w:t>
            </w:r>
            <w:r>
              <w:rPr>
                <w:b/>
                <w:sz w:val="20"/>
              </w:rPr>
              <w:t>Snita Distribution Shares</w:t>
            </w:r>
            <w:r>
              <w:rPr>
                <w:sz w:val="20"/>
              </w:rPr>
              <w:t>”). The Snita Distribution Shares derive from the 1,642,233,575 class B ordinary shares of $0.01 each in the capital of the Company (”</w:t>
            </w:r>
            <w:r>
              <w:rPr>
                <w:b/>
                <w:sz w:val="20"/>
              </w:rPr>
              <w:t>Class B Shares</w:t>
            </w:r>
            <w:r>
              <w:rPr>
                <w:sz w:val="20"/>
              </w:rPr>
              <w:t>”) allotted and issued to National City Nominees Limited, as nominee for Citibank, N.A. (the ”</w:t>
            </w:r>
            <w:r>
              <w:rPr>
                <w:b/>
                <w:sz w:val="20"/>
              </w:rPr>
              <w:t>Depositary</w:t>
            </w:r>
            <w:r>
              <w:rPr>
                <w:sz w:val="20"/>
              </w:rPr>
              <w:t>”), for the benefit of Polestar Automotive Holding Limited (”</w:t>
            </w:r>
            <w:r>
              <w:rPr>
                <w:b/>
                <w:sz w:val="20"/>
              </w:rPr>
              <w:t>Parent</w:t>
            </w:r>
            <w:r>
              <w:rPr>
                <w:sz w:val="20"/>
              </w:rPr>
              <w:t>”), on 23 June 2022 (the “</w:t>
            </w:r>
            <w:r>
              <w:rPr>
                <w:b/>
                <w:sz w:val="20"/>
              </w:rPr>
              <w:t>2022 Issuance</w:t>
            </w:r>
            <w:r>
              <w:rPr>
                <w:sz w:val="20"/>
              </w:rPr>
              <w:t>”). Following the voluntary liquidation of Parent, 814,219,838 Class B ADSs representing 814,219,838 Class B Shares were distributed to Snita in connection therewith. On 11 April 2024, Snita elected to redesignate (and convert) 814,219,838 of the Class B Shares (as the holder of the Class B ADSs representing those shares) into Class A Shares, pursuant to article 12.4 of the Articles (as defined below) (the “</w:t>
            </w:r>
            <w:r>
              <w:rPr>
                <w:b/>
                <w:sz w:val="20"/>
              </w:rPr>
              <w:t>Snita Redesignation</w:t>
            </w:r>
            <w:r>
              <w:rPr>
                <w:sz w:val="20"/>
              </w:rPr>
              <w:t>”). Pursuant to various transactions occurring following the Snita Redesignation on the same date, 502,156,334 of the newly-converted Class A ADSs, representing such converted Class A Shares pursuant to the Snita Redesignation, were distributed by Snita (directly or indirectly) to Geely Sweden Holdings AB and subsequently transferred to Geely. Following the change in the ratio of ADSs to ordinary shares from one (1) ADS per one (1) ordinary share to one (1) ADS per thirty (30) ordinary shares, such Class A Shares are now represented by 16,738,542 Class A ADSs.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in this opinion do not affect its interpretation. They are included for convenience only and should not be read or construed as limiting the applicability of any assumptions, qualifications or reservations set out in this opinion unless expressly noted herein.</w:t>
      </w:r>
    </w:p>
    <w:p>
      <w:pPr>
        <w:pStyle w:val="TextBody"/>
        <w:bidi w:val="0"/>
        <w:spacing w:before="0" w:after="0"/>
        <w:ind w:left="0" w:right="0" w:hanging="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17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caps/>
                <w:sz w:val="20"/>
              </w:rPr>
            </w:pPr>
            <w:r>
              <w:rPr>
                <w:b/>
                <w:caps/>
                <w:sz w:val="20"/>
              </w:rPr>
              <w:t>1.</w:t>
            </w:r>
          </w:p>
        </w:tc>
        <w:tc>
          <w:tcPr>
            <w:tcW w:w="2810" w:type="dxa"/>
            <w:tcBorders/>
            <w:vAlign w:val="center"/>
          </w:tcPr>
          <w:p>
            <w:pPr>
              <w:pStyle w:val="TableContents"/>
              <w:bidi w:val="0"/>
              <w:spacing w:before="0" w:after="283"/>
              <w:jc w:val="both"/>
              <w:rPr>
                <w:b/>
                <w:sz w:val="20"/>
              </w:rPr>
            </w:pPr>
            <w:r>
              <w:rPr>
                <w:b/>
                <w:sz w:val="20"/>
              </w:rPr>
              <w:t>DOCUMENTS AND SEARCHES</w:t>
            </w:r>
          </w:p>
        </w:tc>
      </w:tr>
    </w:tbl>
    <w:p>
      <w:pPr>
        <w:pStyle w:val="TextBody"/>
        <w:bidi w:val="0"/>
        <w:spacing w:before="0" w:after="0"/>
        <w:ind w:left="0" w:right="0" w:hanging="0"/>
        <w:jc w:val="left"/>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275"/>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1.1</w:t>
            </w:r>
          </w:p>
        </w:tc>
        <w:tc>
          <w:tcPr>
            <w:tcW w:w="4205" w:type="dxa"/>
            <w:tcBorders/>
            <w:vAlign w:val="center"/>
          </w:tcPr>
          <w:p>
            <w:pPr>
              <w:pStyle w:val="TableContents"/>
              <w:bidi w:val="0"/>
              <w:spacing w:before="0" w:after="283"/>
              <w:jc w:val="both"/>
              <w:rPr>
                <w:sz w:val="20"/>
              </w:rPr>
            </w:pPr>
            <w:r>
              <w:rPr>
                <w:sz w:val="20"/>
              </w:rPr>
              <w:t>For the purposes of this opinion, we have reviewed:</w:t>
            </w:r>
          </w:p>
        </w:tc>
      </w:tr>
    </w:tbl>
    <w:p>
      <w:pPr>
        <w:pStyle w:val="TextBody"/>
        <w:bidi w:val="0"/>
        <w:spacing w:before="0" w:after="0"/>
        <w:ind w:left="0" w:right="0" w:hanging="0"/>
        <w:jc w:val="left"/>
        <w:rPr>
          <w:caps w:val="false"/>
          <w:smallCaps w:val="false"/>
        </w:rPr>
      </w:pPr>
      <w:r>
        <w:rPr>
          <w:caps w:val="false"/>
          <w:smallCaps w:val="false"/>
        </w:rPr>
        <w:t> </w:t>
      </w:r>
    </w:p>
    <w:tbl>
      <w:tblPr>
        <w:tblW w:w="6588" w:type="dxa"/>
        <w:jc w:val="left"/>
        <w:tblInd w:w="0" w:type="dxa"/>
        <w:tblLayout w:type="fixed"/>
        <w:tblCellMar>
          <w:top w:w="0" w:type="dxa"/>
          <w:left w:w="0" w:type="dxa"/>
          <w:bottom w:w="0" w:type="dxa"/>
          <w:right w:w="0" w:type="dxa"/>
        </w:tblCellMar>
      </w:tblPr>
      <w:tblGrid>
        <w:gridCol w:w="38"/>
        <w:gridCol w:w="23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6320" w:type="dxa"/>
            <w:tcBorders/>
            <w:vAlign w:val="center"/>
          </w:tcPr>
          <w:p>
            <w:pPr>
              <w:pStyle w:val="TableContents"/>
              <w:bidi w:val="0"/>
              <w:spacing w:before="0" w:after="283"/>
              <w:jc w:val="both"/>
              <w:rPr>
                <w:sz w:val="20"/>
              </w:rPr>
            </w:pPr>
            <w:r>
              <w:rPr>
                <w:sz w:val="20"/>
              </w:rPr>
              <w:t>the Registration Statement filed with the SEC on the date of this opinion; and</w:t>
            </w:r>
          </w:p>
        </w:tc>
      </w:tr>
    </w:tbl>
    <w:p>
      <w:pPr>
        <w:pStyle w:val="TextBody"/>
        <w:bidi w:val="0"/>
        <w:spacing w:before="0" w:after="0"/>
        <w:ind w:left="0" w:right="0" w:hanging="0"/>
        <w:jc w:val="left"/>
        <w:rPr>
          <w:caps w:val="false"/>
          <w:smallCaps w:val="false"/>
        </w:rPr>
      </w:pPr>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38"/>
        <w:gridCol w:w="245"/>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(b)</w:t>
            </w:r>
          </w:p>
        </w:tc>
        <w:tc>
          <w:tcPr>
            <w:tcW w:w="2120" w:type="dxa"/>
            <w:tcBorders/>
            <w:vAlign w:val="center"/>
          </w:tcPr>
          <w:p>
            <w:pPr>
              <w:pStyle w:val="TableContents"/>
              <w:bidi w:val="0"/>
              <w:spacing w:before="0" w:after="283"/>
              <w:jc w:val="both"/>
              <w:rPr>
                <w:sz w:val="20"/>
              </w:rPr>
            </w:pPr>
            <w:r>
              <w:rPr>
                <w:sz w:val="20"/>
              </w:rPr>
              <w:t>the Relevant Agreements.</w:t>
            </w:r>
          </w:p>
        </w:tc>
      </w:tr>
    </w:tbl>
    <w:p>
      <w:pPr>
        <w:pStyle w:val="TextBody"/>
        <w:bidi w:val="0"/>
        <w:spacing w:before="0" w:after="0"/>
        <w:ind w:left="0" w:right="0" w:hanging="0"/>
        <w:jc w:val="left"/>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275"/>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1.2</w:t>
            </w:r>
          </w:p>
        </w:tc>
        <w:tc>
          <w:tcPr>
            <w:tcW w:w="4235" w:type="dxa"/>
            <w:tcBorders/>
            <w:vAlign w:val="center"/>
          </w:tcPr>
          <w:p>
            <w:pPr>
              <w:pStyle w:val="TableContents"/>
              <w:bidi w:val="0"/>
              <w:spacing w:before="0" w:after="283"/>
              <w:jc w:val="both"/>
              <w:rPr>
                <w:sz w:val="20"/>
              </w:rPr>
            </w:pPr>
            <w:r>
              <w:rPr>
                <w:sz w:val="20"/>
              </w:rPr>
              <w:t>We have also examined, in respect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20"/>
              </w:rPr>
            </w:pPr>
            <w:r>
              <w:rPr>
                <w:sz w:val="20"/>
              </w:rPr>
              <w:t>(a)</w:t>
            </w:r>
          </w:p>
        </w:tc>
        <w:tc>
          <w:tcPr>
            <w:tcW w:w="9977" w:type="dxa"/>
            <w:tcBorders/>
            <w:vAlign w:val="center"/>
          </w:tcPr>
          <w:p>
            <w:pPr>
              <w:pStyle w:val="TableContents"/>
              <w:bidi w:val="0"/>
              <w:spacing w:before="0" w:after="283"/>
              <w:jc w:val="both"/>
              <w:rPr>
                <w:sz w:val="20"/>
              </w:rPr>
            </w:pPr>
            <w:r>
              <w:rPr>
                <w:sz w:val="20"/>
              </w:rPr>
              <w:t>a copy of the certificate of incorporation of the Company issued by the Registrar of Companies for England and Wales (“</w:t>
            </w:r>
            <w:r>
              <w:rPr>
                <w:b/>
                <w:sz w:val="20"/>
              </w:rPr>
              <w:t>Companies House</w:t>
            </w:r>
            <w:r>
              <w:rPr>
                <w:sz w:val="20"/>
              </w:rPr>
              <w:t>”) on 15 September 2021 and a copy of the certificate of incorporation on re-registration of a private company as a public company of the Company issued by Companies House on 5 May 2022;</w:t>
            </w:r>
          </w:p>
        </w:tc>
      </w:tr>
    </w:tbl>
    <w:p>
      <w:pPr>
        <w:pStyle w:val="TextBody"/>
        <w:bidi w:val="0"/>
        <w:spacing w:before="0" w:after="0"/>
        <w:ind w:left="0" w:right="0" w:hanging="0"/>
        <w:jc w:val="left"/>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245"/>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(b)</w:t>
            </w:r>
          </w:p>
        </w:tc>
        <w:tc>
          <w:tcPr>
            <w:tcW w:w="8195" w:type="dxa"/>
            <w:tcBorders/>
            <w:vAlign w:val="center"/>
          </w:tcPr>
          <w:p>
            <w:pPr>
              <w:pStyle w:val="TableContents"/>
              <w:bidi w:val="0"/>
              <w:spacing w:before="0" w:after="283"/>
              <w:jc w:val="both"/>
              <w:rPr>
                <w:sz w:val="20"/>
              </w:rPr>
            </w:pPr>
            <w:r>
              <w:rPr>
                <w:sz w:val="20"/>
              </w:rPr>
              <w:t>the articles of association of the Company filed at Companies House on 2 July 2025 (the “</w:t>
            </w:r>
            <w:r>
              <w:rPr>
                <w:b/>
                <w:sz w:val="20"/>
              </w:rPr>
              <w:t>Articles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20"/>
              </w:rPr>
            </w:pPr>
            <w:r>
              <w:rPr>
                <w:sz w:val="20"/>
              </w:rPr>
              <w:t>(c)</w:t>
            </w:r>
          </w:p>
        </w:tc>
        <w:tc>
          <w:tcPr>
            <w:tcW w:w="9984" w:type="dxa"/>
            <w:tcBorders/>
            <w:vAlign w:val="center"/>
          </w:tcPr>
          <w:p>
            <w:pPr>
              <w:pStyle w:val="TableContents"/>
              <w:bidi w:val="0"/>
              <w:spacing w:before="0" w:after="283"/>
              <w:jc w:val="both"/>
              <w:rPr>
                <w:sz w:val="20"/>
              </w:rPr>
            </w:pPr>
            <w:r>
              <w:rPr>
                <w:sz w:val="20"/>
              </w:rPr>
              <w:t>a copy of the minutes of the general meeting of the Company held at 9:25am (UK time) on 23 June 2022 at which it was resolved, inter alia, to authorise the directors to (i) allot up to a maximum amount of 1,777,366,739 Class B Shares; and (ii) allot equity securities pursuant to such authority as if the statutory pre-emption rights contained in section 561(1) of the Companies Act 2006 (the “</w:t>
            </w:r>
            <w:r>
              <w:rPr>
                <w:b/>
                <w:sz w:val="20"/>
              </w:rPr>
              <w:t>Companies Act</w:t>
            </w:r>
            <w:r>
              <w:rPr>
                <w:sz w:val="20"/>
              </w:rPr>
              <w:t>”) did not apply to such allotment (the “</w:t>
            </w:r>
            <w:r>
              <w:rPr>
                <w:b/>
                <w:sz w:val="20"/>
              </w:rPr>
              <w:t>2022 General Meeting Minutes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20"/>
              </w:rPr>
            </w:pPr>
            <w:r>
              <w:rPr>
                <w:sz w:val="20"/>
              </w:rPr>
              <w:t>(d)</w:t>
            </w:r>
          </w:p>
        </w:tc>
        <w:tc>
          <w:tcPr>
            <w:tcW w:w="9970" w:type="dxa"/>
            <w:tcBorders/>
            <w:vAlign w:val="center"/>
          </w:tcPr>
          <w:p>
            <w:pPr>
              <w:pStyle w:val="TableContents"/>
              <w:bidi w:val="0"/>
              <w:spacing w:before="0" w:after="283"/>
              <w:jc w:val="both"/>
              <w:rPr>
                <w:sz w:val="20"/>
              </w:rPr>
            </w:pPr>
            <w:r>
              <w:rPr>
                <w:sz w:val="20"/>
              </w:rPr>
              <w:t>a copy of the minutes of the annual general meeting of the Company held at 3:00pm (UK time) on 26 June 2026 at which it was resolved, inter alia, to authorise the directors to: (i) allot up to a maximum amount of 3,182,774,460 Class A Shares; and (ii) allot equity securities pursuant to such authority as if the statutory pre-emption rights contained in section 561(1) of the Companies Act did not apply to such allotment (the “</w:t>
            </w:r>
            <w:r>
              <w:rPr>
                <w:b/>
                <w:sz w:val="20"/>
              </w:rPr>
              <w:t>2026 General Meeting Minutes</w:t>
            </w:r>
            <w:r>
              <w:rPr>
                <w:sz w:val="20"/>
              </w:rPr>
              <w:t>”, and together with the 2022 General Meeting Minutes, the “</w:t>
            </w:r>
            <w:r>
              <w:rPr>
                <w:b/>
                <w:sz w:val="20"/>
              </w:rPr>
              <w:t>General Meeting Minutes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20"/>
              </w:rPr>
            </w:pPr>
            <w:r>
              <w:rPr>
                <w:sz w:val="20"/>
              </w:rPr>
              <w:t>(e)</w:t>
            </w:r>
          </w:p>
        </w:tc>
        <w:tc>
          <w:tcPr>
            <w:tcW w:w="9973" w:type="dxa"/>
            <w:tcBorders/>
            <w:vAlign w:val="center"/>
          </w:tcPr>
          <w:p>
            <w:pPr>
              <w:pStyle w:val="TableContents"/>
              <w:bidi w:val="0"/>
              <w:spacing w:before="0" w:after="283"/>
              <w:jc w:val="both"/>
              <w:rPr>
                <w:sz w:val="20"/>
              </w:rPr>
            </w:pPr>
            <w:r>
              <w:rPr>
                <w:sz w:val="20"/>
              </w:rPr>
              <w:t>the minutes of a meeting of the board of directors of the Company (the “</w:t>
            </w:r>
            <w:r>
              <w:rPr>
                <w:b/>
                <w:sz w:val="20"/>
              </w:rPr>
              <w:t>Board</w:t>
            </w:r>
            <w:r>
              <w:rPr>
                <w:sz w:val="20"/>
              </w:rPr>
              <w:t>”) held on 23 June 2022 at 7.50am (UK time) in connection with the approval of the actions necessary for closing under the Business Combination Agreement (as defined therein) (the “</w:t>
            </w:r>
            <w:r>
              <w:rPr>
                <w:b/>
                <w:sz w:val="20"/>
              </w:rPr>
              <w:t>2022 Board Minutes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20"/>
              </w:rPr>
            </w:pPr>
            <w:r>
              <w:rPr>
                <w:sz w:val="20"/>
              </w:rPr>
              <w:t>(f)</w:t>
            </w:r>
          </w:p>
        </w:tc>
        <w:tc>
          <w:tcPr>
            <w:tcW w:w="9974" w:type="dxa"/>
            <w:tcBorders/>
            <w:vAlign w:val="center"/>
          </w:tcPr>
          <w:p>
            <w:pPr>
              <w:pStyle w:val="TableContents"/>
              <w:bidi w:val="0"/>
              <w:spacing w:before="0" w:after="283"/>
              <w:jc w:val="both"/>
              <w:rPr>
                <w:sz w:val="20"/>
              </w:rPr>
            </w:pPr>
            <w:r>
              <w:rPr>
                <w:sz w:val="20"/>
              </w:rPr>
              <w:t>written resolutions of the Board passed on 20 June 2025, 14 December 2025 and 30 March 2026 in connection with the 2025 Issuance;</w:t>
            </w:r>
          </w:p>
        </w:tc>
      </w:tr>
    </w:tbl>
    <w:p>
      <w:pPr>
        <w:pStyle w:val="TextBody"/>
        <w:bidi w:val="0"/>
        <w:spacing w:before="0" w:after="0"/>
        <w:ind w:left="0" w:right="0" w:hanging="0"/>
        <w:jc w:val="left"/>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245"/>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(g)</w:t>
            </w:r>
          </w:p>
        </w:tc>
        <w:tc>
          <w:tcPr>
            <w:tcW w:w="7565" w:type="dxa"/>
            <w:tcBorders/>
            <w:vAlign w:val="center"/>
          </w:tcPr>
          <w:p>
            <w:pPr>
              <w:pStyle w:val="TableContents"/>
              <w:bidi w:val="0"/>
              <w:spacing w:before="0" w:after="283"/>
              <w:jc w:val="both"/>
              <w:rPr>
                <w:sz w:val="20"/>
              </w:rPr>
            </w:pPr>
            <w:r>
              <w:rPr>
                <w:sz w:val="20"/>
              </w:rPr>
              <w:t>written resolutions of the Board passed on 10 April 2024 approving the Snita Redesignation;</w:t>
            </w:r>
          </w:p>
        </w:tc>
      </w:tr>
    </w:tbl>
    <w:p>
      <w:pPr>
        <w:pStyle w:val="TextBody"/>
        <w:bidi w:val="0"/>
        <w:spacing w:before="0" w:after="0"/>
        <w:ind w:left="0" w:right="0" w:hanging="0"/>
        <w:jc w:val="left"/>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38"/>
        <w:gridCol w:w="245"/>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(h)</w:t>
            </w:r>
          </w:p>
        </w:tc>
        <w:tc>
          <w:tcPr>
            <w:tcW w:w="9635" w:type="dxa"/>
            <w:tcBorders/>
            <w:vAlign w:val="center"/>
          </w:tcPr>
          <w:p>
            <w:pPr>
              <w:pStyle w:val="TableContents"/>
              <w:bidi w:val="0"/>
              <w:spacing w:before="0" w:after="283"/>
              <w:jc w:val="both"/>
              <w:rPr>
                <w:sz w:val="20"/>
              </w:rPr>
            </w:pPr>
            <w:r>
              <w:rPr>
                <w:sz w:val="20"/>
              </w:rPr>
              <w:t>a notice dated 11 April 2024 from Snita to the Company and the Depositary electing to effect the Snita Redesignation;</w:t>
            </w:r>
          </w:p>
        </w:tc>
      </w:tr>
    </w:tbl>
    <w:p>
      <w:pPr>
        <w:pStyle w:val="TextBody"/>
        <w:bidi w:val="0"/>
        <w:spacing w:before="0" w:after="0"/>
        <w:ind w:left="0" w:right="0" w:hanging="0"/>
        <w:jc w:val="left"/>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20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(i)</w:t>
            </w:r>
          </w:p>
        </w:tc>
        <w:tc>
          <w:tcPr>
            <w:tcW w:w="8885" w:type="dxa"/>
            <w:tcBorders/>
            <w:vAlign w:val="center"/>
          </w:tcPr>
          <w:p>
            <w:pPr>
              <w:pStyle w:val="TableContents"/>
              <w:bidi w:val="0"/>
              <w:spacing w:before="0" w:after="283"/>
              <w:jc w:val="both"/>
              <w:rPr>
                <w:sz w:val="20"/>
              </w:rPr>
            </w:pPr>
            <w:r>
              <w:rPr>
                <w:sz w:val="20"/>
              </w:rPr>
              <w:t>a copy of the register of members of the Company as at 25 September 2026 (the “</w:t>
            </w:r>
            <w:r>
              <w:rPr>
                <w:b/>
                <w:sz w:val="20"/>
              </w:rPr>
              <w:t>Register of Members</w:t>
            </w:r>
            <w:r>
              <w:rPr>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200"/>
        <w:gridCol w:w="95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(j)</w:t>
            </w:r>
          </w:p>
        </w:tc>
        <w:tc>
          <w:tcPr>
            <w:tcW w:w="9545" w:type="dxa"/>
            <w:tcBorders/>
            <w:vAlign w:val="center"/>
          </w:tcPr>
          <w:p>
            <w:pPr>
              <w:pStyle w:val="TableContents"/>
              <w:bidi w:val="0"/>
              <w:spacing w:before="0" w:after="283"/>
              <w:jc w:val="both"/>
              <w:rPr>
                <w:sz w:val="20"/>
              </w:rPr>
            </w:pPr>
            <w:r>
              <w:rPr>
                <w:sz w:val="20"/>
              </w:rPr>
              <w:t>a copy of the officers’ certificate of the Company dated on the date of this opinion addressed to us (the “</w:t>
            </w:r>
            <w:r>
              <w:rPr>
                <w:b/>
                <w:sz w:val="20"/>
              </w:rPr>
              <w:t>Certificate</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at paragraphs 1.1(a) to 1.1(b) above being the “</w:t>
      </w:r>
      <w:r>
        <w:rPr>
          <w:rFonts w:ascii="Times New Roman;Times;Serif" w:hAnsi="Times New Roman;Times;Serif"/>
          <w:b/>
          <w:i w:val="false"/>
          <w:caps w:val="false"/>
          <w:smallCaps w:val="false"/>
          <w:sz w:val="20"/>
        </w:rPr>
        <w:t>Relevant Documents</w:t>
      </w:r>
      <w:r>
        <w:rPr>
          <w:rFonts w:ascii="Times New Roman;Times;Serif" w:hAnsi="Times New Roman;Times;Serif"/>
          <w:b w:val="false"/>
          <w:i w:val="false"/>
          <w:caps w:val="false"/>
          <w:smallCaps w:val="false"/>
          <w:sz w:val="20"/>
        </w:rPr>
        <w:t>” and the documents at paragraphs 1.2(a) to 1.2(j) above being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We have not reviewed or examined any other documents, or made any other enquiry, in connection with the giving of this opinion. We have assumed that the Documents and the Relevant Documents are in full force and effect without any amendment (however described) and contain all the relevant information which is material for the purposes of the opinion set out in paragraph 4 and that there is no other document, agreement, instrument, undertaking, obligation, representation or warranty (oral or written) and no other arrangement (whether legally binding or not) made by or between all or any of the relevant parties or any other matter which renders such information inaccurate, incomplete or misleading or which affects the conclusions stated in this opinion.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1.3</w:t>
            </w:r>
          </w:p>
        </w:tc>
        <w:tc>
          <w:tcPr>
            <w:tcW w:w="9892" w:type="dxa"/>
            <w:tcBorders/>
            <w:vAlign w:val="center"/>
          </w:tcPr>
          <w:p>
            <w:pPr>
              <w:pStyle w:val="TableContents"/>
              <w:bidi w:val="0"/>
              <w:spacing w:before="0" w:after="283"/>
              <w:jc w:val="both"/>
              <w:rPr>
                <w:sz w:val="20"/>
              </w:rPr>
            </w:pPr>
            <w:r>
              <w:rPr>
                <w:sz w:val="20"/>
              </w:rPr>
              <w:t>Using the name of the Company as it appears in this opinion, the searches described in paragraphs 1.4 and 1.5 below have been undertaken. We have not carried out any other searches or enquiries.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1.4</w:t>
            </w:r>
          </w:p>
        </w:tc>
        <w:tc>
          <w:tcPr>
            <w:tcW w:w="9892" w:type="dxa"/>
            <w:tcBorders/>
            <w:vAlign w:val="center"/>
          </w:tcPr>
          <w:p>
            <w:pPr>
              <w:pStyle w:val="TableContents"/>
              <w:bidi w:val="0"/>
              <w:spacing w:before="0" w:after="283"/>
              <w:jc w:val="both"/>
              <w:rPr>
                <w:sz w:val="20"/>
              </w:rPr>
            </w:pPr>
            <w:r>
              <w:rPr>
                <w:sz w:val="20"/>
              </w:rPr>
              <w:t>At approximately 10:14am (UK time) today, we (by telephone or by using services provided by Dye &amp; Durham (UK) Limited) made a search of the winding up register and the administration register of the Central Registry of Winding Up Petitions at the Companies Court in London (“</w:t>
            </w:r>
            <w:r>
              <w:rPr>
                <w:b/>
                <w:sz w:val="20"/>
              </w:rPr>
              <w:t>Central Registry Search</w:t>
            </w:r>
            <w:r>
              <w:rPr>
                <w:sz w:val="20"/>
              </w:rPr>
              <w:t>”). This search did not reveal that any winding-up petition had been presented or winding-up order made against the Company in England. Nor did the search reveal that a notice of intention to appoint an administrator, a notice of appointment of an administrator, an administration order or an application for the making of an administration order had been filed at the High Court of Justice in London in respect of the Company. In this regard, please note our qualifications in paragraph 5(g).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1.5</w:t>
            </w:r>
          </w:p>
        </w:tc>
        <w:tc>
          <w:tcPr>
            <w:tcW w:w="9892" w:type="dxa"/>
            <w:tcBorders/>
            <w:vAlign w:val="center"/>
          </w:tcPr>
          <w:p>
            <w:pPr>
              <w:pStyle w:val="TableContents"/>
              <w:bidi w:val="0"/>
              <w:spacing w:before="0" w:after="283"/>
              <w:jc w:val="both"/>
              <w:rPr>
                <w:sz w:val="20"/>
              </w:rPr>
            </w:pPr>
            <w:r>
              <w:rPr>
                <w:sz w:val="20"/>
              </w:rPr>
              <w:t>At approximately 10:14am (UK time) today, we carried out a search of the Company’s insolvency files at Companies House (the “</w:t>
            </w:r>
            <w:r>
              <w:rPr>
                <w:b/>
                <w:sz w:val="20"/>
              </w:rPr>
              <w:t>Companies Registry Search</w:t>
            </w:r>
            <w:r>
              <w:rPr>
                <w:sz w:val="20"/>
              </w:rPr>
              <w:t>”, together with the Central Registry Search, the “</w:t>
            </w:r>
            <w:r>
              <w:rPr>
                <w:b/>
                <w:sz w:val="20"/>
              </w:rPr>
              <w:t>Searches</w:t>
            </w:r>
            <w:r>
              <w:rPr>
                <w:sz w:val="20"/>
              </w:rPr>
              <w:t>”). The Companies Registry Search did not reveal that any order or resolution for the winding-up of the Company has been made, nor that any administration order has been made in respect of the Company, nor that any administrator, receiver, administrative receiver or liquidator has been appointed. In this regard, please note our qualifications in paragraph 5(f).</w:t>
            </w:r>
          </w:p>
        </w:tc>
      </w:tr>
    </w:tbl>
    <w:p>
      <w:pPr>
        <w:pStyle w:val="TextBody"/>
        <w:bidi w:val="0"/>
        <w:spacing w:before="0" w:after="0"/>
        <w:ind w:left="0" w:right="0" w:hanging="0"/>
        <w:jc w:val="left"/>
        <w:rPr>
          <w:caps w:val="false"/>
          <w:smallCaps w:val="false"/>
        </w:rPr>
      </w:pPr>
      <w:r>
        <w:rPr>
          <w:caps w:val="false"/>
          <w:smallCaps w:val="false"/>
        </w:rPr>
        <w:t> </w:t>
      </w:r>
    </w:p>
    <w:tbl>
      <w:tblPr>
        <w:tblW w:w="888" w:type="dxa"/>
        <w:jc w:val="left"/>
        <w:tblInd w:w="0" w:type="dxa"/>
        <w:tblLayout w:type="fixed"/>
        <w:tblCellMar>
          <w:top w:w="0" w:type="dxa"/>
          <w:left w:w="0" w:type="dxa"/>
          <w:bottom w:w="0" w:type="dxa"/>
          <w:right w:w="0" w:type="dxa"/>
        </w:tblCellMar>
      </w:tblPr>
      <w:tblGrid>
        <w:gridCol w:w="38"/>
        <w:gridCol w:w="170"/>
        <w:gridCol w:w="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caps/>
                <w:sz w:val="20"/>
              </w:rPr>
            </w:pPr>
            <w:r>
              <w:rPr>
                <w:b/>
                <w:caps/>
                <w:sz w:val="20"/>
              </w:rPr>
              <w:t>2.</w:t>
            </w:r>
          </w:p>
        </w:tc>
        <w:tc>
          <w:tcPr>
            <w:tcW w:w="680" w:type="dxa"/>
            <w:tcBorders/>
            <w:vAlign w:val="center"/>
          </w:tcPr>
          <w:p>
            <w:pPr>
              <w:pStyle w:val="TableContents"/>
              <w:bidi w:val="0"/>
              <w:spacing w:before="0" w:after="283"/>
              <w:jc w:val="both"/>
              <w:rPr>
                <w:b/>
                <w:sz w:val="20"/>
              </w:rPr>
            </w:pPr>
            <w:r>
              <w:rPr>
                <w:b/>
                <w:sz w:val="20"/>
              </w:rPr>
              <w:t>SCOPE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(a)</w:t>
            </w:r>
          </w:p>
        </w:tc>
        <w:tc>
          <w:tcPr>
            <w:tcW w:w="9982" w:type="dxa"/>
            <w:tcBorders/>
            <w:vAlign w:val="center"/>
          </w:tcPr>
          <w:p>
            <w:pPr>
              <w:pStyle w:val="TableContents"/>
              <w:bidi w:val="0"/>
              <w:spacing w:before="0" w:after="283"/>
              <w:jc w:val="both"/>
              <w:rPr>
                <w:sz w:val="20"/>
              </w:rPr>
            </w:pPr>
            <w:r>
              <w:rPr>
                <w:sz w:val="20"/>
              </w:rPr>
              <w:t>This opinion is confined to matters of English law as in force and as interpreted at the date of this opinion and is given solely in connection with the Registration Statement. We have no obligation or duty to (i) advise you of any changes in any such laws or interpretation which may arise and/or take place after the date of this opinion and/or (ii) update this opinion by reference to any such changes. We express no opinion on matters of fact.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20"/>
              </w:rPr>
            </w:pPr>
            <w:r>
              <w:rPr>
                <w:sz w:val="20"/>
              </w:rPr>
              <w:t>(b)</w:t>
            </w:r>
          </w:p>
        </w:tc>
        <w:tc>
          <w:tcPr>
            <w:tcW w:w="9966" w:type="dxa"/>
            <w:tcBorders/>
            <w:vAlign w:val="center"/>
          </w:tcPr>
          <w:p>
            <w:pPr>
              <w:pStyle w:val="TableContents"/>
              <w:bidi w:val="0"/>
              <w:spacing w:before="0" w:after="283"/>
              <w:jc w:val="both"/>
              <w:rPr>
                <w:sz w:val="20"/>
              </w:rPr>
            </w:pPr>
            <w:r>
              <w:rPr>
                <w:sz w:val="20"/>
              </w:rPr>
              <w:t>We are not qualified to, and we do not, express an opinion on the laws of any other jurisdiction including, without limitation, the State of New York and we have not investigated the laws of any other country other than England. To the extent that the laws of New York may be relevant, we have made no independent investigation thereof and our opinion as to English law is subject to the effect of such laws.</w:t>
            </w:r>
          </w:p>
        </w:tc>
      </w:tr>
    </w:tbl>
    <w:p>
      <w:pPr>
        <w:pStyle w:val="TextBody"/>
        <w:bidi w:val="0"/>
        <w:spacing w:before="0" w:after="0"/>
        <w:ind w:left="0" w:right="0" w:hanging="0"/>
        <w:jc w:val="left"/>
        <w:rPr>
          <w:caps w:val="false"/>
          <w:smallCaps w:val="false"/>
        </w:rPr>
      </w:pPr>
      <w:r>
        <w:rPr>
          <w:caps w:val="false"/>
          <w:smallCaps w:val="false"/>
        </w:rPr>
        <w:t> </w:t>
      </w:r>
    </w:p>
    <w:tbl>
      <w:tblPr>
        <w:tblW w:w="8448" w:type="dxa"/>
        <w:jc w:val="left"/>
        <w:tblInd w:w="0" w:type="dxa"/>
        <w:tblLayout w:type="fixed"/>
        <w:tblCellMar>
          <w:top w:w="0" w:type="dxa"/>
          <w:left w:w="0" w:type="dxa"/>
          <w:bottom w:w="0" w:type="dxa"/>
          <w:right w:w="0" w:type="dxa"/>
        </w:tblCellMar>
      </w:tblPr>
      <w:tblGrid>
        <w:gridCol w:w="38"/>
        <w:gridCol w:w="23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(c)</w:t>
            </w:r>
          </w:p>
        </w:tc>
        <w:tc>
          <w:tcPr>
            <w:tcW w:w="8180" w:type="dxa"/>
            <w:tcBorders/>
            <w:vAlign w:val="center"/>
          </w:tcPr>
          <w:p>
            <w:pPr>
              <w:pStyle w:val="TableContents"/>
              <w:bidi w:val="0"/>
              <w:spacing w:before="0" w:after="283"/>
              <w:jc w:val="both"/>
              <w:rPr>
                <w:sz w:val="20"/>
              </w:rPr>
            </w:pPr>
            <w:r>
              <w:rPr>
                <w:sz w:val="20"/>
              </w:rPr>
              <w:t>No opinion is expressed with respect to taxation in the United Kingdom or otherwise in this opinion.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20"/>
              </w:rPr>
            </w:pPr>
            <w:r>
              <w:rPr>
                <w:sz w:val="20"/>
              </w:rPr>
              <w:t>(d)</w:t>
            </w:r>
          </w:p>
        </w:tc>
        <w:tc>
          <w:tcPr>
            <w:tcW w:w="9957" w:type="dxa"/>
            <w:tcBorders/>
            <w:vAlign w:val="center"/>
          </w:tcPr>
          <w:p>
            <w:pPr>
              <w:pStyle w:val="TableContents"/>
              <w:bidi w:val="0"/>
              <w:spacing w:before="0" w:after="283"/>
              <w:jc w:val="both"/>
              <w:rPr>
                <w:sz w:val="20"/>
              </w:rPr>
            </w:pPr>
            <w:r>
              <w:rPr>
                <w:sz w:val="20"/>
              </w:rPr>
              <w:t>We have not been responsible for investigating or verifying the accuracy of the facts or the reasonableness of any statement of opinion or intention, contained in or relevant to any document referred to in this opinion, or that no material facts have been omitted therefrom.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sz w:val="20"/>
              </w:rPr>
              <w:t>(e)</w:t>
            </w:r>
          </w:p>
        </w:tc>
        <w:tc>
          <w:tcPr>
            <w:tcW w:w="9971" w:type="dxa"/>
            <w:tcBorders/>
            <w:vAlign w:val="center"/>
          </w:tcPr>
          <w:p>
            <w:pPr>
              <w:pStyle w:val="TableContents"/>
              <w:bidi w:val="0"/>
              <w:spacing w:before="0" w:after="283"/>
              <w:jc w:val="both"/>
              <w:rPr>
                <w:sz w:val="20"/>
              </w:rPr>
            </w:pPr>
            <w:r>
              <w:rPr>
                <w:sz w:val="20"/>
              </w:rPr>
              <w:t>We have not been responsible for investigating or verifying the accuracy or effectiveness of any mathematical formulae or calculation, or the suitability of the form or content of any reports required to be prepared or delivered pursuant to the Relevant Documents.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20"/>
              </w:rPr>
            </w:pPr>
            <w:r>
              <w:rPr>
                <w:sz w:val="20"/>
              </w:rPr>
              <w:t>(f)</w:t>
            </w:r>
          </w:p>
        </w:tc>
        <w:tc>
          <w:tcPr>
            <w:tcW w:w="10005" w:type="dxa"/>
            <w:tcBorders/>
            <w:vAlign w:val="center"/>
          </w:tcPr>
          <w:p>
            <w:pPr>
              <w:pStyle w:val="TableContents"/>
              <w:bidi w:val="0"/>
              <w:spacing w:before="0" w:after="283"/>
              <w:jc w:val="both"/>
              <w:rPr>
                <w:sz w:val="20"/>
              </w:rPr>
            </w:pPr>
            <w:r>
              <w:rPr>
                <w:sz w:val="20"/>
              </w:rPr>
              <w:t>We have not been responsible for investigation or verification of statements of fact (including statements as to foreign law) or the reasonableness of any statements of opinion in the Registration Statement or any other document referred to in this opinion, or that no material facts have been omitted therefrom.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20"/>
              </w:rPr>
            </w:pPr>
            <w:r>
              <w:rPr>
                <w:sz w:val="20"/>
              </w:rPr>
              <w:t>(g)</w:t>
            </w:r>
          </w:p>
        </w:tc>
        <w:tc>
          <w:tcPr>
            <w:tcW w:w="9945" w:type="dxa"/>
            <w:tcBorders/>
            <w:vAlign w:val="center"/>
          </w:tcPr>
          <w:p>
            <w:pPr>
              <w:pStyle w:val="TableContents"/>
              <w:bidi w:val="0"/>
              <w:spacing w:before="0" w:after="283"/>
              <w:jc w:val="both"/>
              <w:rPr>
                <w:sz w:val="20"/>
              </w:rPr>
            </w:pPr>
            <w:r>
              <w:rPr>
                <w:sz w:val="20"/>
              </w:rPr>
              <w:t>Each provision in this opinion which has the effect of limiting the opinion set out in paragraph 4 is independent of any other such provision and is not to be read or implied as restricted by 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20"/>
              </w:rPr>
            </w:pPr>
            <w:r>
              <w:rPr>
                <w:sz w:val="20"/>
              </w:rPr>
              <w:t>(h)</w:t>
            </w:r>
          </w:p>
        </w:tc>
        <w:tc>
          <w:tcPr>
            <w:tcW w:w="9942" w:type="dxa"/>
            <w:tcBorders/>
            <w:vAlign w:val="center"/>
          </w:tcPr>
          <w:p>
            <w:pPr>
              <w:pStyle w:val="TableContents"/>
              <w:bidi w:val="0"/>
              <w:spacing w:before="0" w:after="283"/>
              <w:jc w:val="both"/>
              <w:rPr>
                <w:sz w:val="20"/>
              </w:rPr>
            </w:pPr>
            <w:r>
              <w:rPr>
                <w:sz w:val="20"/>
              </w:rPr>
              <w:t>This opinion is given by Alston &amp; Bird (City), LLP and no partner, member or employee assumes any personal responsibility for it nor shall owe any duty of care in respect of 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17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caps/>
                <w:sz w:val="20"/>
              </w:rPr>
            </w:pPr>
            <w:r>
              <w:rPr>
                <w:b/>
                <w:caps/>
                <w:sz w:val="20"/>
              </w:rPr>
              <w:t>3.</w:t>
            </w:r>
          </w:p>
        </w:tc>
        <w:tc>
          <w:tcPr>
            <w:tcW w:w="1415" w:type="dxa"/>
            <w:tcBorders/>
            <w:vAlign w:val="center"/>
          </w:tcPr>
          <w:p>
            <w:pPr>
              <w:pStyle w:val="TableContents"/>
              <w:bidi w:val="0"/>
              <w:spacing w:before="0" w:after="283"/>
              <w:jc w:val="both"/>
              <w:rPr>
                <w:b/>
                <w:sz w:val="20"/>
              </w:rPr>
            </w:pPr>
            <w:r>
              <w:rPr>
                <w:b/>
                <w:sz w:val="20"/>
              </w:rPr>
              <w:t>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assumed without investigation or enquiry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20"/>
              </w:rPr>
            </w:pPr>
            <w:r>
              <w:rPr>
                <w:sz w:val="20"/>
              </w:rPr>
              <w:t>(a)</w:t>
            </w:r>
          </w:p>
        </w:tc>
        <w:tc>
          <w:tcPr>
            <w:tcW w:w="9938" w:type="dxa"/>
            <w:tcBorders/>
            <w:vAlign w:val="center"/>
          </w:tcPr>
          <w:p>
            <w:pPr>
              <w:pStyle w:val="TableContents"/>
              <w:bidi w:val="0"/>
              <w:spacing w:before="0" w:after="283"/>
              <w:jc w:val="both"/>
              <w:rPr>
                <w:sz w:val="20"/>
              </w:rPr>
            </w:pPr>
            <w:r>
              <w:rPr>
                <w:sz w:val="20"/>
              </w:rPr>
              <w:t>where any document or agreement is reviewed or examined by us in draft form, it has been executed in the form of that draft;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20"/>
              </w:rPr>
            </w:pPr>
            <w:r>
              <w:rPr>
                <w:sz w:val="20"/>
              </w:rPr>
              <w:t>(b)</w:t>
            </w:r>
          </w:p>
        </w:tc>
        <w:tc>
          <w:tcPr>
            <w:tcW w:w="9942" w:type="dxa"/>
            <w:tcBorders/>
            <w:vAlign w:val="center"/>
          </w:tcPr>
          <w:p>
            <w:pPr>
              <w:pStyle w:val="TableContents"/>
              <w:bidi w:val="0"/>
              <w:spacing w:before="0" w:after="283"/>
              <w:jc w:val="both"/>
              <w:rPr>
                <w:sz w:val="20"/>
              </w:rPr>
            </w:pPr>
            <w:r>
              <w:rPr>
                <w:sz w:val="20"/>
              </w:rPr>
              <w:t>each of the individuals who signs as, or otherwise claims to be, an officer of the Company is the individual whom they claim to be and holds the office that they claim to hold;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20"/>
              </w:rPr>
            </w:pPr>
            <w:r>
              <w:rPr>
                <w:sz w:val="20"/>
              </w:rPr>
              <w:t>(c)</w:t>
            </w:r>
          </w:p>
        </w:tc>
        <w:tc>
          <w:tcPr>
            <w:tcW w:w="9948" w:type="dxa"/>
            <w:tcBorders/>
            <w:vAlign w:val="center"/>
          </w:tcPr>
          <w:p>
            <w:pPr>
              <w:pStyle w:val="TableContents"/>
              <w:bidi w:val="0"/>
              <w:spacing w:before="0" w:after="283"/>
              <w:jc w:val="both"/>
              <w:rPr>
                <w:sz w:val="20"/>
              </w:rPr>
            </w:pPr>
            <w:r>
              <w:rPr>
                <w:sz w:val="20"/>
              </w:rPr>
              <w:t>where a document is required to be delivered, each party to it has delivered the same without it being subject to any escrow or similar arrangement;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20"/>
              </w:rPr>
            </w:pPr>
            <w:r>
              <w:rPr>
                <w:sz w:val="20"/>
              </w:rPr>
              <w:t>(d)</w:t>
            </w:r>
          </w:p>
        </w:tc>
        <w:tc>
          <w:tcPr>
            <w:tcW w:w="9958" w:type="dxa"/>
            <w:tcBorders/>
            <w:vAlign w:val="center"/>
          </w:tcPr>
          <w:p>
            <w:pPr>
              <w:pStyle w:val="TableContents"/>
              <w:bidi w:val="0"/>
              <w:spacing w:before="0" w:after="283"/>
              <w:jc w:val="both"/>
              <w:rPr>
                <w:sz w:val="20"/>
              </w:rPr>
            </w:pPr>
            <w:r>
              <w:rPr>
                <w:sz w:val="20"/>
              </w:rPr>
              <w:t>to the extent that the ability of the Company or of its directors to enter into or perform the Relevant Documents requires the determination of a matter of fact (such as whether a limit on borrowing, guaranteeing or securing has been exceeded), that requirement has been complied 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20"/>
              </w:rPr>
            </w:pPr>
            <w:r>
              <w:rPr>
                <w:sz w:val="20"/>
              </w:rPr>
              <w:t>(e)</w:t>
            </w:r>
          </w:p>
        </w:tc>
        <w:tc>
          <w:tcPr>
            <w:tcW w:w="9985" w:type="dxa"/>
            <w:tcBorders/>
            <w:vAlign w:val="center"/>
          </w:tcPr>
          <w:p>
            <w:pPr>
              <w:pStyle w:val="TableContents"/>
              <w:bidi w:val="0"/>
              <w:spacing w:before="0" w:after="283"/>
              <w:jc w:val="both"/>
              <w:rPr>
                <w:sz w:val="20"/>
              </w:rPr>
            </w:pPr>
            <w:r>
              <w:rPr>
                <w:sz w:val="20"/>
              </w:rPr>
              <w:t>neither (i) the Company nor (ii) any person (other than the Company) party to, or which is a beneficiary under the Relevant Documents (a “</w:t>
            </w:r>
            <w:r>
              <w:rPr>
                <w:b/>
                <w:sz w:val="20"/>
              </w:rPr>
              <w:t>Transaction Party</w:t>
            </w:r>
            <w:r>
              <w:rPr>
                <w:sz w:val="20"/>
              </w:rPr>
              <w:t>”) had actual, constructive or implied notice of any prohibition or restriction on any other Transaction Party entering into (or authorising the entry into of) the Relevant Documents or performing its obligations thereunder (nor did any such Transaction Party deliberately refrain from making enquiries in circumstances where it had any suspicion of such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20"/>
              </w:rPr>
            </w:pPr>
            <w:r>
              <w:rPr>
                <w:sz w:val="20"/>
              </w:rPr>
              <w:t>(f)</w:t>
            </w:r>
          </w:p>
        </w:tc>
        <w:tc>
          <w:tcPr>
            <w:tcW w:w="10002" w:type="dxa"/>
            <w:tcBorders/>
            <w:vAlign w:val="center"/>
          </w:tcPr>
          <w:p>
            <w:pPr>
              <w:pStyle w:val="TableContents"/>
              <w:bidi w:val="0"/>
              <w:spacing w:before="0" w:after="283"/>
              <w:jc w:val="both"/>
              <w:rPr>
                <w:sz w:val="20"/>
              </w:rPr>
            </w:pPr>
            <w:r>
              <w:rPr>
                <w:sz w:val="20"/>
              </w:rPr>
              <w:t>the execution, delivery, issue and performance of the Relevant Documents will not result in any event of default (however described) under, or a breach of, any instrument, agreement or obligation to which the Company is a party or to which it is subject, as the case may 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20"/>
              </w:rPr>
            </w:pPr>
            <w:r>
              <w:rPr>
                <w:sz w:val="20"/>
              </w:rPr>
              <w:t>(g)</w:t>
            </w:r>
          </w:p>
        </w:tc>
        <w:tc>
          <w:tcPr>
            <w:tcW w:w="9974" w:type="dxa"/>
            <w:tcBorders/>
            <w:vAlign w:val="center"/>
          </w:tcPr>
          <w:p>
            <w:pPr>
              <w:pStyle w:val="TableContents"/>
              <w:bidi w:val="0"/>
              <w:spacing w:before="0" w:after="283"/>
              <w:jc w:val="both"/>
              <w:rPr>
                <w:sz w:val="20"/>
              </w:rPr>
            </w:pPr>
            <w:r>
              <w:rPr>
                <w:sz w:val="20"/>
              </w:rPr>
              <w:t>where a person executing a Relevant Document or Document (as the case may be) has used the DocuSign platform (or any other electronic signature platform) to execute such Relevant Document or Document (as the case may be), the relevant individual signing on behalf of that party has executed the relevant Document or Relevant Document (as the case may be) to which it is expressed to be a party by application of that individual’s electronic signature within the DocuSign platform (or other electronic signature platform) and that individual’s signature was applied using a method that identifies the individual who provided the signature and indicates that individual’s approval of the relevant Document or Relevant Document (as the case may 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sz w:val="20"/>
              </w:rPr>
              <w:t>(h)</w:t>
            </w:r>
          </w:p>
        </w:tc>
        <w:tc>
          <w:tcPr>
            <w:tcW w:w="9971" w:type="dxa"/>
            <w:tcBorders/>
            <w:vAlign w:val="center"/>
          </w:tcPr>
          <w:p>
            <w:pPr>
              <w:pStyle w:val="TableContents"/>
              <w:bidi w:val="0"/>
              <w:spacing w:before="0" w:after="283"/>
              <w:jc w:val="both"/>
              <w:rPr>
                <w:sz w:val="20"/>
              </w:rPr>
            </w:pPr>
            <w:r>
              <w:rPr>
                <w:sz w:val="20"/>
              </w:rPr>
              <w:t>all documents submitted to us as originals or copies are authentic and complete, all signatures, stamps and seals are genuine and were applied to a complete and final version of the relevant document, all signatures which purport to have been attested were made in the presence of the purported witness, all factual statements contained in those documents (including any factual matter represented by a party to a document) are correct, complete and fair and all copies conform to the original documents, and a copy includes any fax copy, any portable document format copy and any other electronic or other copy;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20"/>
              </w:rPr>
            </w:pPr>
            <w:r>
              <w:rPr>
                <w:sz w:val="20"/>
              </w:rPr>
              <w:t>(i)</w:t>
            </w:r>
          </w:p>
        </w:tc>
        <w:tc>
          <w:tcPr>
            <w:tcW w:w="10010" w:type="dxa"/>
            <w:tcBorders/>
            <w:vAlign w:val="center"/>
          </w:tcPr>
          <w:p>
            <w:pPr>
              <w:pStyle w:val="TableContents"/>
              <w:bidi w:val="0"/>
              <w:spacing w:before="0" w:after="283"/>
              <w:jc w:val="both"/>
              <w:rPr>
                <w:sz w:val="20"/>
              </w:rPr>
            </w:pPr>
            <w:r>
              <w:rPr>
                <w:sz w:val="20"/>
              </w:rPr>
              <w:t>the Relevant Documents set out the entire understanding of the relevant Transaction Parties and there are no agreements, arrangements, understandings, instruments or other documents (or any course of dealings between the relevant Transaction Parties) which modify, supersede or waive any provision of any of the Relevant Documents (other than as set out in the Relevant Documents);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20"/>
              </w:rPr>
            </w:pPr>
            <w:r>
              <w:rPr>
                <w:sz w:val="20"/>
              </w:rPr>
              <w:t>(j)</w:t>
            </w:r>
          </w:p>
        </w:tc>
        <w:tc>
          <w:tcPr>
            <w:tcW w:w="10006" w:type="dxa"/>
            <w:tcBorders/>
            <w:vAlign w:val="center"/>
          </w:tcPr>
          <w:p>
            <w:pPr>
              <w:pStyle w:val="TableContents"/>
              <w:bidi w:val="0"/>
              <w:spacing w:before="0" w:after="283"/>
              <w:jc w:val="both"/>
              <w:rPr>
                <w:sz w:val="20"/>
              </w:rPr>
            </w:pPr>
            <w:r>
              <w:rPr>
                <w:sz w:val="20"/>
              </w:rPr>
              <w:t>all documents, forms and notices which should have been delivered to Companies House in respect of the Company have been and will be so delivered and the file of records maintained at Companies House concerning it, and reproduced for public inspection, was complete, accurate and up to date at the time of the Searches;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20"/>
              </w:rPr>
            </w:pPr>
            <w:r>
              <w:rPr>
                <w:sz w:val="20"/>
              </w:rPr>
              <w:t>(k)</w:t>
            </w:r>
          </w:p>
        </w:tc>
        <w:tc>
          <w:tcPr>
            <w:tcW w:w="9968" w:type="dxa"/>
            <w:tcBorders/>
            <w:vAlign w:val="center"/>
          </w:tcPr>
          <w:p>
            <w:pPr>
              <w:pStyle w:val="TableContents"/>
              <w:bidi w:val="0"/>
              <w:spacing w:before="0" w:after="283"/>
              <w:jc w:val="both"/>
              <w:rPr>
                <w:sz w:val="20"/>
              </w:rPr>
            </w:pPr>
            <w:r>
              <w:rPr>
                <w:sz w:val="20"/>
              </w:rPr>
              <w:t>the Companies Registry Search revealed all matters required by law to be notified to Companies House and the information revealed is complete and accurate as of the date of the Companies Registry Search, there has been no alteration in the status, position or condition of the Company from that revealed in the Companies Registry Search and further searches would not have revealed additional or different matters that could have affected the opinion contained in this opinion;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20"/>
              </w:rPr>
            </w:pPr>
            <w:r>
              <w:rPr>
                <w:sz w:val="20"/>
              </w:rPr>
              <w:t>(l)</w:t>
            </w:r>
          </w:p>
        </w:tc>
        <w:tc>
          <w:tcPr>
            <w:tcW w:w="10009" w:type="dxa"/>
            <w:tcBorders/>
            <w:vAlign w:val="center"/>
          </w:tcPr>
          <w:p>
            <w:pPr>
              <w:pStyle w:val="TableContents"/>
              <w:bidi w:val="0"/>
              <w:spacing w:before="0" w:after="283"/>
              <w:jc w:val="both"/>
              <w:rPr>
                <w:sz w:val="20"/>
              </w:rPr>
            </w:pPr>
            <w:r>
              <w:rPr>
                <w:sz w:val="20"/>
              </w:rPr>
              <w:t>the information revealed by the Central Registry Search is complete and accurate as of the date of such search, there has been no alteration in the status, position or condition of the Company from that revealed in the Central Registry Search and further searches would not have revealed additional or different matters that could have affected the opinion contained in this opinion;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20"/>
              </w:rPr>
            </w:pPr>
            <w:r>
              <w:rPr>
                <w:sz w:val="20"/>
              </w:rPr>
              <w:t>(m)</w:t>
            </w:r>
          </w:p>
        </w:tc>
        <w:tc>
          <w:tcPr>
            <w:tcW w:w="9915" w:type="dxa"/>
            <w:tcBorders/>
            <w:vAlign w:val="center"/>
          </w:tcPr>
          <w:p>
            <w:pPr>
              <w:pStyle w:val="TableContents"/>
              <w:bidi w:val="0"/>
              <w:spacing w:before="0" w:after="283"/>
              <w:jc w:val="both"/>
              <w:rPr>
                <w:sz w:val="20"/>
              </w:rPr>
            </w:pPr>
            <w:r>
              <w:rPr>
                <w:sz w:val="20"/>
              </w:rPr>
              <w:t>the contents of the Certificate and all certifications, facts, statements and confirmations contained therein were true when given and remain true, complete and up to date and there is no matter not referred to in the Certificate which would make any of the information in the Certificate incorrect or misleading;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20"/>
              </w:rPr>
            </w:pPr>
            <w:r>
              <w:rPr>
                <w:sz w:val="20"/>
              </w:rPr>
              <w:t>(n)</w:t>
            </w:r>
          </w:p>
        </w:tc>
        <w:tc>
          <w:tcPr>
            <w:tcW w:w="9972" w:type="dxa"/>
            <w:tcBorders/>
            <w:vAlign w:val="center"/>
          </w:tcPr>
          <w:p>
            <w:pPr>
              <w:pStyle w:val="TableContents"/>
              <w:bidi w:val="0"/>
              <w:spacing w:before="0" w:after="283"/>
              <w:jc w:val="both"/>
              <w:rPr>
                <w:sz w:val="20"/>
              </w:rPr>
            </w:pPr>
            <w:r>
              <w:rPr>
                <w:sz w:val="20"/>
              </w:rPr>
              <w:t>the Articles remain in full force and effect and no alteration has been made or will be made to the Articles as at the date of this opinion, and the provisions of the Articles relating to (i) the allotment and issue of shares (including Class B Shares), (ii) the redesignation and conversion of Class B Shares into Class A Shares pursuant to articles 12.4 and 12.5 of the Articles, and (iii) the disapplication of statutory pre-emption rights, were in all material respects in the same form as at the date of the 2022 Issuance, the Snita Redesignation and the 2025 Issuance (respectively) as they are at the date of this opinion;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20"/>
              </w:rPr>
            </w:pPr>
            <w:r>
              <w:rPr>
                <w:sz w:val="20"/>
              </w:rPr>
              <w:t>(o)</w:t>
            </w:r>
          </w:p>
        </w:tc>
        <w:tc>
          <w:tcPr>
            <w:tcW w:w="9975" w:type="dxa"/>
            <w:tcBorders/>
            <w:vAlign w:val="center"/>
          </w:tcPr>
          <w:p>
            <w:pPr>
              <w:pStyle w:val="TableContents"/>
              <w:bidi w:val="0"/>
              <w:spacing w:before="0" w:after="283"/>
              <w:jc w:val="both"/>
              <w:rPr>
                <w:sz w:val="20"/>
              </w:rPr>
            </w:pPr>
            <w:r>
              <w:rPr>
                <w:sz w:val="20"/>
              </w:rPr>
              <w:t>to the extent that the obligations of the Company under the Relevant Documents may be dependent upon such matters, each of the relevant Transaction Parties to the Relevant Documents: (i) is duly incorporated or established and validly existing under the jurisdiction of its incorporation or establishment; (ii) had, at the time of entry into each Relevant Document, the capacity, power and authority to enter into and to exercise its rights and perform its obligations under such Relevant Document; and (iii) has taken all actions and obtained all necessary consents required to authorise the execution, delivery and performance of the Relevant Document to which it is a party and that such Transaction Party has duly authorised, executed and delivered such Relevant Documents in accordance with such authorisations and all other applicable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20"/>
              </w:rPr>
            </w:pPr>
            <w:r>
              <w:rPr>
                <w:sz w:val="20"/>
              </w:rPr>
              <w:t>(p)</w:t>
            </w:r>
          </w:p>
        </w:tc>
        <w:tc>
          <w:tcPr>
            <w:tcW w:w="9926" w:type="dxa"/>
            <w:tcBorders/>
            <w:vAlign w:val="center"/>
          </w:tcPr>
          <w:p>
            <w:pPr>
              <w:pStyle w:val="TableContents"/>
              <w:bidi w:val="0"/>
              <w:spacing w:before="0" w:after="283"/>
              <w:jc w:val="both"/>
              <w:rPr>
                <w:sz w:val="20"/>
              </w:rPr>
            </w:pPr>
            <w:r>
              <w:rPr>
                <w:sz w:val="20"/>
              </w:rPr>
              <w:t>each Relevant Document has been executed in its full form by the relevant signatories of the relevant Transaction Parties thereto;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(q)</w:t>
            </w:r>
          </w:p>
        </w:tc>
        <w:tc>
          <w:tcPr>
            <w:tcW w:w="9967" w:type="dxa"/>
            <w:tcBorders/>
            <w:vAlign w:val="center"/>
          </w:tcPr>
          <w:p>
            <w:pPr>
              <w:pStyle w:val="TableContents"/>
              <w:bidi w:val="0"/>
              <w:spacing w:before="0" w:after="283"/>
              <w:jc w:val="both"/>
              <w:rPr>
                <w:sz w:val="20"/>
              </w:rPr>
            </w:pPr>
            <w:r>
              <w:rPr>
                <w:sz w:val="20"/>
              </w:rPr>
              <w:t>the Relevant Documents have been entered into, and will be carried out, by each Transaction Party thereto in good faith, are on bona fide arm's length commercial terms and have been entered into for bona fide commercial purposes and for full value and no Transaction Party entering into the Relevant Documents was influenced by any desire to produce in relation to any person the effect set out in section 239(4)(b) of the Insolvency Act 1986;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sz w:val="20"/>
              </w:rPr>
              <w:t>(r)</w:t>
            </w:r>
          </w:p>
        </w:tc>
        <w:tc>
          <w:tcPr>
            <w:tcW w:w="9971" w:type="dxa"/>
            <w:tcBorders/>
            <w:vAlign w:val="center"/>
          </w:tcPr>
          <w:p>
            <w:pPr>
              <w:pStyle w:val="TableContents"/>
              <w:bidi w:val="0"/>
              <w:spacing w:before="0" w:after="283"/>
              <w:jc w:val="both"/>
              <w:rPr>
                <w:sz w:val="20"/>
              </w:rPr>
            </w:pPr>
            <w:r>
              <w:rPr>
                <w:sz w:val="20"/>
              </w:rPr>
              <w:t>the entry into the Relevant Documents and performance of the obligations under the Relevant Documents is for a lawful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20"/>
              </w:rPr>
            </w:pPr>
            <w:r>
              <w:rPr>
                <w:sz w:val="20"/>
              </w:rPr>
              <w:t>(s)</w:t>
            </w:r>
          </w:p>
        </w:tc>
        <w:tc>
          <w:tcPr>
            <w:tcW w:w="9995" w:type="dxa"/>
            <w:tcBorders/>
            <w:vAlign w:val="center"/>
          </w:tcPr>
          <w:p>
            <w:pPr>
              <w:pStyle w:val="TableContents"/>
              <w:bidi w:val="0"/>
              <w:spacing w:before="0" w:after="283"/>
              <w:jc w:val="both"/>
              <w:rPr>
                <w:sz w:val="20"/>
              </w:rPr>
            </w:pPr>
            <w:r>
              <w:rPr>
                <w:sz w:val="20"/>
              </w:rPr>
              <w:t>all Transaction Parties to the Relevant Documents (and their respective directors, officers, employees, agents and advisers) are dealing in good faith and in the absence of fraud, coercion, duress, misrepresentation, mistake of fact or law, undue influence, breach of duty or breach of trust and there are no such matters which might affect the allotment and issue of the Class A Shares or the Class A ADSs;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20"/>
              </w:rPr>
            </w:pPr>
            <w:r>
              <w:rPr>
                <w:sz w:val="20"/>
              </w:rPr>
              <w:t>(t)</w:t>
            </w:r>
          </w:p>
        </w:tc>
        <w:tc>
          <w:tcPr>
            <w:tcW w:w="9976" w:type="dxa"/>
            <w:tcBorders/>
            <w:vAlign w:val="center"/>
          </w:tcPr>
          <w:p>
            <w:pPr>
              <w:pStyle w:val="TableContents"/>
              <w:bidi w:val="0"/>
              <w:spacing w:before="0" w:after="283"/>
              <w:jc w:val="both"/>
              <w:rPr>
                <w:sz w:val="20"/>
              </w:rPr>
            </w:pPr>
            <w:r>
              <w:rPr>
                <w:sz w:val="20"/>
              </w:rPr>
              <w:t>no Transaction Party held a belief that any Relevant Document was fundamentally different in substance or in kind from what it actually was;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20"/>
              </w:rPr>
            </w:pPr>
            <w:r>
              <w:rPr>
                <w:sz w:val="20"/>
              </w:rPr>
              <w:t>(u)</w:t>
            </w:r>
          </w:p>
        </w:tc>
        <w:tc>
          <w:tcPr>
            <w:tcW w:w="9957" w:type="dxa"/>
            <w:tcBorders/>
            <w:vAlign w:val="center"/>
          </w:tcPr>
          <w:p>
            <w:pPr>
              <w:pStyle w:val="TableContents"/>
              <w:bidi w:val="0"/>
              <w:spacing w:before="0" w:after="283"/>
              <w:jc w:val="both"/>
              <w:rPr>
                <w:sz w:val="20"/>
              </w:rPr>
            </w:pPr>
            <w:r>
              <w:rPr>
                <w:sz w:val="20"/>
              </w:rPr>
              <w:t>there has not been, nor did the 2025 Issuance, nor the issuance of the Snita Distribution Shares, cause a breach of, or default under the Relevant Documents or any instrument, agreement or obligation to which the Company is a party or to which it is subject, as the case may 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20"/>
              </w:rPr>
            </w:pPr>
            <w:r>
              <w:rPr>
                <w:sz w:val="20"/>
              </w:rPr>
              <w:t>(v)</w:t>
            </w:r>
          </w:p>
        </w:tc>
        <w:tc>
          <w:tcPr>
            <w:tcW w:w="9964" w:type="dxa"/>
            <w:tcBorders/>
            <w:vAlign w:val="center"/>
          </w:tcPr>
          <w:p>
            <w:pPr>
              <w:pStyle w:val="TableContents"/>
              <w:bidi w:val="0"/>
              <w:spacing w:before="0" w:after="283"/>
              <w:jc w:val="both"/>
              <w:rPr>
                <w:sz w:val="20"/>
              </w:rPr>
            </w:pPr>
            <w:r>
              <w:rPr>
                <w:sz w:val="20"/>
              </w:rPr>
              <w:t>the Transaction Parties to the Relevant Documents have complied (and will continue to comply) with all applicable anti-terrorism, anti-corruption, anti-money laundering, national security, sanctions and human rights laws and regulations, and performance and enforcement of each Relevant Document is, and will continue to be, consistent with all such laws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(w)</w:t>
            </w:r>
          </w:p>
        </w:tc>
        <w:tc>
          <w:tcPr>
            <w:tcW w:w="9937" w:type="dxa"/>
            <w:tcBorders/>
            <w:vAlign w:val="center"/>
          </w:tcPr>
          <w:p>
            <w:pPr>
              <w:pStyle w:val="TableContents"/>
              <w:bidi w:val="0"/>
              <w:spacing w:before="0" w:after="283"/>
              <w:jc w:val="both"/>
              <w:rPr>
                <w:sz w:val="20"/>
              </w:rPr>
            </w:pPr>
            <w:r>
              <w:rPr>
                <w:sz w:val="20"/>
              </w:rPr>
              <w:t>there are no provisions of the laws of any jurisdiction outside England which would be contravened by the execution, delivery or performance of the Relevant Documents and, in so far as any obligation under the Relevant Documents falls to be performed in any jurisdiction outside England, its performance will not be illegal or adversely affected by virtue of the laws (including public policy) or regulations of or applicable in that jurisdiction;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20"/>
              </w:rPr>
            </w:pPr>
            <w:r>
              <w:rPr>
                <w:sz w:val="20"/>
              </w:rPr>
              <w:t>(x)</w:t>
            </w:r>
          </w:p>
        </w:tc>
        <w:tc>
          <w:tcPr>
            <w:tcW w:w="9952" w:type="dxa"/>
            <w:tcBorders/>
            <w:vAlign w:val="center"/>
          </w:tcPr>
          <w:p>
            <w:pPr>
              <w:pStyle w:val="TableContents"/>
              <w:bidi w:val="0"/>
              <w:spacing w:before="0" w:after="283"/>
              <w:jc w:val="both"/>
              <w:rPr>
                <w:sz w:val="20"/>
              </w:rPr>
            </w:pPr>
            <w:r>
              <w:rPr>
                <w:sz w:val="20"/>
              </w:rPr>
              <w:t>no proceedings have been instituted or injunction granted against any Transaction Party to refrain it from enforcing any of its rights or from performing any of its obligations under any Relevant Document to which it is a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20"/>
              </w:rPr>
            </w:pPr>
            <w:r>
              <w:rPr>
                <w:sz w:val="20"/>
              </w:rPr>
              <w:t>(y)</w:t>
            </w:r>
          </w:p>
        </w:tc>
        <w:tc>
          <w:tcPr>
            <w:tcW w:w="9958" w:type="dxa"/>
            <w:tcBorders/>
            <w:vAlign w:val="center"/>
          </w:tcPr>
          <w:p>
            <w:pPr>
              <w:pStyle w:val="TableContents"/>
              <w:bidi w:val="0"/>
              <w:spacing w:before="0" w:after="283"/>
              <w:jc w:val="both"/>
              <w:rPr>
                <w:sz w:val="20"/>
              </w:rPr>
            </w:pPr>
            <w:r>
              <w:rPr>
                <w:sz w:val="20"/>
              </w:rPr>
              <w:t>the Relevant Documents (and any other documents referred to therein) constitute legal, valid, binding and enforceable obligations of the relevant Transaction Parties thereto for all purposes under the laws of the jurisdiction by which each Relevant Document is expressed to be governed;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20"/>
              </w:rPr>
            </w:pPr>
            <w:r>
              <w:rPr>
                <w:sz w:val="20"/>
              </w:rPr>
              <w:t>(z)</w:t>
            </w:r>
          </w:p>
        </w:tc>
        <w:tc>
          <w:tcPr>
            <w:tcW w:w="9949" w:type="dxa"/>
            <w:tcBorders/>
            <w:vAlign w:val="center"/>
          </w:tcPr>
          <w:p>
            <w:pPr>
              <w:pStyle w:val="TableContents"/>
              <w:bidi w:val="0"/>
              <w:spacing w:before="0" w:after="283"/>
              <w:jc w:val="both"/>
              <w:rPr>
                <w:sz w:val="20"/>
              </w:rPr>
            </w:pPr>
            <w:r>
              <w:rPr>
                <w:sz w:val="20"/>
              </w:rPr>
              <w:t>all secondary legislation relevant to this opinion is valid, effective and enacted within the scope of the powers of the relevant rule-making authorities;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20"/>
              </w:rPr>
            </w:pPr>
            <w:r>
              <w:rPr>
                <w:sz w:val="20"/>
              </w:rPr>
              <w:t>(aa)</w:t>
            </w:r>
          </w:p>
        </w:tc>
        <w:tc>
          <w:tcPr>
            <w:tcW w:w="9901" w:type="dxa"/>
            <w:tcBorders/>
            <w:vAlign w:val="center"/>
          </w:tcPr>
          <w:p>
            <w:pPr>
              <w:pStyle w:val="TableContents"/>
              <w:bidi w:val="0"/>
              <w:spacing w:before="0" w:after="283"/>
              <w:jc w:val="both"/>
              <w:rPr>
                <w:sz w:val="20"/>
              </w:rPr>
            </w:pPr>
            <w:r>
              <w:rPr>
                <w:sz w:val="20"/>
              </w:rPr>
              <w:t>in respect of each Transaction Party to each Relevant Document: (i) it is not unable to pay its debts within the meaning of section 123 of the Insolvency Act 1986; (ii) no receiver or administrative receiver has been appointed in relation to any of its assets or undertaking; (iii) no resolution has been passed and no petition has been filed for its winding-up; (iv) no steps have been taken for its dissolution or for its striking off, no application has been made for the appointment of a liquidator or provisional liquidator in respect of it; (v) no application for an administration order or filing of a notice of intention to appoint an administrator has been presented in relation to it and no administration order has been made or administrator has been appointed in relation to it; (vi) no steps have been taken to obtain a moratorium; and (vii) no analogous event, step or procedure to those set out in this paragraph has occurred or been taken in respect of it in any other jurisdiction;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5"/>
        <w:gridCol w:w="9852"/>
      </w:tblGrid>
      <w:tr>
        <w:trPr/>
        <w:tc>
          <w:tcPr>
            <w:tcW w:w="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20"/>
              </w:rPr>
            </w:pPr>
            <w:r>
              <w:rPr>
                <w:sz w:val="20"/>
              </w:rPr>
              <w:t>(bb)</w:t>
            </w:r>
          </w:p>
        </w:tc>
        <w:tc>
          <w:tcPr>
            <w:tcW w:w="9852" w:type="dxa"/>
            <w:tcBorders/>
            <w:vAlign w:val="center"/>
          </w:tcPr>
          <w:p>
            <w:pPr>
              <w:pStyle w:val="TableContents"/>
              <w:bidi w:val="0"/>
              <w:spacing w:before="0" w:after="283"/>
              <w:jc w:val="both"/>
              <w:rPr>
                <w:sz w:val="20"/>
              </w:rPr>
            </w:pPr>
            <w:r>
              <w:rPr>
                <w:sz w:val="20"/>
              </w:rPr>
              <w:t>all factual representations, warranties and certifications made by the relevant Transaction Parties to the Relevant Documents are at the date of the Relevant Documents and at the date of this opinion true and correct in all respects with regards to the facts stated therein;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20"/>
              </w:rPr>
            </w:pPr>
            <w:r>
              <w:rPr>
                <w:sz w:val="20"/>
              </w:rPr>
              <w:t>(cc)</w:t>
            </w:r>
          </w:p>
        </w:tc>
        <w:tc>
          <w:tcPr>
            <w:tcW w:w="9873" w:type="dxa"/>
            <w:tcBorders/>
            <w:vAlign w:val="center"/>
          </w:tcPr>
          <w:p>
            <w:pPr>
              <w:pStyle w:val="TableContents"/>
              <w:bidi w:val="0"/>
              <w:spacing w:before="0" w:after="283"/>
              <w:jc w:val="both"/>
              <w:rPr>
                <w:sz w:val="20"/>
              </w:rPr>
            </w:pPr>
            <w:r>
              <w:rPr>
                <w:sz w:val="20"/>
              </w:rPr>
              <w:t>in the case of any Relevant Document entered into before the date of this opinion, each relevant Transaction Party to the Relevant Document has performed and complied with all its obligations thereunder;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20"/>
              </w:rPr>
            </w:pPr>
            <w:r>
              <w:rPr>
                <w:sz w:val="20"/>
              </w:rPr>
              <w:t>(dd)</w:t>
            </w:r>
          </w:p>
        </w:tc>
        <w:tc>
          <w:tcPr>
            <w:tcW w:w="9866" w:type="dxa"/>
            <w:tcBorders/>
            <w:vAlign w:val="center"/>
          </w:tcPr>
          <w:p>
            <w:pPr>
              <w:pStyle w:val="TableContents"/>
              <w:bidi w:val="0"/>
              <w:spacing w:before="0" w:after="283"/>
              <w:jc w:val="both"/>
              <w:rPr>
                <w:sz w:val="20"/>
              </w:rPr>
            </w:pPr>
            <w:r>
              <w:rPr>
                <w:sz w:val="20"/>
              </w:rPr>
              <w:t>in authorising the Company to issue and allot the Class A Shares and the Class A ADSs, and the Snita Redesignation, and to file the Registration Statement, and the transactions contemplated thereby, the directors of the Company exercised their powers in accordance with their duties under all applicable laws and the Articles and, without limitation, in the belief that issuing and allotting the Class A Shares and the Class A ADSs and filing the Registration Statement, would be most likely to promote the success of the Company for the benefit of its members as a whole;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20"/>
              </w:rPr>
            </w:pPr>
            <w:r>
              <w:rPr>
                <w:sz w:val="20"/>
              </w:rPr>
              <w:t>(ee)</w:t>
            </w:r>
          </w:p>
        </w:tc>
        <w:tc>
          <w:tcPr>
            <w:tcW w:w="9896" w:type="dxa"/>
            <w:tcBorders/>
            <w:vAlign w:val="center"/>
          </w:tcPr>
          <w:p>
            <w:pPr>
              <w:pStyle w:val="TableContents"/>
              <w:bidi w:val="0"/>
              <w:spacing w:before="0" w:after="283"/>
              <w:jc w:val="both"/>
              <w:rPr>
                <w:sz w:val="20"/>
              </w:rPr>
            </w:pPr>
            <w:r>
              <w:rPr>
                <w:sz w:val="20"/>
              </w:rPr>
              <w:t>the resolutions of the shareholders of the Company set out in the General Meeting Minutes were duly passed by the requisite number of members of the Company in accordance with the requirements of the Company's Articles and all other applicable requirements at properly convened general meetings of the members of the Company at which a quorum was presented throughout and that, as at the date of this opinion, the resolutions passed and decisions taken at each such general meeting have not been amended or rescinded and are in full force and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20"/>
              </w:rPr>
            </w:pPr>
            <w:r>
              <w:rPr>
                <w:sz w:val="20"/>
              </w:rPr>
              <w:t>(ff)</w:t>
            </w:r>
          </w:p>
        </w:tc>
        <w:tc>
          <w:tcPr>
            <w:tcW w:w="9958" w:type="dxa"/>
            <w:tcBorders/>
            <w:vAlign w:val="center"/>
          </w:tcPr>
          <w:p>
            <w:pPr>
              <w:pStyle w:val="TableContents"/>
              <w:bidi w:val="0"/>
              <w:spacing w:before="0" w:after="283"/>
              <w:jc w:val="both"/>
              <w:rPr>
                <w:sz w:val="20"/>
              </w:rPr>
            </w:pPr>
            <w:r>
              <w:rPr>
                <w:sz w:val="20"/>
              </w:rPr>
              <w:t>the 2022 Board Minutes are a true record of the proceedings at that Board meeting, including the resolutions passed at that meeting, and that such meeting was a duly conducted and duly constituted and convened meeting of duly appointed directors of the Company at which a quorum was present throughout, that the proceedings at the meeting were conducted in accordance with the Companies Act and the Articles, the resolutions passed and decisions taken at that meeting have not, as at the date of this opinion, been amended or rescinded and are in full force and effect and the 2022 Board Minutes have been duly signed by the chairman of the meeting and filed in the Company’s statutory books;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2"/>
        <w:gridCol w:w="9865"/>
      </w:tblGrid>
      <w:tr>
        <w:trPr/>
        <w:tc>
          <w:tcPr>
            <w:tcW w:w="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20"/>
              </w:rPr>
            </w:pPr>
            <w:r>
              <w:rPr>
                <w:sz w:val="20"/>
              </w:rPr>
              <w:t>(gg)</w:t>
            </w:r>
          </w:p>
        </w:tc>
        <w:tc>
          <w:tcPr>
            <w:tcW w:w="9865" w:type="dxa"/>
            <w:tcBorders/>
            <w:vAlign w:val="center"/>
          </w:tcPr>
          <w:p>
            <w:pPr>
              <w:pStyle w:val="TableContents"/>
              <w:bidi w:val="0"/>
              <w:spacing w:before="0" w:after="283"/>
              <w:jc w:val="both"/>
              <w:rPr>
                <w:sz w:val="20"/>
              </w:rPr>
            </w:pPr>
            <w:r>
              <w:rPr>
                <w:sz w:val="20"/>
              </w:rPr>
              <w:t>the resolutions passed as written resolutions in the documents set out at paragraphs 1.2(f) and 1.2(g) have been duly signed by each director entitled to receive notice of a Board meeting and to vote on the resolutions at a Board meeting, in each case, in respect of the matters which are the subject of such resolutions, and together not being less than a quorum, in accordance with the Articles and such resolutions passed were duly passed, have not been amended or rescinded and remain in full force and effect as at the date of this opinion;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8"/>
        <w:gridCol w:w="9869"/>
      </w:tblGrid>
      <w:tr>
        <w:trPr/>
        <w:tc>
          <w:tcPr>
            <w:tcW w:w="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20"/>
              </w:rPr>
            </w:pPr>
            <w:r>
              <w:rPr>
                <w:sz w:val="20"/>
              </w:rPr>
              <w:t>(hh)</w:t>
            </w:r>
          </w:p>
        </w:tc>
        <w:tc>
          <w:tcPr>
            <w:tcW w:w="9869" w:type="dxa"/>
            <w:tcBorders/>
            <w:vAlign w:val="center"/>
          </w:tcPr>
          <w:p>
            <w:pPr>
              <w:pStyle w:val="TableContents"/>
              <w:bidi w:val="0"/>
              <w:spacing w:before="0" w:after="283"/>
              <w:jc w:val="both"/>
              <w:rPr>
                <w:sz w:val="20"/>
              </w:rPr>
            </w:pPr>
            <w:r>
              <w:rPr>
                <w:sz w:val="20"/>
              </w:rPr>
              <w:t>the Register of Members is as at the date of this opinion a complete and accurate representation of the entire issued share capital of the Company, completely and accurately reflects the operator register of members in respect of the Company (the “</w:t>
            </w:r>
            <w:r>
              <w:rPr>
                <w:b/>
                <w:sz w:val="20"/>
              </w:rPr>
              <w:t>Operator Register of Members</w:t>
            </w:r>
            <w:r>
              <w:rPr>
                <w:sz w:val="20"/>
              </w:rPr>
              <w:t>”) maintained by Euroclear UK &amp; International Limited (“</w:t>
            </w:r>
            <w:r>
              <w:rPr>
                <w:b/>
                <w:sz w:val="20"/>
              </w:rPr>
              <w:t>Euroclear</w:t>
            </w:r>
            <w:r>
              <w:rPr>
                <w:sz w:val="20"/>
              </w:rPr>
              <w:t>”) in accordance with the Uncertificated Securities Regulations 2001 No. 3755 (the “</w:t>
            </w:r>
            <w:r>
              <w:rPr>
                <w:b/>
                <w:sz w:val="20"/>
              </w:rPr>
              <w:t>USRs</w:t>
            </w:r>
            <w:r>
              <w:rPr>
                <w:sz w:val="20"/>
              </w:rPr>
              <w:t>”), and the Register of Members and the Operator Register of Members are complete, accurate and up-to-date and have been properly maintained by the Company and / or Euroclear (as applicable) in compliance with the Companies Act, the USRs and all other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20"/>
              </w:rPr>
            </w:pPr>
            <w:r>
              <w:rPr>
                <w:sz w:val="20"/>
              </w:rPr>
              <w:t>(ii)</w:t>
            </w:r>
          </w:p>
        </w:tc>
        <w:tc>
          <w:tcPr>
            <w:tcW w:w="9940" w:type="dxa"/>
            <w:tcBorders/>
            <w:vAlign w:val="center"/>
          </w:tcPr>
          <w:p>
            <w:pPr>
              <w:pStyle w:val="TableContents"/>
              <w:bidi w:val="0"/>
              <w:spacing w:before="0" w:after="283"/>
              <w:jc w:val="both"/>
              <w:rPr>
                <w:sz w:val="20"/>
              </w:rPr>
            </w:pPr>
            <w:r>
              <w:rPr>
                <w:sz w:val="20"/>
              </w:rPr>
              <w:t>the Class A Shares were not, and have not been, allotted or issued, and were not committed to be allotted and issued other than in accordance with the Articles and, other than in respect of the Snita Distribution Shares, the terms of the Relevant Documents;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20"/>
              </w:rPr>
            </w:pPr>
            <w:r>
              <w:rPr>
                <w:sz w:val="20"/>
              </w:rPr>
              <w:t>(jj)</w:t>
            </w:r>
          </w:p>
        </w:tc>
        <w:tc>
          <w:tcPr>
            <w:tcW w:w="9960" w:type="dxa"/>
            <w:tcBorders/>
            <w:vAlign w:val="center"/>
          </w:tcPr>
          <w:p>
            <w:pPr>
              <w:pStyle w:val="TableContents"/>
              <w:bidi w:val="0"/>
              <w:spacing w:before="0" w:after="283"/>
              <w:jc w:val="both"/>
              <w:rPr>
                <w:sz w:val="20"/>
              </w:rPr>
            </w:pPr>
            <w:r>
              <w:rPr>
                <w:sz w:val="20"/>
              </w:rPr>
              <w:t>at the time of the allotment and issue of the Class A Shares (including, for the avoidance of doubt, the Class B Shares allotted and issued in connection with the 2022 Issuance which were subsequently redesignated as Class A Shares pursuant to the Snita Redesignation), the Company received in full payment for such shares in an amount of “cash consideration” (as defined in section 583(3) of the Companies Act) equal to the aggregate subscription price for such shares, such amount not being less than the aggregate nominal value for such shares, and the Company and / or Euroclear (as applicable) entered the holder or holders thereof in each of the Register of Members and the Operator Register of Members showing that all such shares have been fully paid up as to their nominal value and any premium thereon as at the date of each such allotment;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3"/>
        <w:gridCol w:w="9854"/>
      </w:tblGrid>
      <w:tr>
        <w:trPr/>
        <w:tc>
          <w:tcPr>
            <w:tcW w:w="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20"/>
              </w:rPr>
            </w:pPr>
            <w:r>
              <w:rPr>
                <w:sz w:val="20"/>
              </w:rPr>
              <w:t>(kk)</w:t>
            </w:r>
          </w:p>
        </w:tc>
        <w:tc>
          <w:tcPr>
            <w:tcW w:w="9854" w:type="dxa"/>
            <w:tcBorders/>
            <w:vAlign w:val="center"/>
          </w:tcPr>
          <w:p>
            <w:pPr>
              <w:pStyle w:val="TableContents"/>
              <w:bidi w:val="0"/>
              <w:spacing w:before="0" w:after="283"/>
              <w:jc w:val="both"/>
              <w:rPr>
                <w:sz w:val="20"/>
              </w:rPr>
            </w:pPr>
            <w:r>
              <w:rPr>
                <w:sz w:val="20"/>
              </w:rPr>
              <w:t>any right to purchase the Class A Shares was exercised, and the Class A Shares to which holders of the Class A ADSs are entitled thereupon were allotted and issued, in accordance with the Articles and, other than in respect of the Snita Distribution Shares, the terms of the Relevant Documents;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20"/>
              </w:rPr>
            </w:pPr>
            <w:r>
              <w:rPr>
                <w:sz w:val="20"/>
              </w:rPr>
              <w:t>(ll)</w:t>
            </w:r>
          </w:p>
        </w:tc>
        <w:tc>
          <w:tcPr>
            <w:tcW w:w="9946" w:type="dxa"/>
            <w:tcBorders/>
            <w:vAlign w:val="center"/>
          </w:tcPr>
          <w:p>
            <w:pPr>
              <w:pStyle w:val="TableContents"/>
              <w:bidi w:val="0"/>
              <w:spacing w:before="0" w:after="283"/>
              <w:jc w:val="both"/>
              <w:rPr>
                <w:sz w:val="20"/>
              </w:rPr>
            </w:pPr>
            <w:r>
              <w:rPr>
                <w:sz w:val="20"/>
              </w:rPr>
              <w:t>all consents, licenses, approvals, authorisations, notices, filings and registrations that are necessary under any applicable laws or regulations (other than those of England) in connection with the allotment and issue of the Class A Shares and Class A ADSs have been or were duly made or obtained and are in full force and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8"/>
        <w:gridCol w:w="9779"/>
      </w:tblGrid>
      <w:tr>
        <w:trPr/>
        <w:tc>
          <w:tcPr>
            <w:tcW w:w="3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20"/>
              </w:rPr>
            </w:pPr>
            <w:r>
              <w:rPr>
                <w:sz w:val="20"/>
              </w:rPr>
              <w:t>(mm)</w:t>
            </w:r>
          </w:p>
        </w:tc>
        <w:tc>
          <w:tcPr>
            <w:tcW w:w="9779" w:type="dxa"/>
            <w:tcBorders/>
            <w:vAlign w:val="center"/>
          </w:tcPr>
          <w:p>
            <w:pPr>
              <w:pStyle w:val="TableContents"/>
              <w:bidi w:val="0"/>
              <w:spacing w:before="0" w:after="283"/>
              <w:jc w:val="both"/>
              <w:rPr>
                <w:sz w:val="20"/>
              </w:rPr>
            </w:pPr>
            <w:r>
              <w:rPr>
                <w:sz w:val="20"/>
              </w:rPr>
              <w:t>the Class A Shares and the Class A ADSs have not been and shall not be offered to the public in the United Kingdom in breach of the Financial Services and Markets Act 2000, as amended (the “</w:t>
            </w:r>
            <w:r>
              <w:rPr>
                <w:b/>
                <w:sz w:val="20"/>
              </w:rPr>
              <w:t>FSMA</w:t>
            </w:r>
            <w:r>
              <w:rPr>
                <w:sz w:val="20"/>
              </w:rPr>
              <w:t>”), the Public Offers and Admission to Trading Regulations 2024 (the “</w:t>
            </w:r>
            <w:r>
              <w:rPr>
                <w:b/>
                <w:sz w:val="20"/>
              </w:rPr>
              <w:t>POATRs</w:t>
            </w:r>
            <w:r>
              <w:rPr>
                <w:sz w:val="20"/>
              </w:rPr>
              <w:t>”) or of any other United Kingdom laws or regulations concerning offers of securities to the public, and no communication has been or shall be made in relation to the Class A Shares or the Class A ADSs in breach of section 21 (Restrictions on financial promotion) of the FSMA or any other United Kingdom laws or regulations relating to offers or invitations to subscribe for, or to acquire rights to subscribe for or otherwise acquire, shares or other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20"/>
              </w:rPr>
            </w:pPr>
            <w:r>
              <w:rPr>
                <w:sz w:val="20"/>
              </w:rPr>
              <w:t>(nn)</w:t>
            </w:r>
          </w:p>
        </w:tc>
        <w:tc>
          <w:tcPr>
            <w:tcW w:w="9866" w:type="dxa"/>
            <w:tcBorders/>
            <w:vAlign w:val="center"/>
          </w:tcPr>
          <w:p>
            <w:pPr>
              <w:pStyle w:val="TableContents"/>
              <w:bidi w:val="0"/>
              <w:spacing w:before="0" w:after="283"/>
              <w:jc w:val="both"/>
              <w:rPr>
                <w:sz w:val="20"/>
              </w:rPr>
            </w:pPr>
            <w:r>
              <w:rPr>
                <w:sz w:val="20"/>
              </w:rPr>
              <w:t>in issuing the Class A Shares and the Class A ADSs, and filing the Registration Statement, the Company is not carrying on a regulated activity for the purposes of section 19 of FSMA and each person involved in or dealing with the Company in connection with the allotment and issue of the Class A Shares and the Class A ADSs or filing the Registration Statement, which is carrying on, or purporting to carry on, a regulated activity (within the meaning of section 19 (The general prohibition) of the FSMA) is an authorised person or exempt person under the FSMA;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20"/>
              </w:rPr>
            </w:pPr>
            <w:r>
              <w:rPr>
                <w:sz w:val="20"/>
              </w:rPr>
              <w:t>(oo)</w:t>
            </w:r>
          </w:p>
        </w:tc>
        <w:tc>
          <w:tcPr>
            <w:tcW w:w="9873" w:type="dxa"/>
            <w:tcBorders/>
            <w:vAlign w:val="center"/>
          </w:tcPr>
          <w:p>
            <w:pPr>
              <w:pStyle w:val="TableContents"/>
              <w:bidi w:val="0"/>
              <w:spacing w:before="0" w:after="283"/>
              <w:jc w:val="both"/>
              <w:rPr>
                <w:sz w:val="20"/>
              </w:rPr>
            </w:pPr>
            <w:r>
              <w:rPr>
                <w:sz w:val="20"/>
              </w:rPr>
              <w:t>all applicable provisions of the EU Market Abuse Regulation (Regulation (EU) No 596/2014) as it forms part of domestic law in the United Kingdom by virtue of the European Union (Withdrawal) Act 2018 (the “</w:t>
            </w:r>
            <w:r>
              <w:rPr>
                <w:b/>
                <w:sz w:val="20"/>
              </w:rPr>
              <w:t>Withdrawal Act</w:t>
            </w:r>
            <w:r>
              <w:rPr>
                <w:sz w:val="20"/>
              </w:rPr>
              <w:t>”) (“</w:t>
            </w:r>
            <w:r>
              <w:rPr>
                <w:b/>
                <w:sz w:val="20"/>
              </w:rPr>
              <w:t>UK MAR</w:t>
            </w:r>
            <w:r>
              <w:rPr>
                <w:sz w:val="20"/>
              </w:rPr>
              <w:t>”), the POATRs, the FSMA, the Financial Services Act 2012 (the “</w:t>
            </w:r>
            <w:r>
              <w:rPr>
                <w:b/>
                <w:sz w:val="20"/>
              </w:rPr>
              <w:t>FS Act</w:t>
            </w:r>
            <w:r>
              <w:rPr>
                <w:sz w:val="20"/>
              </w:rPr>
              <w:t>”), and all rules and regulations made pursuant to UK MAR, the UK Prospectus Regulation, the FSMA and the FS Act, have been and will be complied with as regards anything done in relation to the 2025 Issuance, the issuance of the Snita Distribution Shares and the Registration Statement and the transactions contemplated thereby in, from or otherwise involving England (including, without limitation, articles 14 (Prohibition of insider dealing and of unlawful disclosure of inside information) and 15 (Prohibition of market manipulation) of UK MAR, sections 19 (The general prohibition) and 21 (Restrictions on financial promotion) of the FSMA and sections 89 (Misleading statements), 90 (Misleading impressions) and 91 (Misleading statements etc. in relation to benchmarks) of the FS Act and any requirement to obtain any authorisation or permission in relation to the 2025 Issuance, the issuance of the Snita Distribution Shares, the Registration Statement and the transactions contemplated thereby);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9"/>
        <w:gridCol w:w="9868"/>
      </w:tblGrid>
      <w:tr>
        <w:trPr/>
        <w:tc>
          <w:tcPr>
            <w:tcW w:w="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20"/>
              </w:rPr>
            </w:pPr>
            <w:r>
              <w:rPr>
                <w:sz w:val="20"/>
              </w:rPr>
              <w:t>(pp)</w:t>
            </w:r>
          </w:p>
        </w:tc>
        <w:tc>
          <w:tcPr>
            <w:tcW w:w="9868" w:type="dxa"/>
            <w:tcBorders/>
            <w:vAlign w:val="center"/>
          </w:tcPr>
          <w:p>
            <w:pPr>
              <w:pStyle w:val="TableContents"/>
              <w:bidi w:val="0"/>
              <w:spacing w:before="0" w:after="283"/>
              <w:jc w:val="both"/>
              <w:rPr>
                <w:sz w:val="20"/>
              </w:rPr>
            </w:pPr>
            <w:r>
              <w:rPr>
                <w:sz w:val="20"/>
              </w:rPr>
              <w:t>the Relevant Documents and the transactions and other matters contemplated thereby are not and will not be affected by any financial restrictions arising from orders made pursuant to the European Communities Act 1972 or European Communities Regulations being directly applicable or having direct effect in England. Orders which have been made under those acts and regulations that are in effect at the date of this opinion impose restrictions on financial transfers involving residents of certain countries, certain named individuals and certain named entities arising from the implementation in England of United Nations and European Union sanctions;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20"/>
              </w:rPr>
            </w:pPr>
            <w:r>
              <w:rPr>
                <w:sz w:val="20"/>
              </w:rPr>
              <w:t>(qq)</w:t>
            </w:r>
          </w:p>
        </w:tc>
        <w:tc>
          <w:tcPr>
            <w:tcW w:w="9858" w:type="dxa"/>
            <w:tcBorders/>
            <w:vAlign w:val="center"/>
          </w:tcPr>
          <w:p>
            <w:pPr>
              <w:pStyle w:val="TableContents"/>
              <w:bidi w:val="0"/>
              <w:spacing w:before="0" w:after="283"/>
              <w:jc w:val="both"/>
              <w:rPr>
                <w:sz w:val="20"/>
              </w:rPr>
            </w:pPr>
            <w:r>
              <w:rPr>
                <w:sz w:val="20"/>
              </w:rPr>
              <w:t>without prejudice to the generality of our assumption at paragraph 3(z), any subordinate legislation which purports to have been made under powers conferred by the European Communities Act 1972, the Withdrawal Act or the European Union (Withdrawal Agreement) Act 2020 that is relevant to this opinion is valid in all relevant respects;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20"/>
              </w:rPr>
            </w:pPr>
            <w:r>
              <w:rPr>
                <w:sz w:val="20"/>
              </w:rPr>
              <w:t>(rr)</w:t>
            </w:r>
          </w:p>
        </w:tc>
        <w:tc>
          <w:tcPr>
            <w:tcW w:w="9939" w:type="dxa"/>
            <w:tcBorders/>
            <w:vAlign w:val="center"/>
          </w:tcPr>
          <w:p>
            <w:pPr>
              <w:pStyle w:val="TableContents"/>
              <w:bidi w:val="0"/>
              <w:spacing w:before="0" w:after="283"/>
              <w:jc w:val="both"/>
              <w:rPr>
                <w:sz w:val="20"/>
              </w:rPr>
            </w:pPr>
            <w:r>
              <w:rPr>
                <w:sz w:val="20"/>
              </w:rPr>
              <w:t>no application has been or will be made for the Class A Shares or the Class A ADSs to be listed or admitted to trading on a regulated market, multilateral trading facility or organised trading facility situated or operating in the United Kingdom;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20"/>
              </w:rPr>
            </w:pPr>
            <w:r>
              <w:rPr>
                <w:sz w:val="20"/>
              </w:rPr>
              <w:t>(ss)</w:t>
            </w:r>
          </w:p>
        </w:tc>
        <w:tc>
          <w:tcPr>
            <w:tcW w:w="9924" w:type="dxa"/>
            <w:tcBorders/>
            <w:vAlign w:val="center"/>
          </w:tcPr>
          <w:p>
            <w:pPr>
              <w:pStyle w:val="TableContents"/>
              <w:bidi w:val="0"/>
              <w:spacing w:before="0" w:after="283"/>
              <w:jc w:val="both"/>
              <w:rPr>
                <w:sz w:val="20"/>
              </w:rPr>
            </w:pPr>
            <w:r>
              <w:rPr>
                <w:sz w:val="20"/>
              </w:rPr>
              <w:t>the Company was not, by entering into the Relevant Documents or the Documents or performing its obligations thereunder or the transactions envisaged thereby, including completing the 2025 Issuance, and the issuance of the Snita Distribution Shares, providing financial assistance for the purpose of an acquisition made or to be made by any person of any shares in the Company, or where the Company is a subsidiary, in its holding company or in any other manner prohibited by section 678 of the Companies Act.</w:t>
            </w:r>
          </w:p>
        </w:tc>
      </w:tr>
    </w:tbl>
    <w:p>
      <w:pPr>
        <w:pStyle w:val="TextBody"/>
        <w:bidi w:val="0"/>
        <w:spacing w:before="0" w:after="0"/>
        <w:ind w:left="0" w:right="0" w:hanging="0"/>
        <w:jc w:val="left"/>
        <w:rPr>
          <w:caps w:val="false"/>
          <w:smallCaps w:val="false"/>
        </w:rPr>
      </w:pPr>
      <w:r>
        <w:rPr>
          <w:caps w:val="false"/>
          <w:smallCaps w:val="false"/>
        </w:rPr>
        <w:t> </w:t>
      </w:r>
    </w:p>
    <w:tbl>
      <w:tblPr>
        <w:tblW w:w="1083" w:type="dxa"/>
        <w:jc w:val="left"/>
        <w:tblInd w:w="0" w:type="dxa"/>
        <w:tblLayout w:type="fixed"/>
        <w:tblCellMar>
          <w:top w:w="0" w:type="dxa"/>
          <w:left w:w="0" w:type="dxa"/>
          <w:bottom w:w="0" w:type="dxa"/>
          <w:right w:w="0" w:type="dxa"/>
        </w:tblCellMar>
      </w:tblPr>
      <w:tblGrid>
        <w:gridCol w:w="38"/>
        <w:gridCol w:w="17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caps/>
                <w:sz w:val="20"/>
              </w:rPr>
            </w:pPr>
            <w:r>
              <w:rPr>
                <w:b/>
                <w:caps/>
                <w:sz w:val="20"/>
              </w:rPr>
              <w:t>4.</w:t>
            </w:r>
          </w:p>
        </w:tc>
        <w:tc>
          <w:tcPr>
            <w:tcW w:w="875" w:type="dxa"/>
            <w:tcBorders/>
            <w:vAlign w:val="center"/>
          </w:tcPr>
          <w:p>
            <w:pPr>
              <w:pStyle w:val="TableContents"/>
              <w:bidi w:val="0"/>
              <w:spacing w:before="0" w:after="283"/>
              <w:jc w:val="both"/>
              <w:rPr>
                <w:b/>
                <w:sz w:val="20"/>
              </w:rPr>
            </w:pPr>
            <w:r>
              <w:rPr>
                <w:b/>
                <w:sz w:val="20"/>
              </w:rPr>
              <w:t>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Documents examined (as detailed in paragraph 1.2) and the review of the Searches that have been carried out (each as described in this opinion) and subject to the (i) statements made in paragraph 2 above, (ii) assumptions made in paragraph 3 above and (iii) qualifications set out in paragraph 5 below, we are of the opinion that, as at the date of this opinion:</w:t>
      </w:r>
    </w:p>
    <w:p>
      <w:pPr>
        <w:pStyle w:val="TextBody"/>
        <w:bidi w:val="0"/>
        <w:spacing w:before="0" w:after="0"/>
        <w:ind w:left="0" w:right="0" w:hanging="0"/>
        <w:jc w:val="left"/>
        <w:rPr>
          <w:caps w:val="false"/>
          <w:smallCaps w:val="false"/>
        </w:rPr>
      </w:pPr>
      <w:r>
        <w:rPr>
          <w:caps w:val="false"/>
          <w:smallCaps w:val="false"/>
        </w:rPr>
        <w:t> </w:t>
      </w:r>
    </w:p>
    <w:tbl>
      <w:tblPr>
        <w:tblW w:w="9648" w:type="dxa"/>
        <w:jc w:val="left"/>
        <w:tblInd w:w="0" w:type="dxa"/>
        <w:tblLayout w:type="fixed"/>
        <w:tblCellMar>
          <w:top w:w="0" w:type="dxa"/>
          <w:left w:w="0" w:type="dxa"/>
          <w:bottom w:w="0" w:type="dxa"/>
          <w:right w:w="0" w:type="dxa"/>
        </w:tblCellMar>
      </w:tblPr>
      <w:tblGrid>
        <w:gridCol w:w="38"/>
        <w:gridCol w:w="23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9380" w:type="dxa"/>
            <w:tcBorders/>
            <w:vAlign w:val="center"/>
          </w:tcPr>
          <w:p>
            <w:pPr>
              <w:pStyle w:val="TableContents"/>
              <w:bidi w:val="0"/>
              <w:spacing w:before="0" w:after="283"/>
              <w:jc w:val="both"/>
              <w:rPr>
                <w:sz w:val="20"/>
              </w:rPr>
            </w:pPr>
            <w:r>
              <w:rPr>
                <w:sz w:val="20"/>
              </w:rPr>
              <w:t>the Class A Shares issued by the Company to the Selling Securityholders pursuant to the Relevant Agreements; and</w:t>
            </w:r>
          </w:p>
        </w:tc>
      </w:tr>
    </w:tbl>
    <w:p>
      <w:pPr>
        <w:pStyle w:val="TextBody"/>
        <w:bidi w:val="0"/>
        <w:spacing w:before="0" w:after="0"/>
        <w:ind w:left="0" w:right="0" w:hanging="0"/>
        <w:jc w:val="left"/>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38"/>
        <w:gridCol w:w="245"/>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(b)</w:t>
            </w:r>
          </w:p>
        </w:tc>
        <w:tc>
          <w:tcPr>
            <w:tcW w:w="2405" w:type="dxa"/>
            <w:tcBorders/>
            <w:vAlign w:val="center"/>
          </w:tcPr>
          <w:p>
            <w:pPr>
              <w:pStyle w:val="TableContents"/>
              <w:bidi w:val="0"/>
              <w:spacing w:before="0" w:after="283"/>
              <w:jc w:val="both"/>
              <w:rPr>
                <w:sz w:val="20"/>
              </w:rPr>
            </w:pPr>
            <w:r>
              <w:rPr>
                <w:sz w:val="20"/>
              </w:rPr>
              <w:t>the Snita Distribution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were validly issued, fully paid or credited as fully paid and are not subject to any call for payment of further capital.</w:t>
      </w:r>
    </w:p>
    <w:p>
      <w:pPr>
        <w:pStyle w:val="TextBody"/>
        <w:bidi w:val="0"/>
        <w:spacing w:before="0" w:after="0"/>
        <w:ind w:left="0" w:right="0" w:hanging="0"/>
        <w:jc w:val="left"/>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17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caps/>
                <w:sz w:val="20"/>
              </w:rPr>
            </w:pPr>
            <w:r>
              <w:rPr>
                <w:b/>
                <w:caps/>
                <w:sz w:val="20"/>
              </w:rPr>
              <w:t>5.</w:t>
            </w:r>
          </w:p>
        </w:tc>
        <w:tc>
          <w:tcPr>
            <w:tcW w:w="1730" w:type="dxa"/>
            <w:tcBorders/>
            <w:vAlign w:val="center"/>
          </w:tcPr>
          <w:p>
            <w:pPr>
              <w:pStyle w:val="TableContents"/>
              <w:bidi w:val="0"/>
              <w:spacing w:before="0" w:after="283"/>
              <w:jc w:val="both"/>
              <w:rPr>
                <w:b/>
                <w:sz w:val="20"/>
              </w:rPr>
            </w:pPr>
            <w:r>
              <w:rPr>
                <w:b/>
                <w:sz w:val="20"/>
              </w:rPr>
              <w:t>QUALIFICATIONS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paragraph 2 above, this opinion is subject to the following qualifications: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20"/>
              </w:rPr>
            </w:pPr>
            <w:r>
              <w:rPr>
                <w:sz w:val="20"/>
              </w:rPr>
              <w:t>(a)</w:t>
            </w:r>
          </w:p>
        </w:tc>
        <w:tc>
          <w:tcPr>
            <w:tcW w:w="9986" w:type="dxa"/>
            <w:tcBorders/>
            <w:vAlign w:val="center"/>
          </w:tcPr>
          <w:p>
            <w:pPr>
              <w:pStyle w:val="TableContents"/>
              <w:bidi w:val="0"/>
              <w:spacing w:before="0" w:after="283"/>
              <w:jc w:val="both"/>
              <w:rPr>
                <w:sz w:val="20"/>
              </w:rPr>
            </w:pPr>
            <w:r>
              <w:rPr>
                <w:sz w:val="20"/>
              </w:rPr>
              <w:t>we express no opinion as to matters of United Kingdom taxation or any liability to tax which may arise or be incurred as a result of or in connection with the 2025 Issuance, the issuance of the Snita Distribution Shares or the Registration Statement or the transactions contemplated thereby or the rights or remedies of any taxation authority in respect of non-payment of taxes or the failure to comply with applicable laws and regulations relating to taxation. For these purposes “</w:t>
            </w:r>
            <w:r>
              <w:rPr>
                <w:b/>
                <w:sz w:val="20"/>
              </w:rPr>
              <w:t>taxation</w:t>
            </w:r>
            <w:r>
              <w:rPr>
                <w:sz w:val="20"/>
              </w:rPr>
              <w:t>” and “</w:t>
            </w:r>
            <w:r>
              <w:rPr>
                <w:b/>
                <w:sz w:val="20"/>
              </w:rPr>
              <w:t>taxes</w:t>
            </w:r>
            <w:r>
              <w:rPr>
                <w:sz w:val="20"/>
              </w:rPr>
              <w:t>” shall be deemed to include stamp duties, stamp duty reserve tax and value added tax (or similar indirect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20"/>
              </w:rPr>
            </w:pPr>
            <w:r>
              <w:rPr>
                <w:sz w:val="20"/>
              </w:rPr>
              <w:t>(b)</w:t>
            </w:r>
          </w:p>
        </w:tc>
        <w:tc>
          <w:tcPr>
            <w:tcW w:w="9953" w:type="dxa"/>
            <w:tcBorders/>
            <w:vAlign w:val="center"/>
          </w:tcPr>
          <w:p>
            <w:pPr>
              <w:pStyle w:val="TableContents"/>
              <w:bidi w:val="0"/>
              <w:spacing w:before="0" w:after="283"/>
              <w:jc w:val="both"/>
              <w:rPr>
                <w:sz w:val="20"/>
              </w:rPr>
            </w:pPr>
            <w:r>
              <w:rPr>
                <w:sz w:val="20"/>
              </w:rPr>
              <w:t>we express no opinion on European Union law. We also express no opinion as to whether or not a foreign court (applying its own conflict of law rules) will act in accordance with the parties’ agreement as to jurisdiction and/or choice of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20"/>
              </w:rPr>
            </w:pPr>
            <w:r>
              <w:rPr>
                <w:sz w:val="20"/>
              </w:rPr>
              <w:t>(c)</w:t>
            </w:r>
          </w:p>
        </w:tc>
        <w:tc>
          <w:tcPr>
            <w:tcW w:w="9975" w:type="dxa"/>
            <w:tcBorders/>
            <w:vAlign w:val="center"/>
          </w:tcPr>
          <w:p>
            <w:pPr>
              <w:pStyle w:val="TableContents"/>
              <w:bidi w:val="0"/>
              <w:spacing w:before="0" w:after="283"/>
              <w:jc w:val="both"/>
              <w:rPr>
                <w:sz w:val="20"/>
              </w:rPr>
            </w:pPr>
            <w:r>
              <w:rPr>
                <w:sz w:val="20"/>
              </w:rPr>
              <w:t>the obligations of the Company are subject to all laws (English or otherwise) from time to time in effect relating to bankruptcy, insolvency, liquidation, administration, moratorium, reorganisation or any other laws (or other legal or equitable remedies) generally affecting the rights of creditors or members as a class;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20"/>
              </w:rPr>
            </w:pPr>
            <w:r>
              <w:rPr>
                <w:sz w:val="20"/>
              </w:rPr>
              <w:t>(d)</w:t>
            </w:r>
          </w:p>
        </w:tc>
        <w:tc>
          <w:tcPr>
            <w:tcW w:w="9926" w:type="dxa"/>
            <w:tcBorders/>
            <w:vAlign w:val="center"/>
          </w:tcPr>
          <w:p>
            <w:pPr>
              <w:pStyle w:val="TableContents"/>
              <w:bidi w:val="0"/>
              <w:spacing w:before="0" w:after="283"/>
              <w:jc w:val="both"/>
              <w:rPr>
                <w:sz w:val="20"/>
              </w:rPr>
            </w:pPr>
            <w:r>
              <w:rPr>
                <w:sz w:val="20"/>
              </w:rPr>
              <w:t>this opinion is not designed to, and is not likely to, reveal fraud, misrepresentation, bribery or corruption by any person or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20"/>
              </w:rPr>
            </w:pPr>
            <w:r>
              <w:rPr>
                <w:sz w:val="20"/>
              </w:rPr>
              <w:t>(e)</w:t>
            </w:r>
          </w:p>
        </w:tc>
        <w:tc>
          <w:tcPr>
            <w:tcW w:w="9976" w:type="dxa"/>
            <w:tcBorders/>
            <w:vAlign w:val="center"/>
          </w:tcPr>
          <w:p>
            <w:pPr>
              <w:pStyle w:val="TableContents"/>
              <w:bidi w:val="0"/>
              <w:spacing w:before="0" w:after="283"/>
              <w:jc w:val="both"/>
              <w:rPr>
                <w:sz w:val="20"/>
              </w:rPr>
            </w:pPr>
            <w:r>
              <w:rPr>
                <w:sz w:val="20"/>
              </w:rPr>
              <w:t>we have relied entirely on the facts, statements and confirmations contained in the Certificate and on the representations and warranties contained in the Relevant Documents, and we have not undertaken any independent investigation or verification of the matters referred to in the Certificate or the Relevant Documents;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20"/>
              </w:rPr>
            </w:pPr>
            <w:r>
              <w:rPr>
                <w:sz w:val="20"/>
              </w:rPr>
              <w:t>(f)</w:t>
            </w:r>
          </w:p>
        </w:tc>
        <w:tc>
          <w:tcPr>
            <w:tcW w:w="10017" w:type="dxa"/>
            <w:tcBorders/>
            <w:vAlign w:val="center"/>
          </w:tcPr>
          <w:p>
            <w:pPr>
              <w:pStyle w:val="TableContents"/>
              <w:bidi w:val="0"/>
              <w:spacing w:before="0" w:after="283"/>
              <w:jc w:val="both"/>
              <w:rPr>
                <w:sz w:val="20"/>
              </w:rPr>
            </w:pPr>
            <w:r>
              <w:rPr>
                <w:sz w:val="20"/>
              </w:rPr>
              <w:t>any Companies Registry Search may not completely and accurately reflect the situation of the Company at the time it was made due to (i) failure of the Company to file documents that ought to be filed, (ii) statutory prescribed time-periods within which documents evidencing actions may be filed, (iii) the possibility of additional delays (beyond the statutory time-limits) between the taking of the action and the necessary filing at Companies House, (iv) the possibility of delays at Companies House in the registration of documents and their subsequent copying onto public records and (v) errors and mis-filing that may occur;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20"/>
              </w:rPr>
            </w:pPr>
            <w:r>
              <w:rPr>
                <w:sz w:val="20"/>
              </w:rPr>
              <w:t>(g)</w:t>
            </w:r>
          </w:p>
        </w:tc>
        <w:tc>
          <w:tcPr>
            <w:tcW w:w="9974" w:type="dxa"/>
            <w:tcBorders/>
            <w:vAlign w:val="center"/>
          </w:tcPr>
          <w:p>
            <w:pPr>
              <w:pStyle w:val="TableContents"/>
              <w:bidi w:val="0"/>
              <w:spacing w:before="0" w:after="283"/>
              <w:jc w:val="both"/>
              <w:rPr>
                <w:sz w:val="20"/>
              </w:rPr>
            </w:pPr>
            <w:r>
              <w:rPr>
                <w:sz w:val="20"/>
              </w:rPr>
              <w:t>any Central Registry Search is limited to revealing matters specifically referred to in paragraph 1.4. The search is not capable of being conclusive. Errors and mis-filings may occur. There may be delays in entering details on to the winding-up register and/or administration register or a winding-up order or administration order may be made before the relevant application or petition has been entered on the relevant register. In so far as it relates to matters relating to administration and administrators, the Central Registry Search will not reveal applications made to, or orders made by, or notices filed with a court other than the High Court of Justice in London. The Central Registry Search will only show winding-up petitions presented since June 1994;</w:t>
            </w:r>
          </w:p>
        </w:tc>
      </w:tr>
    </w:tbl>
    <w:p>
      <w:pPr>
        <w:pStyle w:val="TextBody"/>
        <w:bidi w:val="0"/>
        <w:spacing w:before="0" w:after="0"/>
        <w:ind w:left="0" w:right="0" w:hanging="0"/>
        <w:jc w:val="left"/>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245"/>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(h)</w:t>
            </w:r>
          </w:p>
        </w:tc>
        <w:tc>
          <w:tcPr>
            <w:tcW w:w="8585" w:type="dxa"/>
            <w:tcBorders/>
            <w:vAlign w:val="center"/>
          </w:tcPr>
          <w:p>
            <w:pPr>
              <w:pStyle w:val="TableContents"/>
              <w:bidi w:val="0"/>
              <w:spacing w:before="0" w:after="283"/>
              <w:jc w:val="both"/>
              <w:rPr>
                <w:sz w:val="20"/>
              </w:rPr>
            </w:pPr>
            <w:r>
              <w:rPr>
                <w:sz w:val="20"/>
              </w:rPr>
              <w:t>the Searches will not reveal if the Company is subject to insolvency proceedings in a foreign jurisdiction;</w:t>
            </w:r>
          </w:p>
        </w:tc>
      </w:tr>
    </w:tbl>
    <w:p>
      <w:pPr>
        <w:pStyle w:val="TextBody"/>
        <w:bidi w:val="0"/>
        <w:spacing w:before="0" w:after="0"/>
        <w:ind w:left="0" w:right="0" w:hanging="0"/>
        <w:jc w:val="left"/>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20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(i)</w:t>
            </w:r>
          </w:p>
        </w:tc>
        <w:tc>
          <w:tcPr>
            <w:tcW w:w="6170" w:type="dxa"/>
            <w:tcBorders/>
            <w:vAlign w:val="center"/>
          </w:tcPr>
          <w:p>
            <w:pPr>
              <w:pStyle w:val="TableContents"/>
              <w:bidi w:val="0"/>
              <w:spacing w:before="0" w:after="283"/>
              <w:jc w:val="both"/>
              <w:rPr>
                <w:sz w:val="20"/>
              </w:rPr>
            </w:pPr>
            <w:r>
              <w:rPr>
                <w:sz w:val="20"/>
              </w:rPr>
              <w:t>we have made no enquiries of any individual connected with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20"/>
              </w:rPr>
            </w:pPr>
            <w:r>
              <w:rPr>
                <w:sz w:val="20"/>
              </w:rPr>
              <w:t>(j)</w:t>
            </w:r>
          </w:p>
        </w:tc>
        <w:tc>
          <w:tcPr>
            <w:tcW w:w="10005" w:type="dxa"/>
            <w:tcBorders/>
            <w:vAlign w:val="center"/>
          </w:tcPr>
          <w:p>
            <w:pPr>
              <w:pStyle w:val="TableContents"/>
              <w:bidi w:val="0"/>
              <w:spacing w:before="0" w:after="283"/>
              <w:jc w:val="both"/>
              <w:rPr>
                <w:sz w:val="20"/>
              </w:rPr>
            </w:pPr>
            <w:r>
              <w:rPr>
                <w:sz w:val="20"/>
              </w:rPr>
              <w:t>the opinion set out in paragraph 4 relates only to the Class A Shares issued pursuant to the Relevant Agreements and the Snita Distribution Shares and we express no opinion in respect of any other shares or securities of the Company existing as at the date of this opinion or which may be issued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245"/>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(k)</w:t>
            </w:r>
          </w:p>
        </w:tc>
        <w:tc>
          <w:tcPr>
            <w:tcW w:w="8840" w:type="dxa"/>
            <w:tcBorders/>
            <w:vAlign w:val="center"/>
          </w:tcPr>
          <w:p>
            <w:pPr>
              <w:pStyle w:val="TableContents"/>
              <w:bidi w:val="0"/>
              <w:spacing w:before="0" w:after="283"/>
              <w:jc w:val="both"/>
              <w:rPr>
                <w:sz w:val="20"/>
              </w:rPr>
            </w:pPr>
            <w:r>
              <w:rPr>
                <w:sz w:val="20"/>
              </w:rPr>
              <w:t>we express no opinion as to the accuracy of any representation or warranty made in the Relevant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20"/>
              </w:rPr>
            </w:pPr>
            <w:r>
              <w:rPr>
                <w:sz w:val="20"/>
              </w:rPr>
              <w:t>(l)</w:t>
            </w:r>
          </w:p>
        </w:tc>
        <w:tc>
          <w:tcPr>
            <w:tcW w:w="9981" w:type="dxa"/>
            <w:tcBorders/>
            <w:vAlign w:val="center"/>
          </w:tcPr>
          <w:p>
            <w:pPr>
              <w:pStyle w:val="TableContents"/>
              <w:bidi w:val="0"/>
              <w:spacing w:before="0" w:after="283"/>
              <w:jc w:val="both"/>
              <w:rPr>
                <w:sz w:val="20"/>
              </w:rPr>
            </w:pPr>
            <w:r>
              <w:rPr>
                <w:sz w:val="20"/>
              </w:rPr>
              <w:t>we express no opinion on the irrevocability, enforceability or validity of any power of attorney (or similar power) granted, or purported to be granted;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20"/>
              </w:rPr>
            </w:pPr>
            <w:r>
              <w:rPr>
                <w:sz w:val="20"/>
              </w:rPr>
              <w:t>(m)</w:t>
            </w:r>
          </w:p>
        </w:tc>
        <w:tc>
          <w:tcPr>
            <w:tcW w:w="9921" w:type="dxa"/>
            <w:tcBorders/>
            <w:vAlign w:val="center"/>
          </w:tcPr>
          <w:p>
            <w:pPr>
              <w:pStyle w:val="TableContents"/>
              <w:bidi w:val="0"/>
              <w:spacing w:before="0" w:after="283"/>
              <w:jc w:val="both"/>
              <w:rPr>
                <w:sz w:val="20"/>
              </w:rPr>
            </w:pPr>
            <w:r>
              <w:rPr>
                <w:sz w:val="20"/>
              </w:rPr>
              <w:t>we express no opinion as to whether the Relevant Documents create legal, valid, binding or enforceable obligations of the parties thereto and we express no opinion as to the non-contractual obligations of any party to the Relevant Documents, irrespective of whether the non-contractual obligations arise out of or in connection with or relate to, the Relevant Documents or the transactions contemplated thereunder.</w:t>
            </w:r>
          </w:p>
        </w:tc>
      </w:tr>
    </w:tbl>
    <w:p>
      <w:pPr>
        <w:pStyle w:val="TextBody"/>
        <w:bidi w:val="0"/>
        <w:spacing w:before="0" w:after="0"/>
        <w:ind w:left="0" w:right="0" w:hanging="0"/>
        <w:jc w:val="left"/>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7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caps/>
                <w:sz w:val="20"/>
              </w:rPr>
            </w:pPr>
            <w:r>
              <w:rPr>
                <w:b/>
                <w:caps/>
                <w:sz w:val="20"/>
              </w:rPr>
              <w:t>6.</w:t>
            </w:r>
          </w:p>
        </w:tc>
        <w:tc>
          <w:tcPr>
            <w:tcW w:w="4310" w:type="dxa"/>
            <w:tcBorders/>
            <w:vAlign w:val="center"/>
          </w:tcPr>
          <w:p>
            <w:pPr>
              <w:pStyle w:val="TableContents"/>
              <w:bidi w:val="0"/>
              <w:spacing w:before="0" w:after="283"/>
              <w:jc w:val="both"/>
              <w:rPr>
                <w:b/>
                <w:sz w:val="20"/>
              </w:rPr>
            </w:pPr>
            <w:r>
              <w:rPr>
                <w:b/>
                <w:sz w:val="20"/>
              </w:rPr>
              <w:t>GOVERNING LAW AND BENEFIT OF 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and any non-contractual obligations arising out of or in connection with it are governed by and construed in accordance with English law and any action arising out of it is subject to the exclusive jurisdiction of the English courts. This opinion is addressed to you in connection with the Registration Statement and may be relied upon only pursuant to the applicable provisions of the Securities Act. We consent to the filing of this opinion as Exhibit 5.1 to the Registration Statement for information. In giving such consent, we do not thereby admit that we are in the category of persons whose consent is required under Section 7 of the Securities Act or the rules and regulations thereunder. Except to the extent provided above, this opinion may not be relied upon for any other purpose or furnished to, assigned to, or relied upon by any other person, firm or other entity, for any purpose, without our prior written consent, which may be granted or withheld in our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opinion shall waive any privilege or confidentiality in any document or advice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Alston &amp; Bird (City),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Alston &amp; Bird (City),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283"/>
        <w:jc w:val="left"/>
        <w:rPr/>
      </w:pPr>
      <w:r>
        <w:rPr/>
        <w:t> </w:t>
      </w:r>
    </w:p>
    <w:p>
      <w:pPr>
        <w:pStyle w:val="TextBody"/>
        <w:bidi w:val="0"/>
        <w:jc w:val="left"/>
        <w:rPr/>
      </w:pPr>
      <w:bookmarkStart w:id="26" w:name="tm2626167d2_ex23-1.htm"/>
      <w:bookmarkStart w:id="27" w:name="kstm2626167d2_ex231"/>
      <w:bookmarkEnd w:id="26"/>
      <w:bookmarkEnd w:id="27"/>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F-3 of our reports dated April 17, 2026 relating to the financial statements of Polestar Automotive Holding UK PLC and the effectiveness of Polestar Automotive Holding UK PLC’s internal control over financial reporting, appearing in the Annual Report on Form 20-F for the year ended December 31, 2025. We also consent to the reference to us under the heading “Experts” in such Registration Statement.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AB</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Gothenburg, Sweden</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8" w:name="tm2626167d1_ex-filingfees.htm"/>
      <w:bookmarkStart w:id="29" w:name="kstm2626167d1_exfilingfees"/>
      <w:bookmarkStart w:id="30" w:name="tm2626167d1_ex-filingfees.htm"/>
      <w:bookmarkStart w:id="31" w:name="kstm2626167d1_exfilingfees"/>
      <w:bookmarkEnd w:id="30"/>
      <w:bookmarkEnd w:id="31"/>
      <w:r>
        <w:br w:type="page"/>
      </w:r>
    </w:p>
    <w:tbl>
      <w:tblPr>
        <w:tblW w:w="4250" w:type="dxa"/>
        <w:jc w:val="left"/>
        <w:tblInd w:w="0" w:type="dxa"/>
        <w:tblLayout w:type="fixed"/>
        <w:tblCellMar>
          <w:top w:w="28" w:type="dxa"/>
          <w:left w:w="28" w:type="dxa"/>
          <w:bottom w:w="28" w:type="dxa"/>
          <w:right w:w="28" w:type="dxa"/>
        </w:tblCellMar>
      </w:tblPr>
      <w:tblGrid>
        <w:gridCol w:w="4096"/>
        <w:gridCol w:w="154"/>
      </w:tblGrid>
      <w:tr>
        <w:trPr/>
        <w:tc>
          <w:tcPr>
            <w:tcW w:w="425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096" w:type="dxa"/>
            <w:tcBorders/>
            <w:vAlign w:val="center"/>
          </w:tcPr>
          <w:p>
            <w:pPr>
              <w:pStyle w:val="TableContents"/>
              <w:bidi w:val="0"/>
              <w:spacing w:before="0" w:after="283"/>
              <w:jc w:val="left"/>
              <w:rPr>
                <w:b/>
              </w:rPr>
            </w:pPr>
            <w:r>
              <w:rPr>
                <w:b/>
              </w:rPr>
              <w:t xml:space="preserve">F-3 </w:t>
            </w:r>
          </w:p>
        </w:tc>
        <w:tc>
          <w:tcPr>
            <w:tcW w:w="154" w:type="dxa"/>
            <w:tcBorders/>
          </w:tcPr>
          <w:p>
            <w:pPr>
              <w:pStyle w:val="TableContents"/>
              <w:bidi w:val="0"/>
              <w:spacing w:before="0" w:after="283"/>
              <w:jc w:val="left"/>
              <w:rPr>
                <w:sz w:val="4"/>
                <w:szCs w:val="4"/>
              </w:rPr>
            </w:pPr>
            <w:r>
              <w:rPr>
                <w:sz w:val="4"/>
                <w:szCs w:val="4"/>
              </w:rPr>
            </w:r>
          </w:p>
        </w:tc>
      </w:tr>
      <w:tr>
        <w:trPr/>
        <w:tc>
          <w:tcPr>
            <w:tcW w:w="4096" w:type="dxa"/>
            <w:tcBorders/>
            <w:vAlign w:val="center"/>
          </w:tcPr>
          <w:p>
            <w:pPr>
              <w:pStyle w:val="TableContents"/>
              <w:bidi w:val="0"/>
              <w:spacing w:before="0" w:after="283"/>
              <w:jc w:val="left"/>
              <w:rPr>
                <w:b/>
              </w:rPr>
            </w:pPr>
            <w:r>
              <w:rPr>
                <w:b/>
              </w:rPr>
              <w:t xml:space="preserve">Polestar Automotive Holding UK PLC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04" w:type="dxa"/>
        <w:jc w:val="left"/>
        <w:tblInd w:w="0" w:type="dxa"/>
        <w:tblLayout w:type="fixed"/>
        <w:tblCellMar>
          <w:top w:w="28" w:type="dxa"/>
          <w:left w:w="28" w:type="dxa"/>
          <w:bottom w:w="28" w:type="dxa"/>
          <w:right w:w="28" w:type="dxa"/>
        </w:tblCellMar>
      </w:tblPr>
      <w:tblGrid>
        <w:gridCol w:w="1126"/>
        <w:gridCol w:w="226"/>
        <w:gridCol w:w="946"/>
        <w:gridCol w:w="114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4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Class A American Depositary Shares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58,613,940 </w:t>
            </w:r>
          </w:p>
        </w:tc>
        <w:tc>
          <w:tcPr>
            <w:tcW w:w="1156" w:type="dxa"/>
            <w:tcBorders/>
            <w:shd w:fill="E7E7E2" w:val="clear"/>
            <w:vAlign w:val="center"/>
          </w:tcPr>
          <w:p>
            <w:pPr>
              <w:pStyle w:val="TableContents"/>
              <w:bidi w:val="0"/>
              <w:spacing w:before="0" w:after="283"/>
              <w:jc w:val="right"/>
              <w:rPr/>
            </w:pPr>
            <w:r>
              <w:rPr/>
              <w:t xml:space="preserve">$ 6.98 </w:t>
            </w:r>
          </w:p>
        </w:tc>
        <w:tc>
          <w:tcPr>
            <w:tcW w:w="1786" w:type="dxa"/>
            <w:tcBorders/>
            <w:shd w:fill="E7E7E2" w:val="clear"/>
            <w:vAlign w:val="center"/>
          </w:tcPr>
          <w:p>
            <w:pPr>
              <w:pStyle w:val="TableContents"/>
              <w:bidi w:val="0"/>
              <w:spacing w:before="0" w:after="283"/>
              <w:jc w:val="right"/>
              <w:rPr/>
            </w:pPr>
            <w:r>
              <w:rPr/>
              <w:t xml:space="preserve">$ 409,125,301.20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$ 56,500.20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2" w:name="MaxAggtOfferingPrice"/>
            <w:bookmarkEnd w:id="32"/>
            <w:r>
              <w:rPr/>
              <w:t xml:space="preserve">$ 409,125,301.20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3" w:name="TotalFeeAmt"/>
            <w:bookmarkEnd w:id="33"/>
            <w:r>
              <w:rPr/>
              <w:t xml:space="preserve">$ 56,500.20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PreviouslyPaid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OffsetAmt"/>
            <w:bookmarkEnd w:id="35"/>
            <w:r>
              <w:rPr/>
              <w:t xml:space="preserve">$ 56,500.20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NetFee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293"/>
        <w:gridCol w:w="8707"/>
      </w:tblGrid>
      <w:tr>
        <w:trPr/>
        <w:tc>
          <w:tcPr>
            <w:tcW w:w="20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0" w:type="dxa"/>
            <w:gridSpan w:val="2"/>
            <w:tcBorders/>
            <w:vAlign w:val="center"/>
          </w:tcPr>
          <w:p>
            <w:pPr>
              <w:pStyle w:val="TableContents"/>
              <w:bidi w:val="0"/>
              <w:spacing w:before="0" w:after="283"/>
              <w:jc w:val="left"/>
              <w:rPr/>
            </w:pPr>
            <w:r>
              <w:rPr/>
              <w:t xml:space="preserve">Pursuant to Rule 416 under the Securities Act of 1933, as amended, this Registration Statement shall also register any additional securities that become issuable in respect of the securities identified in the above table by reason of any stock dividend, stock split, recapitalization, or other similar transaction. Estimated solely for purposes of calculating the amount of the registration fee pursuant to Rule 457(c) under the Securities Act, based upon the average of the high and low sales prices of the Class A American Depositary Shares as reported on the Nasdaq on September 25, 2026.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667" w:type="dxa"/>
        <w:jc w:val="left"/>
        <w:tblInd w:w="0" w:type="dxa"/>
        <w:tblLayout w:type="fixed"/>
        <w:tblCellMar>
          <w:top w:w="28" w:type="dxa"/>
          <w:left w:w="28" w:type="dxa"/>
          <w:bottom w:w="28" w:type="dxa"/>
          <w:right w:w="28" w:type="dxa"/>
        </w:tblCellMar>
      </w:tblPr>
      <w:tblGrid>
        <w:gridCol w:w="871"/>
        <w:gridCol w:w="226"/>
        <w:gridCol w:w="1231"/>
        <w:gridCol w:w="691"/>
        <w:gridCol w:w="961"/>
        <w:gridCol w:w="706"/>
        <w:gridCol w:w="691"/>
        <w:gridCol w:w="1246"/>
        <w:gridCol w:w="1246"/>
        <w:gridCol w:w="1246"/>
        <w:gridCol w:w="1186"/>
        <w:gridCol w:w="1966"/>
        <w:gridCol w:w="124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3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246" w:type="dxa"/>
            <w:tcBorders/>
            <w:shd w:fill="9ADAF6" w:val="clear"/>
            <w:vAlign w:val="center"/>
          </w:tcPr>
          <w:p>
            <w:pPr>
              <w:pStyle w:val="TableHeading"/>
              <w:suppressLineNumbers/>
              <w:bidi w:val="0"/>
              <w:spacing w:before="0" w:after="283"/>
              <w:jc w:val="center"/>
              <w:rPr/>
            </w:pPr>
            <w:r>
              <w:rPr/>
              <w:t xml:space="preserve">Fee Offset Claimed </w:t>
            </w:r>
          </w:p>
        </w:tc>
        <w:tc>
          <w:tcPr>
            <w:tcW w:w="124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96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66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3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3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366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231" w:type="dxa"/>
            <w:tcBorders/>
            <w:shd w:fill="E7E7E2" w:val="clear"/>
            <w:vAlign w:val="center"/>
          </w:tcPr>
          <w:p>
            <w:pPr>
              <w:pStyle w:val="TableContents"/>
              <w:bidi w:val="0"/>
              <w:spacing w:before="0" w:after="283"/>
              <w:jc w:val="left"/>
              <w:rPr/>
            </w:pPr>
            <w:r>
              <w:rPr/>
              <w:t xml:space="preserve">Polestar Automotive Holding UK PLC </w:t>
            </w:r>
          </w:p>
        </w:tc>
        <w:tc>
          <w:tcPr>
            <w:tcW w:w="691" w:type="dxa"/>
            <w:tcBorders/>
            <w:shd w:fill="E7E7E2" w:val="clear"/>
            <w:vAlign w:val="center"/>
          </w:tcPr>
          <w:p>
            <w:pPr>
              <w:pStyle w:val="TableContents"/>
              <w:bidi w:val="0"/>
              <w:spacing w:before="0" w:after="283"/>
              <w:jc w:val="left"/>
              <w:rPr/>
            </w:pPr>
            <w:r>
              <w:rPr/>
              <w:t xml:space="preserve">F-3 </w:t>
            </w:r>
          </w:p>
        </w:tc>
        <w:tc>
          <w:tcPr>
            <w:tcW w:w="961" w:type="dxa"/>
            <w:tcBorders/>
            <w:shd w:fill="E7E7E2" w:val="clear"/>
            <w:vAlign w:val="center"/>
          </w:tcPr>
          <w:p>
            <w:pPr>
              <w:pStyle w:val="TableContents"/>
              <w:bidi w:val="0"/>
              <w:spacing w:before="0" w:after="283"/>
              <w:jc w:val="left"/>
              <w:rPr/>
            </w:pPr>
            <w:r>
              <w:rPr/>
              <w:t xml:space="preserve">333-274918 </w:t>
            </w:r>
          </w:p>
        </w:tc>
        <w:tc>
          <w:tcPr>
            <w:tcW w:w="706" w:type="dxa"/>
            <w:tcBorders/>
            <w:shd w:fill="E7E7E2" w:val="clear"/>
            <w:vAlign w:val="center"/>
          </w:tcPr>
          <w:p>
            <w:pPr>
              <w:pStyle w:val="TableContents"/>
              <w:bidi w:val="0"/>
              <w:spacing w:before="0" w:after="283"/>
              <w:jc w:val="left"/>
              <w:rPr/>
            </w:pPr>
            <w:r>
              <w:rPr/>
              <w:t xml:space="preserve">10/10/2023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$ 56,500.20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$ 1,000,000,000.00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31" w:type="dxa"/>
            <w:tcBorders/>
            <w:shd w:fill="E7E7E2" w:val="clear"/>
            <w:vAlign w:val="center"/>
          </w:tcPr>
          <w:p>
            <w:pPr>
              <w:pStyle w:val="TableContents"/>
              <w:bidi w:val="0"/>
              <w:spacing w:before="0" w:after="283"/>
              <w:jc w:val="left"/>
              <w:rPr/>
            </w:pPr>
            <w:r>
              <w:rPr/>
              <w:t xml:space="preserve">Polestar Automotive Holding UK PLC </w:t>
            </w:r>
          </w:p>
        </w:tc>
        <w:tc>
          <w:tcPr>
            <w:tcW w:w="691" w:type="dxa"/>
            <w:tcBorders/>
            <w:shd w:fill="E7E7E2" w:val="clear"/>
            <w:vAlign w:val="center"/>
          </w:tcPr>
          <w:p>
            <w:pPr>
              <w:pStyle w:val="TableContents"/>
              <w:bidi w:val="0"/>
              <w:spacing w:before="0" w:after="283"/>
              <w:jc w:val="left"/>
              <w:rPr/>
            </w:pPr>
            <w:r>
              <w:rPr/>
              <w:t xml:space="preserve">F-3 </w:t>
            </w:r>
          </w:p>
        </w:tc>
        <w:tc>
          <w:tcPr>
            <w:tcW w:w="961" w:type="dxa"/>
            <w:tcBorders/>
            <w:shd w:fill="E7E7E2" w:val="clear"/>
            <w:vAlign w:val="center"/>
          </w:tcPr>
          <w:p>
            <w:pPr>
              <w:pStyle w:val="TableContents"/>
              <w:bidi w:val="0"/>
              <w:spacing w:before="0" w:after="283"/>
              <w:jc w:val="left"/>
              <w:rPr/>
            </w:pPr>
            <w:r>
              <w:rPr/>
              <w:t xml:space="preserve">333-274918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10/10/2023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$ 56,500.20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9"/>
        <w:gridCol w:w="1294"/>
        <w:gridCol w:w="8702"/>
      </w:tblGrid>
      <w:tr>
        <w:trPr/>
        <w:tc>
          <w:tcPr>
            <w:tcW w:w="20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6" w:type="dxa"/>
            <w:gridSpan w:val="2"/>
            <w:tcBorders/>
            <w:vAlign w:val="center"/>
          </w:tcPr>
          <w:p>
            <w:pPr>
              <w:pStyle w:val="TableContents"/>
              <w:bidi w:val="0"/>
              <w:spacing w:before="0" w:after="283"/>
              <w:jc w:val="left"/>
              <w:rPr/>
            </w:pPr>
            <w:r>
              <w:rPr/>
              <w:t xml:space="preserve">The registrant previously paid $147,600.00 in connection with the registration of securities on Form F-3 (File No. 333-274918) filed on October 10, 2023 (the "Prior Registration Statement"). The offering under the Prior Registration Statement is being terminated and the fee offset is being claimed pursuant to Rule 457(p) under the Securities Act of 1933, as amended, with respect to unsold securities previously registered thereunder.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84082/000188408226000006/psny-20251231.htm" TargetMode="External"/><Relationship Id="rId4" Type="http://schemas.openxmlformats.org/officeDocument/2006/relationships/hyperlink" Target="https://www.sec.gov/Archives/edgar/data/1884082/000110465926008831/tm264531d1_6k.htm" TargetMode="External"/><Relationship Id="rId5" Type="http://schemas.openxmlformats.org/officeDocument/2006/relationships/hyperlink" Target="https://www.sec.gov/Archives/edgar/data/1884082/000110465926028116/tm268868d1_6k.htm" TargetMode="External"/><Relationship Id="rId6" Type="http://schemas.openxmlformats.org/officeDocument/2006/relationships/hyperlink" Target="https://www.sec.gov/Archives/edgar/data/1884082/000110465926037200/tm2610648d1_6k.htm" TargetMode="External"/><Relationship Id="rId7" Type="http://schemas.openxmlformats.org/officeDocument/2006/relationships/hyperlink" Target="https://www.sec.gov/Archives/edgar/data/1884082/000110465926069922/tm2615988d1_6k.htm" TargetMode="External"/><Relationship Id="rId8" Type="http://schemas.openxmlformats.org/officeDocument/2006/relationships/hyperlink" Target="https://www.sec.gov/Archives/edgar/data/1884082/000110465926079627/tm2619526d1_6k.htm" TargetMode="External"/><Relationship Id="rId9" Type="http://schemas.openxmlformats.org/officeDocument/2006/relationships/hyperlink" Target="https://www.sec.gov/ix?doc=/Archives/edgar/data/1884082/000188408226000013/psny-20260630_d2.htm" TargetMode="External"/><Relationship Id="rId10" Type="http://schemas.openxmlformats.org/officeDocument/2006/relationships/hyperlink" Target="https://www.sec.gov/Archives/edgar/data/1884082/000110465926105064/tm2624554d1_6k.htm" TargetMode="External"/><Relationship Id="rId11" Type="http://schemas.openxmlformats.org/officeDocument/2006/relationships/hyperlink" Target="https://www.sec.gov/Archives/edgar/data/1884082/000188408226000006/polestarfy25formxex214de.htm" TargetMode="External"/><Relationship Id="rId12" Type="http://schemas.openxmlformats.org/officeDocument/2006/relationships/hyperlink" Target="https://www.sec.gov/ix?doc=/Archives/edgar/data/1884082/000188408226000006/psny-20251231.htm" TargetMode="External"/><Relationship Id="rId13" Type="http://schemas.openxmlformats.org/officeDocument/2006/relationships/image" Target="media/image1.jpeg"/><Relationship Id="rId14" Type="http://schemas.openxmlformats.org/officeDocument/2006/relationships/hyperlink" Target="https://www.sec.gov/Archives/edgar/data/1472033/000119380522001222/e621791_ex99-a.htm" TargetMode="External"/><Relationship Id="rId15" Type="http://schemas.openxmlformats.org/officeDocument/2006/relationships/hyperlink" Target="https://www.sec.gov/Archives/edgar/data/1847127/000119312522182018/d371785dex41.htm" TargetMode="External"/><Relationship Id="rId16" Type="http://schemas.openxmlformats.org/officeDocument/2006/relationships/hyperlink" Target="https://www.sec.gov/Archives/edgar/data/1847127/000119312522182018/d371785dex41.htm" TargetMode="External"/><Relationship Id="rId17" Type="http://schemas.openxmlformats.org/officeDocument/2006/relationships/hyperlink" Target="https://www.sec.gov/Archives/edgar/data/1472033/000119380525001601/e664970_ex99-ai.htm" TargetMode="External"/><Relationship Id="rId18" Type="http://schemas.openxmlformats.org/officeDocument/2006/relationships/hyperlink" Target="https://www.sec.gov/Archives/edgar/data/1472033/000119380525001602/e664971_ex99-ai.htm" TargetMode="External"/><Relationship Id="rId19" Type="http://schemas.openxmlformats.org/officeDocument/2006/relationships/hyperlink" Target="https://www.sec.gov/Archives/edgar/data/1472033/000119380525001604/e664966_ex99-ai.htm" TargetMode="External"/><Relationship Id="rId20" Type="http://schemas.openxmlformats.org/officeDocument/2006/relationships/hyperlink" Target="https://www.sec.gov/Archives/edgar/data/1884082/000188408226000006/a11_polestarxarticlesx20.htm" TargetMode="External"/><Relationship Id="rId21" Type="http://schemas.openxmlformats.org/officeDocument/2006/relationships/hyperlink" Target="https://www.sec.gov/Archives/edgar/data/1472033/000119380522001222/e621791_ex99-a.htm" TargetMode="External"/><Relationship Id="rId22" Type="http://schemas.openxmlformats.org/officeDocument/2006/relationships/hyperlink" Target="https://www.sec.gov/Archives/edgar/data/1472033/000119380522001222/e621791_ex99-a.htm" TargetMode="External"/><Relationship Id="rId23" Type="http://schemas.openxmlformats.org/officeDocument/2006/relationships/hyperlink" Target="https://www.sec.gov/Archives/edgar/data/1472033/000119380522001222/e621791_ex99-a.htm" TargetMode="External"/><Relationship Id="rId24" Type="http://schemas.openxmlformats.org/officeDocument/2006/relationships/hyperlink" Target="https://www.sec.gov/Archives/edgar/data/1884082/000119312522085479/d239003dex42.htm" TargetMode="External"/><Relationship Id="rId25" Type="http://schemas.openxmlformats.org/officeDocument/2006/relationships/hyperlink" Target="https://www.sec.gov/Archives/edgar/data/1884082/000119312522085479/d239003dex42.htm" TargetMode="External"/><Relationship Id="rId26" Type="http://schemas.openxmlformats.org/officeDocument/2006/relationships/hyperlink" Target="https://www.sec.gov/Archives/edgar/data/1884082/000119312522085479/d239003dex42.htm" TargetMode="External"/><Relationship Id="rId27" Type="http://schemas.openxmlformats.org/officeDocument/2006/relationships/hyperlink" Target="https://www.sec.gov/Archives/edgar/data/1884082/000188408226000006/polestarfy25formxex214de.htm" TargetMode="External"/><Relationship Id="rId28" Type="http://schemas.openxmlformats.org/officeDocument/2006/relationships/hyperlink" Target="https://www.sec.gov/Archives/edgar/data/1884082/000110465925069861/tm2520906d1_ex10-1.htm" TargetMode="External"/><Relationship Id="rId29" Type="http://schemas.openxmlformats.org/officeDocument/2006/relationships/hyperlink" Target="https://www.sec.gov/Archives/edgar/data/1884082/000110465925123170/tm2533924d1_ex99-3.htm" TargetMode="External"/><Relationship Id="rId30" Type="http://schemas.openxmlformats.org/officeDocument/2006/relationships/hyperlink" Target="https://www.sec.gov/Archives/edgar/data/1884082/000188408226000006/a149_snitaconversionagre.htm" TargetMode="External"/><Relationship Id="rId31" Type="http://schemas.openxmlformats.org/officeDocument/2006/relationships/hyperlink" Target="https://www.sec.gov/Archives/edgar/data/1884082/000110465926080363/tm2619647d1_ex8.htm" TargetMode="External"/><Relationship Id="rId32" Type="http://schemas.openxmlformats.org/officeDocument/2006/relationships/image" Target="media/image2.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42073</Words>
  <Characters>219055</Characters>
  <CharactersWithSpaces>262698</CharactersWithSpaces>
  <Paragraphs>3069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