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On May 12, 2025, Polestar Automotive Holding UK PLC issued a press release containing selected unaudited financial and operational information for the fiscal quarter ended March 31, 2025. A copy of the press release is attached hereto as Exhibit 99.1.</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of Polestar Automotive Holding UK PLC, dated May 12, 2025.</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0" w:type="dxa"/>
            <w:vAlign w:val="bottom"/>
            <w:tcBorders>
              <w:top w:val="single" w:sz="8" w:color="0000EE"/>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02870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Q1 2025 revenue growth of 84% and significant gross margin improvement to positive</w:t>
      </w:r>
    </w:p>
    <w:p>
      <w:pPr>
        <w:spacing w:after="0" w:line="229" w:lineRule="exact"/>
        <w:rPr>
          <w:sz w:val="20"/>
          <w:szCs w:val="20"/>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share of higher margin models in sales mix and continuing cost reduction measures start to drive financial and operational performance improvement</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improved by 15ppts to 7% versus Q1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reduced by 31%; an Adjusted EBITDA loss improvement of 46% year-on-year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USD 900 million worth of financing facilities secured or renewed in Q1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position of USD 732 million as of end Q1 2025</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12 May 2025. </w:t>
      </w:r>
      <w:r>
        <w:rPr>
          <w:rFonts w:ascii="Times New Roman" w:cs="Times New Roman" w:eastAsia="Times New Roman" w:hAnsi="Times New Roman"/>
          <w:sz w:val="18"/>
          <w:szCs w:val="18"/>
          <w:color w:val="auto"/>
        </w:rPr>
        <w:t>Polestar (Nasdaq: PSNY) reports select financial and operational results for the quarter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(Q1 2025).</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Michael Lohscheller, Polestar CEO</w:t>
      </w:r>
      <w:r>
        <w:rPr>
          <w:rFonts w:ascii="Times New Roman" w:cs="Times New Roman" w:eastAsia="Times New Roman" w:hAnsi="Times New Roman"/>
          <w:sz w:val="18"/>
          <w:szCs w:val="18"/>
          <w:color w:val="auto"/>
        </w:rPr>
        <w:t>, said: “We continue to make great progress, transforming our commercial operations and taking steps to reduce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base. We are selling more cars, at improved margins, resulting in revenue growth of 84%, a gross margin that is now positive, at 7%, and a narrowing net loss. We have a strong and growing line-up of attractive cars, with an expanding network of retail partners across key markets. The geopolitical environment and market conditions are challenging, but we are on the right track and doing the right things.”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balance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For the three months ended March</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i w:val="1"/>
                <w:iCs w:val="1"/>
                <w:color w:val="auto"/>
              </w:rPr>
              <w:t>Change %</w:t>
            </w:r>
          </w:p>
        </w:tc>
      </w:tr>
      <w:tr>
        <w:trPr>
          <w:trHeight w:val="216"/>
        </w:trPr>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84.2</w:t>
            </w:r>
          </w:p>
        </w:tc>
        <w:tc>
          <w:tcPr>
            <w:tcW w:w="300" w:type="dxa"/>
            <w:vAlign w:val="bottom"/>
          </w:tcPr>
          <w:p>
            <w:pPr>
              <w:spacing w:after="0"/>
              <w:rPr>
                <w:sz w:val="18"/>
                <w:szCs w:val="18"/>
                <w:color w:val="auto"/>
              </w:rPr>
            </w:pPr>
          </w:p>
        </w:tc>
      </w:tr>
      <w:tr>
        <w:trPr>
          <w:trHeight w:val="229"/>
        </w:trPr>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6.8%</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-7.7%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+14.5ppts</w:t>
            </w:r>
          </w:p>
        </w:tc>
      </w:tr>
      <w:tr>
        <w:trPr>
          <w:trHeight w:val="230"/>
        </w:trPr>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(31.2)</w:t>
            </w:r>
          </w:p>
        </w:tc>
      </w:tr>
      <w:tr>
        <w:trPr>
          <w:trHeight w:val="230"/>
        </w:trPr>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(45.7)</w:t>
            </w:r>
          </w:p>
        </w:tc>
      </w:tr>
      <w:tr>
        <w:trPr>
          <w:trHeight w:val="236"/>
        </w:trPr>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732</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784</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-436880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-145415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-736600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200" w:space="720"/>
            <w:col w:w="4320"/>
          </w:cols>
          <w:pgMar w:left="320" w:top="351" w:right="339" w:bottom="1440" w:gutter="0" w:footer="0" w:header="0"/>
          <w:type w:val="continuous"/>
        </w:sect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totaled an estimated 12,304 cars, up 76.4% YoY supported by a growing uptake of newer models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increased by USD 278 million, up 84.2% YoY, driven predominantly by higher volumes and favorable shift in the product mix</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4" w:name="page5"/>
    <w:bookmarkEnd w:id="4"/>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02870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at a positive 6.8%, an improvement of 14.5ppts YoY, due to a growing share of higher margin models, however impacted by more competitive pricing compared with the Q1 2024 level</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USD 190 million, a decrease of USD 86 million, driven by gross profit improvement and fixed cost savings and a positive foreign exchange impact within net finance expenses, partially offset by our share of the losses in the Joint Venture (JV) with Hubei Xingji Meizu Group Co. Ltd and lower positive fair value change of earn out rights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USD 115 million, decreased by USD 97 million due to gross margin improvement, cost savings from headcount reduction in 2024, optimized marketing spend, and positive FX impacts partially offset by the share of losses in the JV in China</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position of USD 732 million is nearly at the same level as the 2024 year-end cash position of USD 739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key operational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preliminary operational highlights as of and for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9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 Change</w:t>
            </w:r>
          </w:p>
        </w:tc>
        <w:tc>
          <w:tcPr>
            <w:tcW w:w="100" w:type="dxa"/>
            <w:vAlign w:val="bottom"/>
            <w:tcBorders>
              <w:bottom w:val="single" w:sz="8" w:color="CCEEFF"/>
            </w:tcBorders>
          </w:tcPr>
          <w:p>
            <w:pPr>
              <w:spacing w:after="0"/>
              <w:rPr>
                <w:sz w:val="19"/>
                <w:szCs w:val="19"/>
                <w:color w:val="auto"/>
              </w:rPr>
            </w:pPr>
          </w:p>
        </w:tc>
      </w:tr>
      <w:tr>
        <w:trPr>
          <w:trHeight w:val="237"/>
        </w:trPr>
        <w:tc>
          <w:tcPr>
            <w:tcW w:w="698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 xml:space="preserve">Retail sales </w:t>
            </w:r>
            <w:r>
              <w:rPr>
                <w:rFonts w:ascii="Times New Roman" w:cs="Times New Roman" w:eastAsia="Times New Roman" w:hAnsi="Times New Roman"/>
                <w:sz w:val="27"/>
                <w:szCs w:val="27"/>
                <w:b w:val="1"/>
                <w:bCs w:val="1"/>
                <w:color w:val="auto"/>
                <w:vertAlign w:val="superscript"/>
              </w:rPr>
              <w:t>1</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12,304</w:t>
            </w: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6,975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76.5</w:t>
            </w:r>
          </w:p>
        </w:tc>
      </w:tr>
      <w:tr>
        <w:trPr>
          <w:trHeight w:val="216"/>
        </w:trPr>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including external vehicles with repurchase obligations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(65.3)</w:t>
            </w:r>
          </w:p>
        </w:tc>
      </w:tr>
      <w:tr>
        <w:trPr>
          <w:trHeight w:val="216"/>
        </w:trPr>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internal vehicles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68.8</w:t>
            </w:r>
          </w:p>
        </w:tc>
      </w:tr>
      <w:tr>
        <w:trPr>
          <w:trHeight w:val="257"/>
        </w:trPr>
        <w:tc>
          <w:tcPr>
            <w:tcW w:w="74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w w:val="96"/>
              </w:rPr>
              <w:t>Markets</w:t>
            </w:r>
            <w:r>
              <w:rPr>
                <w:rFonts w:ascii="Times New Roman" w:cs="Times New Roman" w:eastAsia="Times New Roman" w:hAnsi="Times New Roman"/>
                <w:sz w:val="29"/>
                <w:szCs w:val="29"/>
                <w:b w:val="1"/>
                <w:bCs w:val="1"/>
                <w:color w:val="auto"/>
                <w:w w:val="96"/>
                <w:vertAlign w:val="superscript"/>
              </w:rPr>
              <w:t>2</w:t>
            </w:r>
          </w:p>
        </w:tc>
        <w:tc>
          <w:tcPr>
            <w:tcW w:w="62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unch</w:t>
            </w:r>
          </w:p>
        </w:tc>
      </w:tr>
      <w:tr>
        <w:trPr>
          <w:trHeight w:val="256"/>
        </w:trPr>
        <w:tc>
          <w:tcPr>
            <w:tcW w:w="6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Sales points</w:t>
            </w:r>
            <w:r>
              <w:rPr>
                <w:rFonts w:ascii="Times New Roman" w:cs="Times New Roman" w:eastAsia="Times New Roman" w:hAnsi="Times New Roman"/>
                <w:sz w:val="29"/>
                <w:szCs w:val="29"/>
                <w:b w:val="1"/>
                <w:bCs w:val="1"/>
                <w:color w:val="auto"/>
                <w:vertAlign w:val="superscript"/>
              </w:rPr>
              <w:t>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0.6</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 which sales points, excluding China</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32.8</w:t>
            </w:r>
          </w:p>
        </w:tc>
      </w:tr>
      <w:tr>
        <w:trPr>
          <w:trHeight w:val="256"/>
        </w:trPr>
        <w:tc>
          <w:tcPr>
            <w:tcW w:w="6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Service points</w:t>
            </w:r>
            <w:r>
              <w:rPr>
                <w:rFonts w:ascii="Times New Roman" w:cs="Times New Roman" w:eastAsia="Times New Roman" w:hAnsi="Times New Roman"/>
                <w:sz w:val="29"/>
                <w:szCs w:val="29"/>
                <w:b w:val="1"/>
                <w:bCs w:val="1"/>
                <w:color w:val="auto"/>
                <w:vertAlign w:val="superscript"/>
              </w:rPr>
              <w:t>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1.4</w:t>
            </w:r>
          </w:p>
        </w:tc>
      </w:tr>
    </w:tbl>
    <w:p>
      <w:pPr>
        <w:spacing w:after="0" w:line="225" w:lineRule="exact"/>
        <w:rPr>
          <w:sz w:val="20"/>
          <w:szCs w:val="20"/>
          <w:color w:val="auto"/>
        </w:rPr>
      </w:pPr>
    </w:p>
    <w:p>
      <w:pPr>
        <w:jc w:val="both"/>
        <w:ind w:left="380" w:hanging="372"/>
        <w:spacing w:after="0" w:line="257"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figures are sales to end customers. Retail Sales include new cars handed over via all sales channels and all sale types, including but not restricted to internal, fleet, retail, rental and leaseholders’ channels across all markets irrespective of their market model and setup and may or may not generate directly revenue for Polestar.</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Sales Points, including retail locations which are physical facilities (such as showrooms), actively selling Polestar cars, and pre-space activations, which represent locations with an ongoing project to build a retail location that have already started selling Polestar cars.</w:t>
      </w: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2870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Key loan facilities and funding highlights</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USD 800 million in term facilities secured from several banks at the end of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USD 900 million worth of facilities secured or renewed in February 2025</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up to USD 450 million in term facilities secured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Trade Finance Facility (TFF) with a syndicate of global banks renewed for EUR 480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regarding the Company’s USD 950 million ‘club loan’, the lenders agreed to amend the revenue covenant for 2024 to ensure its compliance and also agreed to waive testing of the year-end 2024 and Q1 2025 debt-to-asset ratio covenant. The Company is continuing to have a constructive dialogue with lenders regarding its future club loan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work closely with Geely Group on securing new equity and debt funding.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still at an acceptable debt level in relation to its loan covenants.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recent developments</w:t>
      </w:r>
    </w:p>
    <w:p>
      <w:pPr>
        <w:spacing w:after="0" w:line="22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to launch in France in summer 2025 with Stéphane Le Guevel appointed Managing Director</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change in market focus and strategy, the business of the JV in China has been terminated and distribution rights transferred to Polestar. Polestar remains fully committed to the Chinese market and will continue to pursue its long-term strategy for growth and innovation, whilst protecting its premium brand position in China.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operational highlights</w:t>
      </w:r>
    </w:p>
    <w:p>
      <w:pPr>
        <w:spacing w:after="0" w:line="22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2 model year 2026 introduced and available to order, including new features and technology updates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achieved a five-star Euro NCAP rating, setting new standards for child occupancy protection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4 won ‘Car of the Year’ in South Korea</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key functionality added to Polestar 3 and Polestar 4 thanks to over-the-air update capability</w:t>
      </w:r>
    </w:p>
    <w:p>
      <w:pPr>
        <w:spacing w:after="0" w:line="9" w:lineRule="exact"/>
        <w:rPr>
          <w:rFonts w:ascii="Times New Roman" w:cs="Times New Roman" w:eastAsia="Times New Roman" w:hAnsi="Times New Roman"/>
          <w:sz w:val="18"/>
          <w:szCs w:val="18"/>
          <w:color w:val="auto"/>
        </w:rPr>
      </w:pPr>
    </w:p>
    <w:p>
      <w:pPr>
        <w:ind w:left="340" w:hanging="332"/>
        <w:spacing w:after="0" w:line="185"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Polestar 2024 Annual Sustainability report published: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6"/>
          <w:szCs w:val="16"/>
          <w:color w:val="auto"/>
        </w:rPr>
        <w:t xml:space="preserve"> emissions reduced by 25% per car sold</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Energy launched in 11 markets, offering customers smarter, more efficient and cheaper home charging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2870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measures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tc>
        <w:tc>
          <w:tcPr>
            <w:tcW w:w="13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23"/>
        </w:trPr>
        <w:tc>
          <w:tcPr>
            <w:tcW w:w="8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change - Earn-out rights</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change - Class C Shares</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expense</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(115)</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(212)</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Michael Lohscheller, CEO, and Jean-Francois Mady, CFO, will host a conference call today, 12 May 2025, at 14:00 CET. To join the call, please follow the instructions available under Events on the Polestar Investor Relations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figures are in millions of U.S. dollars (USD). Unless stated otherwise, the performance shown in this press release covers the three-month period ended 31 March 2025 (Q1 2025), compared to the three-month period ended 31 March 2024 (Q1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Calendar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expects to report its retail sales volumes for Q2 2025 on 10 July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2870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Polestar uses both generally accepted accounting principles (“GAAP,” i.e., IFRS) and non-GAAP (i.e., non-IFRS) financial measures to evaluate operating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assessing Polestar's operating performance.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non-GAAP financial measures used in this press release are Adjusted EBITDA and Free Cash Flow: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calculated as net loss, adjusted to exclude listing expense, fair value change - Earn-out rights, fair value change - Class C Shares, finance expense, finance income, income tax benefit (expense), depreciation and amortization, impairment of property, plant and equipment, vehicles under operating leases, and intangibles assets, restructuring costs, disposals of investments, and unusual operating income and expenses that are considered rare or discrete events and are infrequent in nature. Depreciation and amortization includes (1) depreciation and amortization capitalized into the carrying value of inventory sold (i.e., part of inventory costs) and (2) depreciation and amortization expense. Restructuring costs include expenses associated with programs that were planned and controlled by management, and materially changed either (1) the scope of a business undertaken by the Group or (2) the manner in which business is conducted. Disposals of investments include disposals of, by sales or otherwise, (1) debt or equity financial instruments issued by another entity that are held as investments, (2) intangible assets, (3) property, plant, and equipment, and (4) groups of assets and liabilities representing disposal groups that were transferred together as part of individual transactions.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measure is reviewed by management and management considers it to be a relevant measure for understanding the underlying operating results and trends of the core business prior to the impact of any adjusting items.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2870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December 2024, Adjusted EBITDA was calculated as net loss, adjusted for listing expense, fair value change - Earn-out rights, fair value change - Class C Shares, interest income, interest expense, income tax benefit (expense), depreciation and amortization, and the impairment of property, plant and equipment, vehicles under operating leases, and intangibles assets.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was refined during December 2024 to change interest income and interest expense to finance income and finance expense, respectively, in order to exclude the effects of all items associated with financing activities of the Group instead of only interest related items. Additionally, exclusions for restructuring costs, disposals of investments, and unusual other operating income and expenses that are considered rare or discrete events and are infrequent in nature were added to the calculation to further refine management's view of earnings from core operations. The definition of depreciation and amortization was also changed to include depreciation and amortization capitalized into the carrying value of inventory sold (i.e., part of inventory costs) to account for the Group's change in the pattern of consumption of the future economic benefits embodied in internally developed and acquired intellectual property for the Polestar 2 from the straight-line method to units of production method in the fourth quarter of the year ended December 31, 2023. This method is also applicable to internally developed and acquired intellectual property for the Polestar 4, which entered production in the fourth quarter of the year ended December 31, 2023 and the Polestar 3, which entered production in the first quarter of the year ended December 31, 2024. The change to the definition of depreciation and amortization clarifies that the impact of all depreciation and amortization, irrespective of methodology and expense nature, is excluded from net loss for this measure. These changes provide a clearer view of earnings from core operations from management's perspective and improve comparability of earnings from core operations across reporting periods. Accordingly, Adjusted EBITDA for the comparative period is recast for the new calculation and presented alongside the historical calculation for comparability.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unaudited financial and operational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financial and operational information published in this press release is subject to potential adjustments. Potential adjustments to operational and consolidated financial information may be identified from work performed during Polestar’s year-end audit. This could result in differences from the unaudited operational and financial information published herein. For the avoidance of doubt, the unaudited operational and financial information published in this press release should not be considered a substitute for the financial information filed with the SEC in Polestar’s Annual Reports on Form 20-F.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2870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27 markets globally across North America, Europe and Asia Pacific.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three models in its line-up: Polestar 2, Polestar 3, and Polestar 4. Planned models include the Polestar 5 four-door GT (to be introduced in 2025),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2870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3" w:lineRule="exact"/>
        <w:rPr>
          <w:sz w:val="20"/>
          <w:szCs w:val="20"/>
          <w:color w:val="auto"/>
        </w:rPr>
      </w:pPr>
    </w:p>
    <w:p>
      <w:pPr>
        <w:jc w:val="both"/>
        <w:ind w:firstLine="8"/>
        <w:spacing w:after="0" w:line="250" w:lineRule="auto"/>
        <w:tabs>
          <w:tab w:leader="none" w:pos="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tax audits, investigations and inquiries; (21) Polestar’s ability to continuously and rapidly innovate, develop and market new products; (22) the impact of the ongoing conflict between Ukraine and Russia and in Israel, the Gaza Strip and the Red Sea; and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2025-05-12T06:16:37Z</dcterms:created>
  <dcterms:modified xsi:type="dcterms:W3CDTF">2025-05-12T06:16:37Z</dcterms:modified>
</cp:coreProperties>
</file>