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UNITED STATES</w:t>
      </w:r>
    </w:p>
    <w:p>
      <w:pPr>
        <w:jc w:val="center"/>
        <w:ind w:right="20"/>
        <w:spacing w:after="0" w:line="208"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20-F/A</w:t>
      </w:r>
    </w:p>
    <w:p>
      <w:pPr>
        <w:spacing w:after="0" w:line="2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0" w:lineRule="exact"/>
        <w:rPr>
          <w:sz w:val="24"/>
          <w:szCs w:val="24"/>
          <w:color w:val="auto"/>
        </w:rPr>
      </w:pPr>
    </w:p>
    <w:p>
      <w:pPr>
        <w:ind w:left="440" w:hanging="348"/>
        <w:spacing w:after="0"/>
        <w:tabs>
          <w:tab w:leader="none" w:pos="4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REGISTRATION STATEMENT PURSUANT TO SECTION 12(B) OR 12(G) 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2" w:lineRule="exact"/>
        <w:rPr>
          <w:sz w:val="24"/>
          <w:szCs w:val="24"/>
          <w:color w:val="auto"/>
        </w:rPr>
      </w:pPr>
    </w:p>
    <w:p>
      <w:pPr>
        <w:ind w:left="1080" w:hanging="357"/>
        <w:spacing w:after="0"/>
        <w:tabs>
          <w:tab w:leader="none" w:pos="10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2023</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74" w:lineRule="exact"/>
        <w:rPr>
          <w:sz w:val="24"/>
          <w:szCs w:val="24"/>
          <w:color w:val="auto"/>
        </w:rPr>
      </w:pPr>
    </w:p>
    <w:p>
      <w:pPr>
        <w:ind w:left="880" w:hanging="347"/>
        <w:spacing w:after="0"/>
        <w:tabs>
          <w:tab w:leader="none" w:pos="880" w:val="left"/>
        </w:tabs>
        <w:numPr>
          <w:ilvl w:val="0"/>
          <w:numId w:val="3"/>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2" w:lineRule="exact"/>
        <w:rPr>
          <w:sz w:val="24"/>
          <w:szCs w:val="24"/>
          <w:color w:val="auto"/>
        </w:rPr>
      </w:pPr>
    </w:p>
    <w:p>
      <w:pPr>
        <w:ind w:left="660" w:hanging="349"/>
        <w:spacing w:after="0"/>
        <w:tabs>
          <w:tab w:leader="none" w:pos="660" w:val="left"/>
        </w:tabs>
        <w:numPr>
          <w:ilvl w:val="0"/>
          <w:numId w:val="4"/>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SHELL COMPANY REPORT PURSUANT TO SECTION 13 OR 15(D) 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Date of event requiring this shell company report:</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Commission File Number: 001-41431</w:t>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7"/>
          <w:szCs w:val="37"/>
          <w:b w:val="1"/>
          <w:bCs w:val="1"/>
          <w:color w:val="auto"/>
        </w:rPr>
        <w:t>Polestar Automotive Holding UK PLC</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jc w:val="center"/>
              <w:ind w:left="1286"/>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60" w:type="dxa"/>
            <w:vAlign w:val="bottom"/>
          </w:tcPr>
          <w:p>
            <w:pPr>
              <w:jc w:val="center"/>
              <w:ind w:right="1305"/>
              <w:spacing w:after="0"/>
              <w:rPr>
                <w:sz w:val="20"/>
                <w:szCs w:val="20"/>
                <w:color w:val="auto"/>
              </w:rPr>
            </w:pPr>
            <w:r>
              <w:rPr>
                <w:rFonts w:ascii="Times New Roman" w:cs="Times New Roman" w:eastAsia="Times New Roman" w:hAnsi="Times New Roman"/>
                <w:sz w:val="15"/>
                <w:szCs w:val="15"/>
                <w:b w:val="1"/>
                <w:bCs w:val="1"/>
                <w:color w:val="auto"/>
              </w:rPr>
              <w:t>England and Wales</w:t>
            </w:r>
          </w:p>
        </w:tc>
        <w:tc>
          <w:tcPr>
            <w:tcW w:w="0" w:type="dxa"/>
            <w:vAlign w:val="bottom"/>
          </w:tcPr>
          <w:p>
            <w:pPr>
              <w:spacing w:after="0"/>
              <w:rPr>
                <w:sz w:val="1"/>
                <w:szCs w:val="1"/>
                <w:color w:val="auto"/>
              </w:rPr>
            </w:pPr>
          </w:p>
        </w:tc>
      </w:tr>
      <w:tr>
        <w:trPr>
          <w:trHeight w:val="162"/>
        </w:trPr>
        <w:tc>
          <w:tcPr>
            <w:tcW w:w="4260" w:type="dxa"/>
            <w:vAlign w:val="bottom"/>
          </w:tcPr>
          <w:p>
            <w:pPr>
              <w:jc w:val="center"/>
              <w:ind w:left="1286"/>
              <w:spacing w:after="0"/>
              <w:rPr>
                <w:sz w:val="20"/>
                <w:szCs w:val="20"/>
                <w:color w:val="auto"/>
              </w:rPr>
            </w:pPr>
            <w:r>
              <w:rPr>
                <w:rFonts w:ascii="Times New Roman" w:cs="Times New Roman" w:eastAsia="Times New Roman" w:hAnsi="Times New Roman"/>
                <w:sz w:val="12"/>
                <w:szCs w:val="12"/>
                <w:b w:val="1"/>
                <w:bCs w:val="1"/>
                <w:color w:val="auto"/>
              </w:rPr>
              <w:t>(Translation of Registrant’s name into English)</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jc w:val="center"/>
              <w:ind w:right="1305"/>
              <w:spacing w:after="0"/>
              <w:rPr>
                <w:sz w:val="20"/>
                <w:szCs w:val="20"/>
                <w:color w:val="auto"/>
              </w:rPr>
            </w:pPr>
            <w:r>
              <w:rPr>
                <w:rFonts w:ascii="Times New Roman" w:cs="Times New Roman" w:eastAsia="Times New Roman" w:hAnsi="Times New Roman"/>
                <w:sz w:val="12"/>
                <w:szCs w:val="12"/>
                <w:b w:val="1"/>
                <w:bCs w:val="1"/>
                <w:color w:val="auto"/>
              </w:rPr>
              <w:t>(Jurisdiction of incorporation or organization)</w:t>
            </w:r>
          </w:p>
        </w:tc>
        <w:tc>
          <w:tcPr>
            <w:tcW w:w="0" w:type="dxa"/>
            <w:vAlign w:val="bottom"/>
          </w:tcPr>
          <w:p>
            <w:pPr>
              <w:spacing w:after="0"/>
              <w:rPr>
                <w:sz w:val="1"/>
                <w:szCs w:val="1"/>
                <w:color w:val="auto"/>
              </w:rPr>
            </w:pPr>
          </w:p>
        </w:tc>
      </w:tr>
      <w:tr>
        <w:trPr>
          <w:trHeight w:val="220"/>
        </w:trPr>
        <w:tc>
          <w:tcPr>
            <w:tcW w:w="4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Assar Gabrielssons Väg 9</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260" w:type="dxa"/>
            <w:vAlign w:val="bottom"/>
          </w:tcPr>
          <w:p>
            <w:pPr>
              <w:spacing w:after="0"/>
              <w:rPr>
                <w:sz w:val="13"/>
                <w:szCs w:val="13"/>
                <w:color w:val="auto"/>
              </w:rPr>
            </w:pPr>
          </w:p>
        </w:tc>
        <w:tc>
          <w:tcPr>
            <w:tcW w:w="2740" w:type="dxa"/>
            <w:vAlign w:val="bottom"/>
            <w:gridSpan w:val="5"/>
          </w:tcPr>
          <w:p>
            <w:pPr>
              <w:jc w:val="center"/>
              <w:ind w:right="20"/>
              <w:spacing w:after="0" w:line="151" w:lineRule="exact"/>
              <w:rPr>
                <w:sz w:val="20"/>
                <w:szCs w:val="20"/>
                <w:color w:val="auto"/>
              </w:rPr>
            </w:pPr>
            <w:r>
              <w:rPr>
                <w:rFonts w:ascii="Times New Roman" w:cs="Times New Roman" w:eastAsia="Times New Roman" w:hAnsi="Times New Roman"/>
                <w:sz w:val="15"/>
                <w:szCs w:val="15"/>
                <w:b w:val="1"/>
                <w:bCs w:val="1"/>
                <w:color w:val="auto"/>
              </w:rPr>
              <w:t>405 31 Gothenburg, Sweden</w:t>
            </w: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274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Michael Lohscheller</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3"/>
          </w:tcPr>
          <w:p>
            <w:pPr>
              <w:jc w:val="center"/>
              <w:ind w:right="480"/>
              <w:spacing w:after="0" w:line="155" w:lineRule="exact"/>
              <w:rPr>
                <w:sz w:val="20"/>
                <w:szCs w:val="20"/>
                <w:color w:val="auto"/>
              </w:rPr>
            </w:pPr>
            <w:r>
              <w:rPr>
                <w:rFonts w:ascii="Times New Roman" w:cs="Times New Roman" w:eastAsia="Times New Roman" w:hAnsi="Times New Roman"/>
                <w:sz w:val="15"/>
                <w:szCs w:val="15"/>
                <w:b w:val="1"/>
                <w:bCs w:val="1"/>
                <w:color w:val="auto"/>
              </w:rPr>
              <w:t>Assar Gabrielssons Väg 9</w:t>
            </w: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60" w:type="dxa"/>
            <w:vAlign w:val="bottom"/>
          </w:tcPr>
          <w:p>
            <w:pPr>
              <w:spacing w:after="0"/>
              <w:rPr>
                <w:sz w:val="13"/>
                <w:szCs w:val="13"/>
                <w:color w:val="auto"/>
              </w:rPr>
            </w:pPr>
          </w:p>
        </w:tc>
        <w:tc>
          <w:tcPr>
            <w:tcW w:w="2740" w:type="dxa"/>
            <w:vAlign w:val="bottom"/>
            <w:gridSpan w:val="5"/>
          </w:tcPr>
          <w:p>
            <w:pPr>
              <w:jc w:val="center"/>
              <w:ind w:right="20"/>
              <w:spacing w:after="0" w:line="158" w:lineRule="exact"/>
              <w:rPr>
                <w:sz w:val="20"/>
                <w:szCs w:val="20"/>
                <w:color w:val="auto"/>
              </w:rPr>
            </w:pPr>
            <w:r>
              <w:rPr>
                <w:rFonts w:ascii="Times New Roman" w:cs="Times New Roman" w:eastAsia="Times New Roman" w:hAnsi="Times New Roman"/>
                <w:sz w:val="15"/>
                <w:szCs w:val="15"/>
                <w:b w:val="1"/>
                <w:bCs w:val="1"/>
                <w:color w:val="auto"/>
              </w:rPr>
              <w:t>405 31 Gothenburg, Sweden</w:t>
            </w: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3"/>
          </w:tcPr>
          <w:p>
            <w:pPr>
              <w:jc w:val="center"/>
              <w:ind w:right="460"/>
              <w:spacing w:after="0" w:line="151" w:lineRule="exact"/>
              <w:rPr>
                <w:sz w:val="20"/>
                <w:szCs w:val="20"/>
                <w:color w:val="auto"/>
              </w:rPr>
            </w:pPr>
            <w:r>
              <w:rPr>
                <w:rFonts w:ascii="Times New Roman" w:cs="Times New Roman" w:eastAsia="Times New Roman" w:hAnsi="Times New Roman"/>
                <w:sz w:val="15"/>
                <w:szCs w:val="15"/>
                <w:b w:val="1"/>
                <w:bCs w:val="1"/>
                <w:color w:val="auto"/>
              </w:rPr>
              <w:t>Tel: +1 551 284 9479</w:t>
            </w: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3"/>
          </w:tcPr>
          <w:p>
            <w:pPr>
              <w:jc w:val="center"/>
              <w:ind w:right="480"/>
              <w:spacing w:after="0" w:line="152" w:lineRule="exact"/>
              <w:rPr>
                <w:sz w:val="20"/>
                <w:szCs w:val="20"/>
                <w:color w:val="auto"/>
              </w:rPr>
            </w:pPr>
            <w:r>
              <w:rPr>
                <w:rFonts w:ascii="Times New Roman" w:cs="Times New Roman" w:eastAsia="Times New Roman" w:hAnsi="Times New Roman"/>
                <w:sz w:val="15"/>
                <w:szCs w:val="15"/>
                <w:b w:val="1"/>
                <w:bCs w:val="1"/>
                <w:color w:val="auto"/>
              </w:rPr>
              <w:t>ir@polestar.com</w:t>
            </w: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rPr>
              <w:t>(Name, Telephone, Email and/or Facsimile number and Address of Company Contact Person)</w:t>
            </w:r>
          </w:p>
        </w:tc>
        <w:tc>
          <w:tcPr>
            <w:tcW w:w="0" w:type="dxa"/>
            <w:vAlign w:val="bottom"/>
          </w:tcPr>
          <w:p>
            <w:pPr>
              <w:spacing w:after="0"/>
              <w:rPr>
                <w:sz w:val="1"/>
                <w:szCs w:val="1"/>
                <w:color w:val="auto"/>
              </w:rPr>
            </w:pPr>
          </w:p>
        </w:tc>
      </w:tr>
      <w:tr>
        <w:trPr>
          <w:trHeight w:val="184"/>
        </w:trPr>
        <w:tc>
          <w:tcPr>
            <w:tcW w:w="470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12(b) of the Securities Exchange Act of 1934,</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2740" w:type="dxa"/>
            <w:vAlign w:val="bottom"/>
            <w:gridSpan w:val="5"/>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as amended (the “Exchange Act”):</w:t>
            </w: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4260" w:type="dxa"/>
            <w:vAlign w:val="bottom"/>
            <w:vMerge w:val="restart"/>
          </w:tcPr>
          <w:p>
            <w:pPr>
              <w:jc w:val="center"/>
              <w:ind w:left="346"/>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44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0" w:type="dxa"/>
            <w:vAlign w:val="bottom"/>
          </w:tcPr>
          <w:p>
            <w:pPr>
              <w:spacing w:after="0"/>
              <w:rPr>
                <w:sz w:val="8"/>
                <w:szCs w:val="8"/>
                <w:color w:val="auto"/>
              </w:rPr>
            </w:pPr>
          </w:p>
        </w:tc>
        <w:tc>
          <w:tcPr>
            <w:tcW w:w="360" w:type="dxa"/>
            <w:vAlign w:val="bottom"/>
            <w:vMerge w:val="restart"/>
          </w:tcPr>
          <w:p>
            <w:pPr>
              <w:spacing w:after="0"/>
              <w:rPr>
                <w:sz w:val="8"/>
                <w:szCs w:val="8"/>
                <w:color w:val="auto"/>
              </w:rPr>
            </w:pPr>
          </w:p>
        </w:tc>
        <w:tc>
          <w:tcPr>
            <w:tcW w:w="42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7"/>
        </w:trPr>
        <w:tc>
          <w:tcPr>
            <w:tcW w:w="42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4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rPr>
              <w:t>Class A American Depositary Shares</w:t>
            </w:r>
          </w:p>
        </w:tc>
        <w:tc>
          <w:tcPr>
            <w:tcW w:w="4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PSNY</w:t>
            </w:r>
          </w:p>
        </w:tc>
        <w:tc>
          <w:tcPr>
            <w:tcW w:w="20" w:type="dxa"/>
            <w:vAlign w:val="bottom"/>
            <w:shd w:val="clear" w:color="auto" w:fill="000000"/>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tcPr>
          <w:p>
            <w:pPr>
              <w:jc w:val="center"/>
              <w:ind w:right="285"/>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97"/>
        </w:trPr>
        <w:tc>
          <w:tcPr>
            <w:tcW w:w="426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Class A Ordinary Shares, par value $0.01 each*</w:t>
            </w:r>
          </w:p>
        </w:tc>
        <w:tc>
          <w:tcPr>
            <w:tcW w:w="4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000000"/>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Pr>
          <w:p>
            <w:pPr>
              <w:jc w:val="center"/>
              <w:ind w:right="285"/>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97"/>
        </w:trPr>
        <w:tc>
          <w:tcPr>
            <w:tcW w:w="426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rPr>
              <w:t>Class C-1 American Depositary Shares</w:t>
            </w:r>
          </w:p>
        </w:tc>
        <w:tc>
          <w:tcPr>
            <w:tcW w:w="4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PSNYW</w:t>
            </w:r>
          </w:p>
        </w:tc>
        <w:tc>
          <w:tcPr>
            <w:tcW w:w="20" w:type="dxa"/>
            <w:vAlign w:val="bottom"/>
            <w:shd w:val="clear" w:color="auto" w:fill="000000"/>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Pr>
          <w:p>
            <w:pPr>
              <w:jc w:val="center"/>
              <w:ind w:right="285"/>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200"/>
        </w:trPr>
        <w:tc>
          <w:tcPr>
            <w:tcW w:w="426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Class C-1 Ordinary Shares, par value $0.10 each**</w:t>
            </w:r>
          </w:p>
        </w:tc>
        <w:tc>
          <w:tcPr>
            <w:tcW w:w="4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000000"/>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Pr>
          <w:p>
            <w:pPr>
              <w:jc w:val="center"/>
              <w:ind w:right="285"/>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744"/>
        </w:trPr>
        <w:tc>
          <w:tcPr>
            <w:tcW w:w="4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94" w:right="319" w:bottom="1440" w:gutter="0" w:footer="0" w:header="0"/>
        </w:sectPr>
      </w:pPr>
    </w:p>
    <w:bookmarkStart w:id="1" w:name="page2"/>
    <w:bookmarkEnd w:id="1"/>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 xml:space="preserve">Securities registered or to be registered pursuant to Section 12(g) of the Exchange Act: </w:t>
      </w:r>
      <w:r>
        <w:rPr>
          <w:rFonts w:ascii="Times New Roman" w:cs="Times New Roman" w:eastAsia="Times New Roman" w:hAnsi="Times New Roman"/>
          <w:sz w:val="15"/>
          <w:szCs w:val="15"/>
          <w:color w:val="auto"/>
        </w:rPr>
        <w:t>None</w:t>
      </w:r>
    </w:p>
    <w:p>
      <w:pPr>
        <w:spacing w:after="0" w:line="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 xml:space="preserve">Securities for which there is a reporting obligation pursuant to Section 15(d) of the Exchange Act: </w:t>
      </w:r>
      <w:r>
        <w:rPr>
          <w:rFonts w:ascii="Times New Roman" w:cs="Times New Roman" w:eastAsia="Times New Roman" w:hAnsi="Times New Roman"/>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Indicate the number of outstanding shares of each of the issuer’s classes of capital or common stock as of the close of the period covered by the shell company report: On December</w:t>
      </w:r>
    </w:p>
    <w:p>
      <w:pPr>
        <w:spacing w:after="0" w:line="6" w:lineRule="exact"/>
        <w:rPr>
          <w:sz w:val="20"/>
          <w:szCs w:val="20"/>
          <w:color w:val="auto"/>
        </w:rPr>
      </w:pPr>
    </w:p>
    <w:p>
      <w:pPr>
        <w:jc w:val="both"/>
        <w:ind w:left="8"/>
        <w:spacing w:after="0" w:line="214" w:lineRule="auto"/>
        <w:rPr>
          <w:sz w:val="20"/>
          <w:szCs w:val="20"/>
          <w:color w:val="auto"/>
        </w:rPr>
      </w:pPr>
      <w:r>
        <w:rPr>
          <w:rFonts w:ascii="Times New Roman" w:cs="Times New Roman" w:eastAsia="Times New Roman" w:hAnsi="Times New Roman"/>
          <w:sz w:val="15"/>
          <w:szCs w:val="15"/>
          <w:color w:val="auto"/>
        </w:rPr>
        <w:t>31, 2023, the issuer had 467,976,748 Class A Shares (as defined in this Report) in the form of Class A ADSs (as defined in this Report) issued and outstanding, 1,642,233,575 Class B Shares (as defined in this Report) in the form of Class B ADSs (as defined in this Report) issued and outstanding, 20,499,965 Class C-1 Shares (as defined in this Report) in the form of Class C-1 ADSs (as defined in this Report) issued and outstanding and 4,500,000 Class C-2 Shares (as defined in this Report) in the form of Class C-2 ADSs (as defined</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in this Report) issued and outstanding.</w:t>
      </w:r>
    </w:p>
    <w:p>
      <w:pPr>
        <w:spacing w:after="0" w:line="19" w:lineRule="exact"/>
        <w:rPr>
          <w:sz w:val="20"/>
          <w:szCs w:val="20"/>
          <w:color w:val="auto"/>
        </w:rPr>
      </w:pPr>
    </w:p>
    <w:p>
      <w:pPr>
        <w:ind w:left="8"/>
        <w:spacing w:after="0" w:line="173" w:lineRule="exact"/>
        <w:tabs>
          <w:tab w:leader="none" w:pos="7368" w:val="left"/>
          <w:tab w:leader="none" w:pos="7968" w:val="left"/>
        </w:tabs>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0"/>
          <w:szCs w:val="20"/>
          <w:color w:val="auto"/>
        </w:rPr>
      </w:pPr>
    </w:p>
    <w:p>
      <w:pPr>
        <w:jc w:val="both"/>
        <w:ind w:left="8" w:right="20"/>
        <w:spacing w:after="0" w:line="193" w:lineRule="exact"/>
        <w:rPr>
          <w:sz w:val="20"/>
          <w:szCs w:val="20"/>
          <w:color w:val="auto"/>
        </w:rPr>
      </w:pPr>
      <w:r>
        <w:rPr>
          <w:rFonts w:ascii="Times New Roman" w:cs="Times New Roman" w:eastAsia="Times New Roman" w:hAnsi="Times New Roman"/>
          <w:sz w:val="15"/>
          <w:szCs w:val="15"/>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p>
    <w:p>
      <w:pPr>
        <w:jc w:val="both"/>
        <w:ind w:left="8" w:right="2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1" w:lineRule="exact"/>
        <w:rPr>
          <w:sz w:val="20"/>
          <w:szCs w:val="20"/>
          <w:color w:val="auto"/>
        </w:rPr>
      </w:pPr>
    </w:p>
    <w:p>
      <w:pPr>
        <w:jc w:val="both"/>
        <w:ind w:left="8"/>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8" w:lineRule="exact"/>
        <w:rPr>
          <w:sz w:val="20"/>
          <w:szCs w:val="20"/>
          <w:color w:val="auto"/>
        </w:rPr>
      </w:pPr>
    </w:p>
    <w:p>
      <w:pPr>
        <w:jc w:val="both"/>
        <w:ind w:left="8" w:right="20"/>
        <w:spacing w:after="0" w:line="26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292"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92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3680" w:type="dxa"/>
            <w:vAlign w:val="bottom"/>
          </w:tcPr>
          <w:p>
            <w:pPr>
              <w:ind w:left="128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tc>
        <w:tc>
          <w:tcPr>
            <w:tcW w:w="308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Non-accelerated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19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8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24" w:lineRule="exact"/>
        <w:rPr>
          <w:sz w:val="20"/>
          <w:szCs w:val="20"/>
          <w:color w:val="auto"/>
        </w:rPr>
      </w:pPr>
    </w:p>
    <w:p>
      <w:pPr>
        <w:ind w:left="8" w:right="20"/>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0"/>
          <w:szCs w:val="20"/>
          <w:color w:val="auto"/>
        </w:rPr>
      </w:pPr>
    </w:p>
    <w:p>
      <w:pPr>
        <w:ind w:left="368" w:hanging="368"/>
        <w:spacing w:after="0" w:line="263" w:lineRule="auto"/>
        <w:tabs>
          <w:tab w:leader="none" w:pos="23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“new or revised financial accounting standard” refers to any update issued by the Financial Accounting Standards Board to its Accounting Standards Codification after April 5, 2012.</w:t>
      </w:r>
    </w:p>
    <w:p>
      <w:pPr>
        <w:spacing w:after="0" w:line="235" w:lineRule="exact"/>
        <w:rPr>
          <w:sz w:val="20"/>
          <w:szCs w:val="20"/>
          <w:color w:val="auto"/>
        </w:rPr>
      </w:pPr>
    </w:p>
    <w:p>
      <w:pPr>
        <w:ind w:left="8"/>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31" w:lineRule="exact"/>
        <w:rPr>
          <w:sz w:val="20"/>
          <w:szCs w:val="20"/>
          <w:color w:val="auto"/>
        </w:rPr>
      </w:pPr>
    </w:p>
    <w:p>
      <w:pPr>
        <w:ind w:left="8" w:right="20"/>
        <w:spacing w:after="0" w:line="187"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7" w:lineRule="exact"/>
        <w:rPr>
          <w:sz w:val="20"/>
          <w:szCs w:val="20"/>
          <w:color w:val="auto"/>
        </w:rPr>
      </w:pPr>
    </w:p>
    <w:p>
      <w:pPr>
        <w:ind w:left="8" w:right="20"/>
        <w:spacing w:after="0" w:line="187"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 s executive officers during the relevant recovery period pursuant to §240.10D-1(b).</w:t>
      </w:r>
      <w:r>
        <w:rPr>
          <w:rFonts w:ascii="MS PGothic" w:cs="MS PGothic" w:eastAsia="MS PGothic" w:hAnsi="MS PGothic"/>
          <w:sz w:val="15"/>
          <w:szCs w:val="15"/>
          <w:color w:val="auto"/>
        </w:rPr>
        <w:t>☒</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Indicate by check mark which basis of accounting the registrant has used to prepare the financial statements included in this filing:</w:t>
      </w:r>
    </w:p>
    <w:p>
      <w:pPr>
        <w:spacing w:after="0" w:line="341"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000" w:type="dxa"/>
            <w:vAlign w:val="bottom"/>
            <w:vMerge w:val="restart"/>
          </w:tcPr>
          <w:p>
            <w:pPr>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tc>
        <w:tc>
          <w:tcPr>
            <w:tcW w:w="794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International Financial Reporting Standards as issued by the International</w:t>
            </w:r>
          </w:p>
        </w:tc>
        <w:tc>
          <w:tcPr>
            <w:tcW w:w="1320" w:type="dxa"/>
            <w:vAlign w:val="bottom"/>
            <w:vMerge w:val="restart"/>
          </w:tcPr>
          <w:p>
            <w:pPr>
              <w:ind w:left="580"/>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9"/>
        </w:trPr>
        <w:tc>
          <w:tcPr>
            <w:tcW w:w="2000" w:type="dxa"/>
            <w:vAlign w:val="bottom"/>
            <w:vMerge w:val="continue"/>
          </w:tcPr>
          <w:p>
            <w:pPr>
              <w:spacing w:after="0"/>
              <w:rPr>
                <w:sz w:val="22"/>
                <w:szCs w:val="22"/>
                <w:color w:val="auto"/>
              </w:rPr>
            </w:pPr>
          </w:p>
        </w:tc>
        <w:tc>
          <w:tcPr>
            <w:tcW w:w="7940" w:type="dxa"/>
            <w:vAlign w:val="bottom"/>
          </w:tcPr>
          <w:p>
            <w:pPr>
              <w:ind w:left="1120"/>
              <w:spacing w:after="0" w:line="173" w:lineRule="exact"/>
              <w:rPr>
                <w:sz w:val="20"/>
                <w:szCs w:val="20"/>
                <w:color w:val="auto"/>
              </w:rPr>
            </w:pPr>
            <w:r>
              <w:rPr>
                <w:rFonts w:ascii="Times New Roman" w:cs="Times New Roman" w:eastAsia="Times New Roman" w:hAnsi="Times New Roman"/>
                <w:sz w:val="15"/>
                <w:szCs w:val="15"/>
                <w:color w:val="auto"/>
              </w:rPr>
              <w:t xml:space="preserve">Accounting Standards Board </w:t>
            </w:r>
            <w:r>
              <w:rPr>
                <w:rFonts w:ascii="MS PGothic" w:cs="MS PGothic" w:eastAsia="MS PGothic" w:hAnsi="MS PGothic"/>
                <w:sz w:val="15"/>
                <w:szCs w:val="15"/>
                <w:color w:val="auto"/>
              </w:rPr>
              <w:t>☒</w:t>
            </w: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If “Other” has been checked in response to the previous question indicate by check mark which financial statement item the registrant has elected to follow.</w:t>
            </w:r>
          </w:p>
        </w:tc>
        <w:tc>
          <w:tcPr>
            <w:tcW w:w="1320" w:type="dxa"/>
            <w:vAlign w:val="bottom"/>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w:t>
            </w:r>
          </w:p>
        </w:tc>
        <w:tc>
          <w:tcPr>
            <w:tcW w:w="0" w:type="dxa"/>
            <w:vAlign w:val="bottom"/>
          </w:tcPr>
          <w:p>
            <w:pPr>
              <w:spacing w:after="0"/>
              <w:rPr>
                <w:sz w:val="1"/>
                <w:szCs w:val="1"/>
                <w:color w:val="auto"/>
              </w:rPr>
            </w:pPr>
          </w:p>
        </w:tc>
      </w:tr>
      <w:tr>
        <w:trPr>
          <w:trHeight w:val="259"/>
        </w:trPr>
        <w:tc>
          <w:tcPr>
            <w:tcW w:w="200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18 </w:t>
            </w:r>
            <w:r>
              <w:rPr>
                <w:rFonts w:ascii="MS PGothic" w:cs="MS PGothic" w:eastAsia="MS PGothic" w:hAnsi="MS PGothic"/>
                <w:sz w:val="15"/>
                <w:szCs w:val="15"/>
                <w:color w:val="auto"/>
              </w:rPr>
              <w:t>☐</w:t>
            </w:r>
          </w:p>
        </w:tc>
        <w:tc>
          <w:tcPr>
            <w:tcW w:w="79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8"/>
        <w:spacing w:after="0" w:line="173" w:lineRule="exact"/>
        <w:tabs>
          <w:tab w:leader="none" w:pos="8748" w:val="left"/>
          <w:tab w:leader="none" w:pos="9348" w:val="left"/>
        </w:tabs>
        <w:rPr>
          <w:sz w:val="20"/>
          <w:szCs w:val="20"/>
          <w:color w:val="auto"/>
        </w:rPr>
      </w:pPr>
      <w:r>
        <w:rPr>
          <w:rFonts w:ascii="Times New Roman" w:cs="Times New Roman" w:eastAsia="Times New Roman" w:hAnsi="Times New Roman"/>
          <w:sz w:val="15"/>
          <w:szCs w:val="15"/>
          <w:color w:val="auto"/>
        </w:rPr>
        <w:t>If this is an annual report, 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48" w:lineRule="exact"/>
        <w:rPr>
          <w:sz w:val="20"/>
          <w:szCs w:val="20"/>
          <w:color w:val="auto"/>
        </w:rPr>
      </w:pPr>
    </w:p>
    <w:p>
      <w:pPr>
        <w:jc w:val="both"/>
        <w:ind w:left="8" w:right="20" w:hanging="7"/>
        <w:spacing w:after="0" w:line="237" w:lineRule="auto"/>
        <w:tabs>
          <w:tab w:leader="none" w:pos="132"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for trading, but only in connection with the listing of the Class A American Depositary Shares on The Nasdaq Stock Market LLC. The Class A American Depositary Shares each represent one Class A Ordinary Share and are registered under the Securities Act of 1933 pursuant to a separate Registration Statement on Form F-6. Accordingly, the Class A American Depositary Shares are exempt from the operation of Section 12(a) of the Exchange Act pursuant to Rule 12a-8 thereunder.</w:t>
      </w:r>
    </w:p>
    <w:p>
      <w:pPr>
        <w:spacing w:after="0" w:line="45" w:lineRule="exact"/>
        <w:rPr>
          <w:sz w:val="20"/>
          <w:szCs w:val="20"/>
          <w:color w:val="auto"/>
        </w:rPr>
      </w:pPr>
    </w:p>
    <w:p>
      <w:pPr>
        <w:ind w:left="8" w:hanging="7"/>
        <w:spacing w:after="0" w:line="263" w:lineRule="auto"/>
        <w:tabs>
          <w:tab w:leader="none" w:pos="21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for trading, but only in connection with the listing of the Class C-1 American Depositary Shares on The Nasdaq Stock Market LLC. The Class C-1 American Depositary Shares each represent one Class C Ordinary Share and are registered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374015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850" w:right="319" w:bottom="1440" w:gutter="0" w:footer="0" w:header="0"/>
        </w:sectPr>
      </w:pPr>
    </w:p>
    <w:bookmarkStart w:id="2" w:name="page3"/>
    <w:bookmarkEnd w:id="2"/>
    <w:p>
      <w:pPr>
        <w:jc w:val="both"/>
        <w:spacing w:after="0" w:line="246" w:lineRule="auto"/>
        <w:rPr>
          <w:sz w:val="20"/>
          <w:szCs w:val="20"/>
          <w:color w:val="auto"/>
        </w:rPr>
      </w:pPr>
      <w:r>
        <w:rPr>
          <w:rFonts w:ascii="Times New Roman" w:cs="Times New Roman" w:eastAsia="Times New Roman" w:hAnsi="Times New Roman"/>
          <w:sz w:val="15"/>
          <w:szCs w:val="15"/>
          <w:color w:val="auto"/>
        </w:rPr>
        <w:t>Act pursuant to a separate Registration Statement on Form F-6. Accordingly, the Class C-1 American Depositary Shares are exempt from the operation of Section 12(a) of the Exchange Act pursuant to Rule 12a-8 thereunder.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This Amendment No. 2 (this “Amendment”) to the Annual Report on Form 20-F for the year ended December 31, 2023, originally filed with the Securities and Exchange Commission on August 14, 2024, as amended by Amendment No. 1 filed on August 15, 2024 (together, the “Original Form 20-F”), is being filed by Polestar Automotive Holding UK PLC (the “Company”) to restate certain information presented in the Original Form 20-F for the years ended December 31, 2022 and December 31, 2023 (the "Restated Financial Statements") and to make certain other changes to reflect the Restated Financial Statements, the effects of the Restated Financial Statements and related matters. References to “this Annual Report” or this “Form 20-F” are to the Original Form 20-F as amended by this Amendment.</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Investors and other readers should rely only on the financial information and other related disclosures regarding the years ended December 31, 2022 and December 31, 2023 contained in this report and the financial information for the year ended December 31, 2024 to be filed in the future with the Securities and Exchange Commission by the Company and should not rely on the Prior Financial Statements and the unaudited interim financial information included within Current Reports on Form 6-K for the quarterly periods ending on and falling between September 30, 2022 and June 30, 2024 (collectively, the “Affected Financials”), including any previously issued or filed reports, press releases, presentations or similar communications financial information and other related disclosures regarding the same reporting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Restatement Background</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As previously reported on the Company’s Current Report on Form 6-K filed on January 16, 2025, on January 14, 2025, the Company’s management, in consultation with the Audit Committee of the Board of Directors (the “Audit Committee”), concluded that the Affected Financials contain errors that warrant restatement of the Prior Financial Statements and the interim financial information for the six-month periods ended June 30, 2023, and June 30, 2024. The Audit Committee, based on the recommendation of, and after consultation with, the Company’s management, further concluded that the Affected Financials should no longer be relied upon, including the associated report of the Company’s independent registered public accounting firm, Deloitte AB (“Deloitte”).</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primary reason for this restatement decision relates to balance sheet errors concerning the Company’s unique tooling (further explained below), which resulted in an underreporting of assets and accrued liabilities in matching amounts for the periods referenced above. The correction of these balance sheet errors has no impact on previously reported revenue, operating loss, net loss, adjusted EBITDA or net assets, nor do these corrections affect the Company’s underlying business operations, cash position, or liquidity.</w:t>
      </w:r>
    </w:p>
    <w:p>
      <w:pPr>
        <w:spacing w:after="0" w:line="16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5"/>
          <w:szCs w:val="15"/>
          <w:color w:val="auto"/>
        </w:rPr>
        <w:t>As previously disclosed, the Company owns unique tooling which is used in the manufacturing of its vehicles. This unique tooling has previously been recognized as property plant and equipment once either the production standard part process test is conducted or production utilizing the unique vendor tools has occurred. Due to contractual terms, Management determined that certain unique tooling should have instead been recognized as assets under construction (“AUC”) according to the progression of work, resulting in a material understatement of AUC and a corresponding understatement of accrued liabilities in the Affected Financials. The reconsideration of AUC recognition changed the timing of recognizing AUC but does not change the expected total amount of AUC recognized.</w:t>
      </w:r>
    </w:p>
    <w:p>
      <w:pPr>
        <w:spacing w:after="0" w:line="178"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5"/>
          <w:szCs w:val="15"/>
          <w:color w:val="auto"/>
        </w:rPr>
        <w:t>A reclassification of cash flows between operating and investing activities and other smaller errors that have been identified are also being corrected as part of this restatement process.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31 - Restatement of financial statements</w:t>
      </w:r>
      <w:r>
        <w:rPr>
          <w:rFonts w:ascii="Times New Roman" w:cs="Times New Roman" w:eastAsia="Times New Roman" w:hAnsi="Times New Roman"/>
          <w:sz w:val="15"/>
          <w:szCs w:val="15"/>
          <w:color w:val="auto"/>
        </w:rPr>
        <w:t xml:space="preserve"> to the Restated Financial Statements beginning on page F-</w:t>
      </w:r>
      <w:r>
        <w:rPr>
          <w:rFonts w:ascii="Times New Roman" w:cs="Times New Roman" w:eastAsia="Times New Roman" w:hAnsi="Times New Roman"/>
          <w:sz w:val="15"/>
          <w:szCs w:val="15"/>
          <w:u w:val="single" w:color="auto"/>
          <w:color w:val="0000FF"/>
        </w:rPr>
        <w:t>66</w:t>
      </w:r>
      <w:r>
        <w:rPr>
          <w:rFonts w:ascii="Times New Roman" w:cs="Times New Roman" w:eastAsia="Times New Roman" w:hAnsi="Times New Roman"/>
          <w:sz w:val="15"/>
          <w:szCs w:val="15"/>
          <w:color w:val="auto"/>
        </w:rPr>
        <w:t xml:space="preserve"> of this Annual Report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Amendments to Form 20-F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Restated Financial Statements are attached hereto beginning on page F-1 of this Annual Report. Other sections restated in connection with the Restated Financial Statements are:</w:t>
      </w:r>
    </w:p>
    <w:p>
      <w:pPr>
        <w:spacing w:after="0" w:line="209" w:lineRule="exact"/>
        <w:rPr>
          <w:sz w:val="20"/>
          <w:szCs w:val="20"/>
          <w:color w:val="auto"/>
        </w:rPr>
      </w:pPr>
    </w:p>
    <w:p>
      <w:pPr>
        <w:ind w:left="840" w:hanging="281"/>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 I, Item 4. A History and Development of the Company</w:t>
      </w:r>
    </w:p>
    <w:p>
      <w:pPr>
        <w:spacing w:after="0" w:line="17"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 I, Item 4. B Business Overview</w:t>
      </w:r>
    </w:p>
    <w:p>
      <w:pPr>
        <w:spacing w:after="0" w:line="1"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 I, Item 5. Operating and Financial Review and Prospects</w:t>
      </w:r>
    </w:p>
    <w:p>
      <w:pPr>
        <w:spacing w:after="0" w:line="1"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 I, Item 6. F Disclosure of a registrant's action to recover erroneously awarded compensation</w:t>
      </w:r>
    </w:p>
    <w:p>
      <w:pPr>
        <w:spacing w:after="0" w:line="1"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 III, Item 18. Financial Statements</w:t>
      </w:r>
    </w:p>
    <w:p>
      <w:pPr>
        <w:spacing w:after="0" w:line="159" w:lineRule="exact"/>
        <w:rPr>
          <w:sz w:val="20"/>
          <w:szCs w:val="20"/>
          <w:color w:val="auto"/>
        </w:rPr>
      </w:pPr>
    </w:p>
    <w:p>
      <w:pPr>
        <w:ind w:left="840" w:hanging="281"/>
        <w:spacing w:after="0"/>
        <w:tabs>
          <w:tab w:leader="none" w:pos="8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 III, Item 19. Exhibits, to add Exhibits 12.1, 12.2, 13.1, 13.2 and 15.1</w:t>
      </w:r>
    </w:p>
    <w:p>
      <w:pPr>
        <w:spacing w:after="0" w:line="20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In accordance with applicable SEC rules, this Amendment includes (i) new certifications required by Sections 302 and 906 of the Sarbanes-Oxley Act of 2002 from our Chief Executive Officer (as Principal Executive Officer) and our Chief Financial Officer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374015</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47" w:right="319" w:bottom="1440" w:gutter="0" w:footer="0" w:header="0"/>
        </w:sectPr>
      </w:pPr>
    </w:p>
    <w:bookmarkStart w:id="3" w:name="page4"/>
    <w:bookmarkEnd w:id="3"/>
    <w:p>
      <w:pPr>
        <w:jc w:val="both"/>
        <w:spacing w:after="0" w:line="259" w:lineRule="auto"/>
        <w:rPr>
          <w:sz w:val="20"/>
          <w:szCs w:val="20"/>
          <w:color w:val="auto"/>
        </w:rPr>
      </w:pPr>
      <w:r>
        <w:rPr>
          <w:rFonts w:ascii="Times New Roman" w:cs="Times New Roman" w:eastAsia="Times New Roman" w:hAnsi="Times New Roman"/>
          <w:sz w:val="15"/>
          <w:szCs w:val="15"/>
          <w:color w:val="auto"/>
        </w:rPr>
        <w:t>Principal Financial Officer) and (ii) a new consent letter from the Company’s independent registered public accounting firm, Deloitte, each dated as of the filing date of this Amendment.</w:t>
      </w:r>
    </w:p>
    <w:p>
      <w:pPr>
        <w:spacing w:after="0" w:line="3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Restated Financial Statements and the sections referenced above are referred to as the “Amended Items.” Other than the Amended Items, this Amendment does not modify or update in any way the disclosures in or exhibits to the Original Form 20-F; nor does it reflect events, occurring after the Original Form 20-F. Accordingly, this Amendment should be read in conjunction with the Original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919480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54" w:right="319" w:bottom="1440" w:gutter="0" w:footer="0" w:header="0"/>
        </w:sectPr>
      </w:pPr>
    </w:p>
    <w:bookmarkStart w:id="4" w:name="page5"/>
    <w:bookmarkEnd w:id="4"/>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POLESTAR AUTOMOTIVE HOLDING UK PLC</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0" w:type="dxa"/>
            <w:vAlign w:val="bottom"/>
            <w:gridSpan w:val="4"/>
          </w:tcPr>
          <w:p>
            <w:pPr>
              <w:jc w:val="center"/>
              <w:ind w:left="4127"/>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569"/>
        </w:trPr>
        <w:tc>
          <w:tcPr>
            <w:tcW w:w="638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CAUTIONARY NOTE REGARDING FORWARD-LOOKING STATEMENTS</w:t>
            </w:r>
          </w:p>
        </w:tc>
        <w:tc>
          <w:tcPr>
            <w:tcW w:w="4380" w:type="dxa"/>
            <w:vAlign w:val="bottom"/>
          </w:tcPr>
          <w:p>
            <w:pPr>
              <w:spacing w:after="0"/>
              <w:rPr>
                <w:sz w:val="24"/>
                <w:szCs w:val="24"/>
                <w:color w:val="auto"/>
              </w:rPr>
            </w:pPr>
          </w:p>
        </w:tc>
        <w:tc>
          <w:tcPr>
            <w:tcW w:w="220" w:type="dxa"/>
            <w:vAlign w:val="bottom"/>
            <w:gridSpan w:val="3"/>
          </w:tcPr>
          <w:p>
            <w:pPr>
              <w:jc w:val="center"/>
              <w:ind w:right="140"/>
              <w:spacing w:after="0"/>
              <w:rPr>
                <w:sz w:val="20"/>
                <w:szCs w:val="20"/>
                <w:color w:val="auto"/>
              </w:rPr>
            </w:pPr>
            <w:r>
              <w:rPr>
                <w:rFonts w:ascii="Times New Roman" w:cs="Times New Roman" w:eastAsia="Times New Roman" w:hAnsi="Times New Roman"/>
                <w:sz w:val="19"/>
                <w:szCs w:val="19"/>
                <w:color w:val="auto"/>
                <w:w w:val="75"/>
              </w:rPr>
              <w:t>ii</w:t>
            </w:r>
          </w:p>
        </w:tc>
      </w:tr>
      <w:tr>
        <w:trPr>
          <w:trHeight w:val="443"/>
        </w:trPr>
        <w:tc>
          <w:tcPr>
            <w:tcW w:w="24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96"/>
              </w:rPr>
              <w:t>FREQUENTLY USED TERMS</w:t>
            </w:r>
          </w:p>
        </w:tc>
        <w:tc>
          <w:tcPr>
            <w:tcW w:w="3560" w:type="dxa"/>
            <w:vAlign w:val="bottom"/>
            <w:tcBorders>
              <w:top w:val="single" w:sz="8" w:color="0000FF"/>
            </w:tcBorders>
            <w:gridSpan w:val="4"/>
          </w:tcPr>
          <w:p>
            <w:pPr>
              <w:spacing w:after="0"/>
              <w:rPr>
                <w:sz w:val="24"/>
                <w:szCs w:val="24"/>
                <w:color w:val="auto"/>
              </w:rPr>
            </w:pPr>
          </w:p>
        </w:tc>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83"/>
              </w:rPr>
              <w:t>1</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24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PART I</w:t>
            </w:r>
          </w:p>
        </w:tc>
        <w:tc>
          <w:tcPr>
            <w:tcW w:w="3980" w:type="dxa"/>
            <w:vAlign w:val="bottom"/>
            <w:gridSpan w:val="5"/>
          </w:tcPr>
          <w:p>
            <w:pPr>
              <w:spacing w:after="0"/>
              <w:rPr>
                <w:sz w:val="24"/>
                <w:szCs w:val="24"/>
                <w:color w:val="auto"/>
              </w:rPr>
            </w:pPr>
          </w:p>
        </w:tc>
        <w:tc>
          <w:tcPr>
            <w:tcW w:w="4460" w:type="dxa"/>
            <w:vAlign w:val="bottom"/>
            <w:gridSpan w:val="2"/>
          </w:tcPr>
          <w:p>
            <w:pPr>
              <w:jc w:val="center"/>
              <w:ind w:left="4267"/>
              <w:spacing w:after="0"/>
              <w:rPr>
                <w:sz w:val="20"/>
                <w:szCs w:val="20"/>
                <w:color w:val="auto"/>
              </w:rPr>
            </w:pPr>
            <w:r>
              <w:rPr>
                <w:rFonts w:ascii="Times New Roman" w:cs="Times New Roman" w:eastAsia="Times New Roman" w:hAnsi="Times New Roman"/>
                <w:sz w:val="19"/>
                <w:szCs w:val="19"/>
                <w:color w:val="auto"/>
              </w:rPr>
              <w:t>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4"/>
          </w:tcPr>
          <w:p>
            <w:pPr>
              <w:spacing w:after="0" w:line="212" w:lineRule="exact"/>
              <w:rPr>
                <w:sz w:val="20"/>
                <w:szCs w:val="20"/>
                <w:color w:val="auto"/>
              </w:rPr>
            </w:pPr>
            <w:r>
              <w:rPr>
                <w:rFonts w:ascii="Times New Roman" w:cs="Times New Roman" w:eastAsia="Times New Roman" w:hAnsi="Times New Roman"/>
                <w:sz w:val="19"/>
                <w:szCs w:val="19"/>
                <w:color w:val="0000FF"/>
                <w:w w:val="96"/>
              </w:rPr>
              <w:t>ITEM 4. INFORMATION ON THE COMPANY</w:t>
            </w:r>
          </w:p>
        </w:tc>
        <w:tc>
          <w:tcPr>
            <w:tcW w:w="1840" w:type="dxa"/>
            <w:vAlign w:val="bottom"/>
            <w:gridSpan w:val="2"/>
          </w:tcPr>
          <w:p>
            <w:pPr>
              <w:spacing w:after="0"/>
              <w:rPr>
                <w:sz w:val="18"/>
                <w:szCs w:val="18"/>
                <w:color w:val="auto"/>
              </w:rPr>
            </w:pPr>
          </w:p>
        </w:tc>
        <w:tc>
          <w:tcPr>
            <w:tcW w:w="4460" w:type="dxa"/>
            <w:vAlign w:val="bottom"/>
            <w:gridSpan w:val="2"/>
          </w:tcPr>
          <w:p>
            <w:pPr>
              <w:jc w:val="center"/>
              <w:ind w:left="4267"/>
              <w:spacing w:after="0" w:line="212" w:lineRule="exact"/>
              <w:rPr>
                <w:sz w:val="20"/>
                <w:szCs w:val="20"/>
                <w:color w:val="auto"/>
              </w:rPr>
            </w:pPr>
            <w:r>
              <w:rPr>
                <w:rFonts w:ascii="Times New Roman" w:cs="Times New Roman" w:eastAsia="Times New Roman" w:hAnsi="Times New Roman"/>
                <w:sz w:val="19"/>
                <w:szCs w:val="19"/>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6"/>
          </w:tcPr>
          <w:p>
            <w:pPr>
              <w:spacing w:after="0" w:line="212" w:lineRule="exact"/>
              <w:rPr>
                <w:sz w:val="20"/>
                <w:szCs w:val="20"/>
                <w:color w:val="auto"/>
              </w:rPr>
            </w:pPr>
            <w:r>
              <w:rPr>
                <w:rFonts w:ascii="Times New Roman" w:cs="Times New Roman" w:eastAsia="Times New Roman" w:hAnsi="Times New Roman"/>
                <w:sz w:val="19"/>
                <w:szCs w:val="19"/>
                <w:color w:val="0000FF"/>
                <w:w w:val="96"/>
              </w:rPr>
              <w:t>ITEM 5. OPERATING AND FINANCIAL REVIEW AND PROSPECTS</w:t>
            </w:r>
          </w:p>
        </w:tc>
        <w:tc>
          <w:tcPr>
            <w:tcW w:w="4600" w:type="dxa"/>
            <w:vAlign w:val="bottom"/>
            <w:gridSpan w:val="4"/>
          </w:tcPr>
          <w:p>
            <w:pPr>
              <w:jc w:val="center"/>
              <w:ind w:left="4127"/>
              <w:spacing w:after="0" w:line="212" w:lineRule="exact"/>
              <w:rPr>
                <w:sz w:val="20"/>
                <w:szCs w:val="20"/>
                <w:color w:val="auto"/>
              </w:rPr>
            </w:pPr>
            <w:r>
              <w:rPr>
                <w:rFonts w:ascii="Times New Roman" w:cs="Times New Roman" w:eastAsia="Times New Roman" w:hAnsi="Times New Roman"/>
                <w:sz w:val="19"/>
                <w:szCs w:val="19"/>
                <w:color w:val="auto"/>
                <w:w w:val="94"/>
              </w:rPr>
              <w:t>21</w:t>
            </w: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00" w:type="dxa"/>
            <w:vAlign w:val="bottom"/>
            <w:tcBorders>
              <w:left w:val="single" w:sz="8" w:color="0000FF"/>
            </w:tcBorders>
            <w:gridSpan w:val="3"/>
            <w:shd w:val="clear" w:color="auto" w:fill="0000FF"/>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76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ITEM 6. DIRECTORS, SENIOR MANAGEMENT AND EMPLOYEES</w:t>
            </w:r>
          </w:p>
        </w:tc>
        <w:tc>
          <w:tcPr>
            <w:tcW w:w="4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7"/>
        </w:trPr>
        <w:tc>
          <w:tcPr>
            <w:tcW w:w="6380" w:type="dxa"/>
            <w:vAlign w:val="bottom"/>
            <w:gridSpan w:val="9"/>
          </w:tcPr>
          <w:p>
            <w:pPr>
              <w:spacing w:after="0" w:line="196" w:lineRule="exact"/>
              <w:rPr>
                <w:sz w:val="20"/>
                <w:szCs w:val="20"/>
                <w:color w:val="auto"/>
              </w:rPr>
            </w:pPr>
            <w:r>
              <w:rPr>
                <w:rFonts w:ascii="Times New Roman" w:cs="Times New Roman" w:eastAsia="Times New Roman" w:hAnsi="Times New Roman"/>
                <w:sz w:val="19"/>
                <w:szCs w:val="19"/>
                <w:color w:val="0000FF"/>
              </w:rPr>
              <w:t>PART II</w:t>
            </w:r>
          </w:p>
        </w:tc>
        <w:tc>
          <w:tcPr>
            <w:tcW w:w="4600" w:type="dxa"/>
            <w:vAlign w:val="bottom"/>
            <w:gridSpan w:val="4"/>
          </w:tcPr>
          <w:p>
            <w:pPr>
              <w:jc w:val="center"/>
              <w:ind w:left="4127"/>
              <w:spacing w:after="0" w:line="196" w:lineRule="exact"/>
              <w:rPr>
                <w:sz w:val="20"/>
                <w:szCs w:val="20"/>
                <w:color w:val="auto"/>
              </w:rPr>
            </w:pPr>
            <w:r>
              <w:rPr>
                <w:rFonts w:ascii="Times New Roman" w:cs="Times New Roman" w:eastAsia="Times New Roman" w:hAnsi="Times New Roman"/>
                <w:sz w:val="19"/>
                <w:szCs w:val="19"/>
                <w:color w:val="auto"/>
                <w:w w:val="94"/>
              </w:rPr>
              <w:t>41</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38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PART III</w:t>
            </w:r>
          </w:p>
        </w:tc>
        <w:tc>
          <w:tcPr>
            <w:tcW w:w="4600" w:type="dxa"/>
            <w:vAlign w:val="bottom"/>
            <w:gridSpan w:val="4"/>
          </w:tcPr>
          <w:p>
            <w:pPr>
              <w:jc w:val="center"/>
              <w:ind w:left="4127"/>
              <w:spacing w:after="0"/>
              <w:rPr>
                <w:sz w:val="20"/>
                <w:szCs w:val="20"/>
                <w:color w:val="auto"/>
              </w:rPr>
            </w:pPr>
            <w:r>
              <w:rPr>
                <w:rFonts w:ascii="Times New Roman" w:cs="Times New Roman" w:eastAsia="Times New Roman" w:hAnsi="Times New Roman"/>
                <w:sz w:val="19"/>
                <w:szCs w:val="19"/>
                <w:color w:val="auto"/>
                <w:w w:val="94"/>
              </w:rPr>
              <w:t>41</w:t>
            </w: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3"/>
          </w:tcPr>
          <w:p>
            <w:pPr>
              <w:spacing w:after="0" w:line="212" w:lineRule="exact"/>
              <w:rPr>
                <w:sz w:val="20"/>
                <w:szCs w:val="20"/>
                <w:color w:val="auto"/>
              </w:rPr>
            </w:pPr>
            <w:r>
              <w:rPr>
                <w:rFonts w:ascii="Times New Roman" w:cs="Times New Roman" w:eastAsia="Times New Roman" w:hAnsi="Times New Roman"/>
                <w:sz w:val="19"/>
                <w:szCs w:val="19"/>
                <w:color w:val="0000FF"/>
                <w:w w:val="94"/>
              </w:rPr>
              <w:t>ITEM 17. FINANCIAL STATEMENTS</w:t>
            </w:r>
          </w:p>
        </w:tc>
        <w:tc>
          <w:tcPr>
            <w:tcW w:w="2500" w:type="dxa"/>
            <w:vAlign w:val="bottom"/>
            <w:gridSpan w:val="3"/>
          </w:tcPr>
          <w:p>
            <w:pPr>
              <w:spacing w:after="0"/>
              <w:rPr>
                <w:sz w:val="18"/>
                <w:szCs w:val="18"/>
                <w:color w:val="auto"/>
              </w:rPr>
            </w:pPr>
          </w:p>
        </w:tc>
        <w:tc>
          <w:tcPr>
            <w:tcW w:w="4600" w:type="dxa"/>
            <w:vAlign w:val="bottom"/>
            <w:gridSpan w:val="4"/>
          </w:tcPr>
          <w:p>
            <w:pPr>
              <w:jc w:val="center"/>
              <w:ind w:left="4127"/>
              <w:spacing w:after="0" w:line="212" w:lineRule="exact"/>
              <w:rPr>
                <w:sz w:val="20"/>
                <w:szCs w:val="20"/>
                <w:color w:val="auto"/>
              </w:rPr>
            </w:pPr>
            <w:r>
              <w:rPr>
                <w:rFonts w:ascii="Times New Roman" w:cs="Times New Roman" w:eastAsia="Times New Roman" w:hAnsi="Times New Roman"/>
                <w:sz w:val="19"/>
                <w:szCs w:val="19"/>
                <w:color w:val="auto"/>
                <w:w w:val="94"/>
              </w:rPr>
              <w:t>41</w:t>
            </w: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00" w:type="dxa"/>
            <w:vAlign w:val="bottom"/>
            <w:tcBorders>
              <w:left w:val="single" w:sz="8" w:color="0000FF"/>
            </w:tcBorders>
            <w:gridSpan w:val="3"/>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3"/>
          </w:tcPr>
          <w:p>
            <w:pPr>
              <w:spacing w:after="0" w:line="212" w:lineRule="exact"/>
              <w:rPr>
                <w:sz w:val="20"/>
                <w:szCs w:val="20"/>
                <w:color w:val="auto"/>
              </w:rPr>
            </w:pPr>
            <w:r>
              <w:rPr>
                <w:rFonts w:ascii="Times New Roman" w:cs="Times New Roman" w:eastAsia="Times New Roman" w:hAnsi="Times New Roman"/>
                <w:sz w:val="19"/>
                <w:szCs w:val="19"/>
                <w:color w:val="0000FF"/>
                <w:w w:val="94"/>
              </w:rPr>
              <w:t>ITEM 18. FINANCIAL STATEMENTS</w:t>
            </w:r>
          </w:p>
        </w:tc>
        <w:tc>
          <w:tcPr>
            <w:tcW w:w="2500" w:type="dxa"/>
            <w:vAlign w:val="bottom"/>
            <w:gridSpan w:val="3"/>
          </w:tcPr>
          <w:p>
            <w:pPr>
              <w:spacing w:after="0"/>
              <w:rPr>
                <w:sz w:val="18"/>
                <w:szCs w:val="18"/>
                <w:color w:val="auto"/>
              </w:rPr>
            </w:pPr>
          </w:p>
        </w:tc>
        <w:tc>
          <w:tcPr>
            <w:tcW w:w="4600" w:type="dxa"/>
            <w:vAlign w:val="bottom"/>
            <w:gridSpan w:val="4"/>
          </w:tcPr>
          <w:p>
            <w:pPr>
              <w:jc w:val="center"/>
              <w:ind w:left="4127"/>
              <w:spacing w:after="0" w:line="212" w:lineRule="exact"/>
              <w:rPr>
                <w:sz w:val="20"/>
                <w:szCs w:val="20"/>
                <w:color w:val="auto"/>
              </w:rPr>
            </w:pPr>
            <w:r>
              <w:rPr>
                <w:rFonts w:ascii="Times New Roman" w:cs="Times New Roman" w:eastAsia="Times New Roman" w:hAnsi="Times New Roman"/>
                <w:sz w:val="19"/>
                <w:szCs w:val="19"/>
                <w:color w:val="auto"/>
                <w:w w:val="94"/>
              </w:rPr>
              <w:t>41</w:t>
            </w: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spacing w:after="0" w:line="212" w:lineRule="exact"/>
              <w:rPr>
                <w:sz w:val="20"/>
                <w:szCs w:val="20"/>
                <w:color w:val="auto"/>
              </w:rPr>
            </w:pPr>
            <w:r>
              <w:rPr>
                <w:rFonts w:ascii="Times New Roman" w:cs="Times New Roman" w:eastAsia="Times New Roman" w:hAnsi="Times New Roman"/>
                <w:sz w:val="19"/>
                <w:szCs w:val="19"/>
                <w:color w:val="0000FF"/>
                <w:w w:val="96"/>
              </w:rPr>
              <w:t>ITEM 19. EXHIBITS</w:t>
            </w:r>
          </w:p>
        </w:tc>
        <w:tc>
          <w:tcPr>
            <w:tcW w:w="1360" w:type="dxa"/>
            <w:vAlign w:val="bottom"/>
          </w:tcPr>
          <w:p>
            <w:pPr>
              <w:spacing w:after="0"/>
              <w:rPr>
                <w:sz w:val="18"/>
                <w:szCs w:val="18"/>
                <w:color w:val="auto"/>
              </w:rPr>
            </w:pPr>
          </w:p>
        </w:tc>
        <w:tc>
          <w:tcPr>
            <w:tcW w:w="2500" w:type="dxa"/>
            <w:vAlign w:val="bottom"/>
            <w:gridSpan w:val="3"/>
          </w:tcPr>
          <w:p>
            <w:pPr>
              <w:spacing w:after="0"/>
              <w:rPr>
                <w:sz w:val="18"/>
                <w:szCs w:val="18"/>
                <w:color w:val="auto"/>
              </w:rPr>
            </w:pPr>
          </w:p>
        </w:tc>
        <w:tc>
          <w:tcPr>
            <w:tcW w:w="4600" w:type="dxa"/>
            <w:vAlign w:val="bottom"/>
            <w:gridSpan w:val="4"/>
          </w:tcPr>
          <w:p>
            <w:pPr>
              <w:jc w:val="center"/>
              <w:ind w:left="4127"/>
              <w:spacing w:after="0" w:line="212" w:lineRule="exact"/>
              <w:rPr>
                <w:sz w:val="20"/>
                <w:szCs w:val="20"/>
                <w:color w:val="auto"/>
              </w:rPr>
            </w:pPr>
            <w:r>
              <w:rPr>
                <w:rFonts w:ascii="Times New Roman" w:cs="Times New Roman" w:eastAsia="Times New Roman" w:hAnsi="Times New Roman"/>
                <w:sz w:val="19"/>
                <w:szCs w:val="19"/>
                <w:color w:val="auto"/>
                <w:w w:val="94"/>
              </w:rPr>
              <w:t>42</w:t>
            </w: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980"/>
          </w:cols>
          <w:pgMar w:left="320" w:top="850"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This Report on Form 20-F (including information incorporated by reference herein, this “</w:t>
      </w:r>
      <w:r>
        <w:rPr>
          <w:rFonts w:ascii="Times New Roman" w:cs="Times New Roman" w:eastAsia="Times New Roman" w:hAnsi="Times New Roman"/>
          <w:sz w:val="15"/>
          <w:szCs w:val="15"/>
          <w:i w:val="1"/>
          <w:iCs w:val="1"/>
          <w:color w:val="auto"/>
        </w:rPr>
        <w:t>Report</w:t>
      </w:r>
      <w:r>
        <w:rPr>
          <w:rFonts w:ascii="Times New Roman" w:cs="Times New Roman" w:eastAsia="Times New Roman" w:hAnsi="Times New Roman"/>
          <w:sz w:val="15"/>
          <w:szCs w:val="15"/>
          <w:color w:val="auto"/>
        </w:rPr>
        <w:t>”) includes statements that express Polestar’s opinions, expectations, beliefs, plans,</w:t>
      </w:r>
    </w:p>
    <w:p>
      <w:pPr>
        <w:spacing w:after="0" w:line="10"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market launches and expansion.</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52" w:lineRule="exact"/>
        <w:rPr>
          <w:sz w:val="20"/>
          <w:szCs w:val="20"/>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legal proceedings that may be instituted against GGI or Polestar in connection with the Business Combination;</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continue to meet stock exchange listing standards;</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securities’ potential liquidity and trading;</w:t>
      </w:r>
    </w:p>
    <w:p>
      <w:pPr>
        <w:spacing w:after="0" w:line="82"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domestic and foreign business, market, financial, political and legal conditions;</w:t>
      </w:r>
    </w:p>
    <w:p>
      <w:pPr>
        <w:spacing w:after="0" w:line="70" w:lineRule="exact"/>
        <w:rPr>
          <w:rFonts w:ascii="Times New Roman" w:cs="Times New Roman" w:eastAsia="Times New Roman" w:hAnsi="Times New Roman"/>
          <w:sz w:val="15"/>
          <w:szCs w:val="15"/>
          <w:color w:val="auto"/>
        </w:rPr>
      </w:pPr>
    </w:p>
    <w:p>
      <w:pPr>
        <w:ind w:left="280" w:hanging="277"/>
        <w:spacing w:after="0" w:line="237" w:lineRule="auto"/>
        <w:tabs>
          <w:tab w:leader="none" w:pos="22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44" w:lineRule="exact"/>
        <w:rPr>
          <w:rFonts w:ascii="Times New Roman" w:cs="Times New Roman" w:eastAsia="Times New Roman" w:hAnsi="Times New Roman"/>
          <w:sz w:val="15"/>
          <w:szCs w:val="15"/>
          <w:color w:val="auto"/>
        </w:rPr>
      </w:pPr>
    </w:p>
    <w:p>
      <w:pPr>
        <w:jc w:val="both"/>
        <w:ind w:left="280" w:right="20" w:hanging="277"/>
        <w:spacing w:after="0" w:line="237" w:lineRule="auto"/>
        <w:tabs>
          <w:tab w:leader="none" w:pos="23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44"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the development, design, manufacture, launch and financing of Polestar’s vehicles and Polestar’s reliance on a limited number of vehicle models to generate revenues;</w:t>
      </w:r>
    </w:p>
    <w:p>
      <w:pPr>
        <w:spacing w:after="0" w:line="70" w:lineRule="exact"/>
        <w:rPr>
          <w:rFonts w:ascii="Times New Roman" w:cs="Times New Roman" w:eastAsia="Times New Roman" w:hAnsi="Times New Roman"/>
          <w:sz w:val="15"/>
          <w:szCs w:val="15"/>
          <w:color w:val="auto"/>
        </w:rPr>
      </w:pPr>
    </w:p>
    <w:p>
      <w:pPr>
        <w:ind w:left="280" w:right="20" w:hanging="277"/>
        <w:spacing w:after="0" w:line="263" w:lineRule="auto"/>
        <w:tabs>
          <w:tab w:leader="none" w:pos="2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27"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costs, disruption of supply or shortage of materials, in particular for lithium-ion cells or semiconductors;</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product recalls, regulatory fines and/or an unexpectedly high volume of warranty claims;</w:t>
      </w:r>
    </w:p>
    <w:p>
      <w:pPr>
        <w:spacing w:after="0" w:line="82" w:lineRule="exact"/>
        <w:rPr>
          <w:rFonts w:ascii="Times New Roman" w:cs="Times New Roman" w:eastAsia="Times New Roman" w:hAnsi="Times New Roman"/>
          <w:sz w:val="15"/>
          <w:szCs w:val="15"/>
          <w:color w:val="auto"/>
        </w:rPr>
      </w:pPr>
    </w:p>
    <w:p>
      <w:pPr>
        <w:ind w:left="280" w:hanging="277"/>
        <w:spacing w:after="0" w:line="246" w:lineRule="auto"/>
        <w:tabs>
          <w:tab w:leader="none" w:pos="27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w:t>
      </w:r>
    </w:p>
    <w:p>
      <w:pPr>
        <w:spacing w:after="0" w:line="39"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the ability of Polestar to grow and manage growth profitably, maintain relationships with customers and suppliers and retain its management and key employees;</w:t>
      </w:r>
    </w:p>
    <w:p>
      <w:pPr>
        <w:spacing w:after="0" w:line="82"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Polestar may be adversely affected by other economic, business, and/or competitive factors;</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future market adoption of Polestar’s offerings;</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Polestar’s distribution model;</w:t>
      </w:r>
    </w:p>
    <w:p>
      <w:pPr>
        <w:spacing w:after="0" w:line="70" w:lineRule="exact"/>
        <w:rPr>
          <w:rFonts w:ascii="Times New Roman" w:cs="Times New Roman" w:eastAsia="Times New Roman" w:hAnsi="Times New Roman"/>
          <w:sz w:val="15"/>
          <w:szCs w:val="15"/>
          <w:color w:val="auto"/>
        </w:rPr>
      </w:pPr>
    </w:p>
    <w:p>
      <w:pPr>
        <w:ind w:left="280" w:right="20" w:hanging="277"/>
        <w:spacing w:after="0" w:line="263" w:lineRule="auto"/>
        <w:tabs>
          <w:tab w:leader="none" w:pos="21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w:t>
      </w:r>
    </w:p>
    <w:p>
      <w:pPr>
        <w:spacing w:after="0" w:line="27"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regulatory requirements (including environmental laws and regulations), governmental incentives and fuel and energy prices;</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ability to rapidly innovate;</w:t>
      </w:r>
    </w:p>
    <w:p>
      <w:pPr>
        <w:spacing w:after="0" w:line="82"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changes in applicable laws or regulations and with Polestar’s international operations;</w:t>
      </w:r>
    </w:p>
    <w:p>
      <w:pPr>
        <w:spacing w:after="0" w:line="70"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ability to effectively manage its growth and recruit and retain key employees, including its chief executive officer and executive team;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6" w:name="page7"/>
    <w:bookmarkEnd w:id="6"/>
    <w:p>
      <w:pPr>
        <w:jc w:val="center"/>
        <w:ind w:righ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287" w:hanging="277"/>
        <w:spacing w:after="0" w:line="246" w:lineRule="auto"/>
        <w:tabs>
          <w:tab w:leader="none" w:pos="262"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reliance on the development of vehicle charging networks to provide charging solutions for its vehicles and its strategic partners for servicing its vehicles and their integrated software;</w:t>
      </w:r>
    </w:p>
    <w:p>
      <w:pPr>
        <w:spacing w:after="0" w:line="51" w:lineRule="exact"/>
        <w:rPr>
          <w:rFonts w:ascii="Times New Roman" w:cs="Times New Roman" w:eastAsia="Times New Roman" w:hAnsi="Times New Roman"/>
          <w:sz w:val="15"/>
          <w:szCs w:val="15"/>
          <w:color w:val="auto"/>
        </w:rPr>
      </w:pPr>
    </w:p>
    <w:p>
      <w:pPr>
        <w:ind w:left="287" w:hanging="277"/>
        <w:spacing w:after="0" w:line="246" w:lineRule="auto"/>
        <w:tabs>
          <w:tab w:leader="none" w:pos="241"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ability to establish its brand and capture additional market share, and the risks associated with negative press or reputational harm, including from lithium-ion battery cells catching fire or venting smoke;</w:t>
      </w:r>
    </w:p>
    <w:p>
      <w:pPr>
        <w:spacing w:after="0" w:line="39" w:lineRule="exact"/>
        <w:rPr>
          <w:rFonts w:ascii="Times New Roman" w:cs="Times New Roman" w:eastAsia="Times New Roman" w:hAnsi="Times New Roman"/>
          <w:sz w:val="15"/>
          <w:szCs w:val="15"/>
          <w:color w:val="auto"/>
        </w:rPr>
      </w:pPr>
    </w:p>
    <w:p>
      <w:pPr>
        <w:ind w:left="227" w:hanging="217"/>
        <w:spacing w:after="0"/>
        <w:tabs>
          <w:tab w:leader="none" w:pos="227"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potential litigation, government and regulatory proceedings, investigations and inquiries;</w:t>
      </w:r>
    </w:p>
    <w:p>
      <w:pPr>
        <w:spacing w:after="0" w:line="82" w:lineRule="exact"/>
        <w:rPr>
          <w:rFonts w:ascii="Times New Roman" w:cs="Times New Roman" w:eastAsia="Times New Roman" w:hAnsi="Times New Roman"/>
          <w:sz w:val="15"/>
          <w:szCs w:val="15"/>
          <w:color w:val="auto"/>
        </w:rPr>
      </w:pPr>
    </w:p>
    <w:p>
      <w:pPr>
        <w:ind w:left="227" w:hanging="217"/>
        <w:spacing w:after="0"/>
        <w:tabs>
          <w:tab w:leader="none" w:pos="227"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Polestar’s ability to continuously and rapidly innovate, develop and market new products;</w:t>
      </w:r>
    </w:p>
    <w:p>
      <w:pPr>
        <w:spacing w:after="0" w:line="70" w:lineRule="exact"/>
        <w:rPr>
          <w:rFonts w:ascii="Times New Roman" w:cs="Times New Roman" w:eastAsia="Times New Roman" w:hAnsi="Times New Roman"/>
          <w:sz w:val="15"/>
          <w:szCs w:val="15"/>
          <w:color w:val="auto"/>
        </w:rPr>
      </w:pPr>
    </w:p>
    <w:p>
      <w:pPr>
        <w:ind w:left="87" w:hanging="87"/>
        <w:spacing w:after="0"/>
        <w:tabs>
          <w:tab w:leader="none" w:pos="8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potential litigation, government and regulatory proceedings, investigations and inquiries;</w:t>
      </w:r>
    </w:p>
    <w:p>
      <w:pPr>
        <w:spacing w:after="0" w:line="70" w:lineRule="exact"/>
        <w:rPr>
          <w:rFonts w:ascii="Times New Roman" w:cs="Times New Roman" w:eastAsia="Times New Roman" w:hAnsi="Times New Roman"/>
          <w:sz w:val="15"/>
          <w:szCs w:val="15"/>
          <w:color w:val="auto"/>
        </w:rPr>
      </w:pPr>
    </w:p>
    <w:p>
      <w:pPr>
        <w:jc w:val="both"/>
        <w:ind w:left="287" w:hanging="277"/>
        <w:spacing w:after="0" w:line="237" w:lineRule="auto"/>
        <w:tabs>
          <w:tab w:leader="none" w:pos="25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COVID-19 pandemic, inflation, interest rate changes, the ongoing conflict between Ukraine and Russia and in Israel, the Gaza Strip and the Red Sea, supply chain disruptions and logistical constraints on Polestar’s business, projected results of operations, financial performance or other financial and operational metrics or on any of the foregoing risks;</w:t>
      </w:r>
    </w:p>
    <w:p>
      <w:pPr>
        <w:spacing w:after="0" w:line="44" w:lineRule="exact"/>
        <w:rPr>
          <w:rFonts w:ascii="Times New Roman" w:cs="Times New Roman" w:eastAsia="Times New Roman" w:hAnsi="Times New Roman"/>
          <w:sz w:val="15"/>
          <w:szCs w:val="15"/>
          <w:color w:val="auto"/>
        </w:rPr>
      </w:pPr>
    </w:p>
    <w:p>
      <w:pPr>
        <w:ind w:left="227" w:hanging="217"/>
        <w:spacing w:after="0"/>
        <w:tabs>
          <w:tab w:leader="none" w:pos="227"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need to raise additional funds to support business growth; and</w:t>
      </w:r>
    </w:p>
    <w:p>
      <w:pPr>
        <w:spacing w:after="0" w:line="78" w:lineRule="exact"/>
        <w:rPr>
          <w:rFonts w:ascii="Times New Roman" w:cs="Times New Roman" w:eastAsia="Times New Roman" w:hAnsi="Times New Roman"/>
          <w:sz w:val="15"/>
          <w:szCs w:val="15"/>
          <w:color w:val="auto"/>
        </w:rPr>
      </w:pPr>
    </w:p>
    <w:p>
      <w:pPr>
        <w:ind w:left="227" w:hanging="217"/>
        <w:spacing w:after="0"/>
        <w:tabs>
          <w:tab w:leader="none" w:pos="227"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risks and uncertainties included in this Report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Item 3.D.</w:t>
      </w:r>
    </w:p>
    <w:p>
      <w:pPr>
        <w:spacing w:after="0" w:line="75" w:lineRule="exact"/>
        <w:rPr>
          <w:sz w:val="20"/>
          <w:szCs w:val="20"/>
          <w:color w:val="auto"/>
        </w:rPr>
      </w:pPr>
    </w:p>
    <w:p>
      <w:pPr>
        <w:jc w:val="both"/>
        <w:ind w:left="7"/>
        <w:spacing w:after="0" w:line="228" w:lineRule="auto"/>
        <w:rPr>
          <w:sz w:val="20"/>
          <w:szCs w:val="20"/>
          <w:color w:val="auto"/>
        </w:rPr>
      </w:pPr>
      <w:r>
        <w:rPr>
          <w:rFonts w:ascii="Times New Roman" w:cs="Times New Roman" w:eastAsia="Times New Roman" w:hAnsi="Times New Roman"/>
          <w:sz w:val="15"/>
          <w:szCs w:val="15"/>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w:t>
      </w:r>
    </w:p>
    <w:p>
      <w:pPr>
        <w:spacing w:after="0" w:line="1" w:lineRule="exact"/>
        <w:rPr>
          <w:sz w:val="20"/>
          <w:szCs w:val="20"/>
          <w:color w:val="auto"/>
        </w:rPr>
      </w:pP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implied by these forward-looking statements. These risks and uncertainties include, but are not limited to, those factors described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Item 3.D.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or otherwise, except as may be required under applicable securities laws.</w:t>
      </w:r>
    </w:p>
    <w:p>
      <w:pPr>
        <w:spacing w:after="0" w:line="200" w:lineRule="exact"/>
        <w:rPr>
          <w:sz w:val="20"/>
          <w:szCs w:val="20"/>
          <w:color w:val="auto"/>
        </w:rPr>
      </w:pPr>
    </w:p>
    <w:p>
      <w:pPr>
        <w:spacing w:after="0" w:line="3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b w:val="1"/>
          <w:bCs w:val="1"/>
          <w:color w:val="auto"/>
        </w:rPr>
        <w:t>FREQUENTLY USED TERMS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otherwise stated in this Report or the context otherwise requires, references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 securities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ADSs</w:t>
      </w:r>
      <w:r>
        <w:rPr>
          <w:rFonts w:ascii="Times New Roman" w:cs="Times New Roman" w:eastAsia="Times New Roman" w:hAnsi="Times New Roman"/>
          <w:sz w:val="15"/>
          <w:szCs w:val="15"/>
          <w:color w:val="auto"/>
        </w:rPr>
        <w:t>” means Class A ADSs and Class C ADSs.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ADS Deposit Agreement—Class A ADSs</w:t>
      </w:r>
      <w:r>
        <w:rPr>
          <w:rFonts w:ascii="Times New Roman" w:cs="Times New Roman" w:eastAsia="Times New Roman" w:hAnsi="Times New Roman"/>
          <w:sz w:val="15"/>
          <w:szCs w:val="15"/>
          <w:color w:val="auto"/>
        </w:rPr>
        <w:t>” means the ADS Deposit Agreement, by and among the Company, Citibank, N.A., as depositary, and all holders and beneficial owners from time to time of American depositary shares issued thereunder and representing deposited Class A Shares, a form of which is filed as an exhibit to this Report.</w:t>
      </w:r>
    </w:p>
    <w:p>
      <w:pPr>
        <w:spacing w:after="0" w:line="1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ADS Deposit Agreement—Class C-1 ADSs</w:t>
      </w:r>
      <w:r>
        <w:rPr>
          <w:rFonts w:ascii="Times New Roman" w:cs="Times New Roman" w:eastAsia="Times New Roman" w:hAnsi="Times New Roman"/>
          <w:sz w:val="15"/>
          <w:szCs w:val="15"/>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this Report.</w:t>
      </w:r>
    </w:p>
    <w:p>
      <w:pPr>
        <w:spacing w:after="0" w:line="3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ADS Deposit Agreement—Class C-2 ADSs</w:t>
      </w:r>
      <w:r>
        <w:rPr>
          <w:rFonts w:ascii="Times New Roman" w:cs="Times New Roman" w:eastAsia="Times New Roman" w:hAnsi="Times New Roman"/>
          <w:sz w:val="15"/>
          <w:szCs w:val="15"/>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this Report.</w:t>
      </w:r>
    </w:p>
    <w:p>
      <w:pPr>
        <w:spacing w:after="0" w:line="3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Amendment No. 1 to the Business Combination Agreement</w:t>
      </w:r>
      <w:r>
        <w:rPr>
          <w:rFonts w:ascii="Times New Roman" w:cs="Times New Roman" w:eastAsia="Times New Roman" w:hAnsi="Times New Roman"/>
          <w:sz w:val="15"/>
          <w:szCs w:val="15"/>
          <w:color w:val="auto"/>
        </w:rPr>
        <w:t>” means that certain amendment to the Business Combination Agreement, dated as of December 17, 2021, a copy of which is filed as an exhibit to this Report.</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Amendment No. 2 to the Business Combination Agreement</w:t>
      </w:r>
      <w:r>
        <w:rPr>
          <w:rFonts w:ascii="Times New Roman" w:cs="Times New Roman" w:eastAsia="Times New Roman" w:hAnsi="Times New Roman"/>
          <w:sz w:val="15"/>
          <w:szCs w:val="15"/>
          <w:color w:val="auto"/>
        </w:rPr>
        <w:t>” means that certain amendment to the Business Combination Agreement, dated as of March 24, 2022, a copy of which is filed as an exhibit to this Report.</w:t>
      </w:r>
    </w:p>
    <w:p>
      <w:pPr>
        <w:spacing w:after="0" w:line="11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Amendment No. 3 to the Business Combination Agreement</w:t>
      </w:r>
      <w:r>
        <w:rPr>
          <w:rFonts w:ascii="Times New Roman" w:cs="Times New Roman" w:eastAsia="Times New Roman" w:hAnsi="Times New Roman"/>
          <w:sz w:val="15"/>
          <w:szCs w:val="15"/>
          <w:color w:val="auto"/>
        </w:rPr>
        <w:t>” means that certain amendment to the Business Combination Agreement, dated as of April 21, 2022, a copy of which is filed as an exhibit to this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Business Combination Agreement</w:t>
      </w:r>
      <w:r>
        <w:rPr>
          <w:rFonts w:ascii="Times New Roman" w:cs="Times New Roman" w:eastAsia="Times New Roman" w:hAnsi="Times New Roman"/>
          <w:sz w:val="15"/>
          <w:szCs w:val="15"/>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this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Business Combination Closing</w:t>
      </w:r>
      <w:r>
        <w:rPr>
          <w:rFonts w:ascii="Times New Roman" w:cs="Times New Roman" w:eastAsia="Times New Roman" w:hAnsi="Times New Roman"/>
          <w:sz w:val="15"/>
          <w:szCs w:val="15"/>
          <w:color w:val="auto"/>
        </w:rPr>
        <w:t>” means the closing of the Business Combination.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Business Combination Closing Date</w:t>
      </w:r>
      <w:r>
        <w:rPr>
          <w:rFonts w:ascii="Times New Roman" w:cs="Times New Roman" w:eastAsia="Times New Roman" w:hAnsi="Times New Roman"/>
          <w:sz w:val="15"/>
          <w:szCs w:val="15"/>
          <w:color w:val="auto"/>
        </w:rPr>
        <w:t>” means the date of the Business Combination Closing or June 23,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ADS</w:t>
      </w:r>
      <w:r>
        <w:rPr>
          <w:rFonts w:ascii="Times New Roman" w:cs="Times New Roman" w:eastAsia="Times New Roman" w:hAnsi="Times New Roman"/>
          <w:sz w:val="15"/>
          <w:szCs w:val="15"/>
          <w:color w:val="auto"/>
        </w:rPr>
        <w:t>” means one American depositary share of the Company duly and validly issued against the deposit with the Depositary of an underlying Class A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Shares</w:t>
      </w:r>
      <w:r>
        <w:rPr>
          <w:rFonts w:ascii="Times New Roman" w:cs="Times New Roman" w:eastAsia="Times New Roman" w:hAnsi="Times New Roman"/>
          <w:sz w:val="15"/>
          <w:szCs w:val="15"/>
          <w:color w:val="auto"/>
        </w:rPr>
        <w:t>” means Class A ordinary shares of the Company, entitling the holder thereof to one vote per share.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ADS</w:t>
      </w:r>
      <w:r>
        <w:rPr>
          <w:rFonts w:ascii="Times New Roman" w:cs="Times New Roman" w:eastAsia="Times New Roman" w:hAnsi="Times New Roman"/>
          <w:sz w:val="15"/>
          <w:szCs w:val="15"/>
          <w:color w:val="auto"/>
        </w:rPr>
        <w:t>” means one American depositary share of the Company duly and validly issued against the deposit with the Depositary of an underlying Class B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Shares</w:t>
      </w:r>
      <w:r>
        <w:rPr>
          <w:rFonts w:ascii="Times New Roman" w:cs="Times New Roman" w:eastAsia="Times New Roman" w:hAnsi="Times New Roman"/>
          <w:sz w:val="15"/>
          <w:szCs w:val="15"/>
          <w:color w:val="auto"/>
        </w:rPr>
        <w:t>” means Class B ordinary shares of the Company, entitling the holder thereof to 10 votes per share.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 ADSs</w:t>
      </w:r>
      <w:r>
        <w:rPr>
          <w:rFonts w:ascii="Times New Roman" w:cs="Times New Roman" w:eastAsia="Times New Roman" w:hAnsi="Times New Roman"/>
          <w:sz w:val="15"/>
          <w:szCs w:val="15"/>
          <w:color w:val="auto"/>
        </w:rPr>
        <w:t>” means Class C-1 ADSs and Class C-2 ADSs.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 Shares</w:t>
      </w:r>
      <w:r>
        <w:rPr>
          <w:rFonts w:ascii="Times New Roman" w:cs="Times New Roman" w:eastAsia="Times New Roman" w:hAnsi="Times New Roman"/>
          <w:sz w:val="15"/>
          <w:szCs w:val="15"/>
          <w:color w:val="auto"/>
        </w:rPr>
        <w:t>” means Class C-1 Shares and Class C-2 Shares.</w:t>
      </w:r>
    </w:p>
    <w:p>
      <w:pPr>
        <w:spacing w:after="0" w:line="17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 Warrant Amendment</w:t>
      </w:r>
      <w:r>
        <w:rPr>
          <w:rFonts w:ascii="Times New Roman" w:cs="Times New Roman" w:eastAsia="Times New Roman" w:hAnsi="Times New Roman"/>
          <w:sz w:val="15"/>
          <w:szCs w:val="15"/>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w:t>
      </w:r>
    </w:p>
    <w:p>
      <w:pPr>
        <w:spacing w:after="0"/>
        <w:rPr>
          <w:sz w:val="20"/>
          <w:szCs w:val="20"/>
          <w:color w:val="auto"/>
        </w:rPr>
      </w:pPr>
      <w:r>
        <w:rPr>
          <w:rFonts w:ascii="Times New Roman" w:cs="Times New Roman" w:eastAsia="Times New Roman" w:hAnsi="Times New Roman"/>
          <w:sz w:val="15"/>
          <w:szCs w:val="15"/>
          <w:color w:val="auto"/>
        </w:rPr>
        <w:t>copy of which is filed as an exhibit to this Report.</w:t>
      </w:r>
    </w:p>
    <w:p>
      <w:pPr>
        <w:spacing w:after="0" w:line="14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C-1 ADS</w:t>
      </w:r>
      <w:r>
        <w:rPr>
          <w:rFonts w:ascii="Times New Roman" w:cs="Times New Roman" w:eastAsia="Times New Roman" w:hAnsi="Times New Roman"/>
          <w:sz w:val="15"/>
          <w:szCs w:val="15"/>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C-1 Share</w:t>
      </w:r>
      <w:r>
        <w:rPr>
          <w:rFonts w:ascii="Times New Roman" w:cs="Times New Roman" w:eastAsia="Times New Roman" w:hAnsi="Times New Roman"/>
          <w:sz w:val="15"/>
          <w:szCs w:val="15"/>
          <w:color w:val="auto"/>
        </w:rPr>
        <w:t>” means a class C-1 ordinary share in the share capital of the Company, each of which underlies a Class C-1 ADS and is exercisable for one Class A Share.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C-2 ADS</w:t>
      </w:r>
      <w:r>
        <w:rPr>
          <w:rFonts w:ascii="Times New Roman" w:cs="Times New Roman" w:eastAsia="Times New Roman" w:hAnsi="Times New Roman"/>
          <w:sz w:val="15"/>
          <w:szCs w:val="15"/>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C-2 Share</w:t>
      </w:r>
      <w:r>
        <w:rPr>
          <w:rFonts w:ascii="Times New Roman" w:cs="Times New Roman" w:eastAsia="Times New Roman" w:hAnsi="Times New Roman"/>
          <w:sz w:val="15"/>
          <w:szCs w:val="15"/>
          <w:color w:val="auto"/>
        </w:rPr>
        <w:t>” means a class C-2 ordinary share in the share capital of the Company, each of which underlies a Class C-2 ADS and is exercisable for one Class A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Code</w:t>
      </w:r>
      <w:r>
        <w:rPr>
          <w:rFonts w:ascii="Times New Roman" w:cs="Times New Roman" w:eastAsia="Times New Roman" w:hAnsi="Times New Roman"/>
          <w:sz w:val="15"/>
          <w:szCs w:val="15"/>
          <w:color w:val="auto"/>
        </w:rPr>
        <w:t>” means the U.S. Internal Revenue Code of 1986, as amended.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means, prior to the re-registration as a public limited company under the laws of England and Wales, “Polestar Automotive Holding UK Limited,” a limited company</w:t>
      </w:r>
    </w:p>
    <w:p>
      <w:pPr>
        <w:spacing w:after="0" w:line="10"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incorporated under the laws of England and Wales, and, after the re-registration as a public limited company under the laws of England and Wales, “Polestar Automotive Holding UK PLC.”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Company securities</w:t>
      </w:r>
      <w:r>
        <w:rPr>
          <w:rFonts w:ascii="Times New Roman" w:cs="Times New Roman" w:eastAsia="Times New Roman" w:hAnsi="Times New Roman"/>
          <w:sz w:val="15"/>
          <w:szCs w:val="15"/>
          <w:color w:val="auto"/>
        </w:rPr>
        <w:t>” means the Shares and Class C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Current GGI Certificate</w:t>
      </w:r>
      <w:r>
        <w:rPr>
          <w:rFonts w:ascii="Times New Roman" w:cs="Times New Roman" w:eastAsia="Times New Roman" w:hAnsi="Times New Roman"/>
          <w:sz w:val="15"/>
          <w:szCs w:val="15"/>
          <w:color w:val="auto"/>
        </w:rPr>
        <w:t>” means the Amended and Restated Certificate of Incorporation of GGI, dated March 22,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December PIPE Investment</w:t>
      </w:r>
      <w:r>
        <w:rPr>
          <w:rFonts w:ascii="Times New Roman" w:cs="Times New Roman" w:eastAsia="Times New Roman" w:hAnsi="Times New Roman"/>
          <w:sz w:val="15"/>
          <w:szCs w:val="15"/>
          <w:color w:val="auto"/>
        </w:rPr>
        <w:t>” means the purchase of December PIPE Shares pursuant to the December PIPE Subscription Agreements.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December PIPE Investors</w:t>
      </w:r>
      <w:r>
        <w:rPr>
          <w:rFonts w:ascii="Times New Roman" w:cs="Times New Roman" w:eastAsia="Times New Roman" w:hAnsi="Times New Roman"/>
          <w:sz w:val="15"/>
          <w:szCs w:val="15"/>
          <w:color w:val="auto"/>
        </w:rPr>
        <w:t>” means the purchasers of December PIPE Shares in the December PIPE Investment, which include certain affiliates and employees of the GGI Sponsor.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December PIPE Shares</w:t>
      </w:r>
      <w:r>
        <w:rPr>
          <w:rFonts w:ascii="Times New Roman" w:cs="Times New Roman" w:eastAsia="Times New Roman" w:hAnsi="Times New Roman"/>
          <w:sz w:val="15"/>
          <w:szCs w:val="15"/>
          <w:color w:val="auto"/>
        </w:rPr>
        <w:t>” means the Class A Shares in the form of Class A ADSs purchased by December PIPE Investors in the December PIPE Investment.</w:t>
      </w:r>
    </w:p>
    <w:p>
      <w:pPr>
        <w:spacing w:after="0" w:line="71" w:lineRule="exact"/>
        <w:rPr>
          <w:sz w:val="20"/>
          <w:szCs w:val="20"/>
          <w:color w:val="auto"/>
        </w:rPr>
      </w:pPr>
    </w:p>
    <w:p>
      <w:pPr>
        <w:ind w:firstLine="39"/>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December PIPE Subscription Agreements</w:t>
      </w:r>
      <w:r>
        <w:rPr>
          <w:rFonts w:ascii="Times New Roman" w:cs="Times New Roman" w:eastAsia="Times New Roman" w:hAnsi="Times New Roman"/>
          <w:sz w:val="15"/>
          <w:szCs w:val="15"/>
          <w:color w:val="auto"/>
        </w:rPr>
        <w:t>” means the share subscription agreements, dated December 17, 2021, by and among the Company, GGI and the December PIPE Investors pursuant to which the December PIPE Investors purchased the December PIPE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Deferred Shares</w:t>
      </w:r>
      <w:r>
        <w:rPr>
          <w:rFonts w:ascii="Times New Roman" w:cs="Times New Roman" w:eastAsia="Times New Roman" w:hAnsi="Times New Roman"/>
          <w:sz w:val="15"/>
          <w:szCs w:val="15"/>
          <w:color w:val="auto"/>
        </w:rPr>
        <w:t>” means the deferred shares of USD 0.01 each in the capital of the Company that have no right to vote or dividend rights.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Deloitte</w:t>
      </w:r>
      <w:r>
        <w:rPr>
          <w:rFonts w:ascii="Times New Roman" w:cs="Times New Roman" w:eastAsia="Times New Roman" w:hAnsi="Times New Roman"/>
          <w:sz w:val="15"/>
          <w:szCs w:val="15"/>
          <w:color w:val="auto"/>
        </w:rPr>
        <w:t>” means Deloitte AB, an independent registered public accounting firm.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Deposit Agreements</w:t>
      </w:r>
      <w:r>
        <w:rPr>
          <w:rFonts w:ascii="Times New Roman" w:cs="Times New Roman" w:eastAsia="Times New Roman" w:hAnsi="Times New Roman"/>
          <w:sz w:val="15"/>
          <w:szCs w:val="15"/>
          <w:color w:val="auto"/>
        </w:rPr>
        <w:t>” means the ADS Deposit Agreement—Class A ADSs, the ADS Deposit Agreement—Class C-1 ADSs and the ADS Deposit Agreement—Class C-2 ADSs.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Depositary</w:t>
      </w:r>
      <w:r>
        <w:rPr>
          <w:rFonts w:ascii="Times New Roman" w:cs="Times New Roman" w:eastAsia="Times New Roman" w:hAnsi="Times New Roman"/>
          <w:sz w:val="15"/>
          <w:szCs w:val="15"/>
          <w:color w:val="auto"/>
        </w:rPr>
        <w:t>” means Citibank, N.A., acting as depositary under the Deposit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Earn Out Class A Shares</w:t>
      </w:r>
      <w:r>
        <w:rPr>
          <w:rFonts w:ascii="Times New Roman" w:cs="Times New Roman" w:eastAsia="Times New Roman" w:hAnsi="Times New Roman"/>
          <w:sz w:val="15"/>
          <w:szCs w:val="15"/>
          <w:color w:val="auto"/>
        </w:rPr>
        <w:t>” means the earn out shares issuable by the Company in the form of Class A ADSs.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Earn Out Class B Shares</w:t>
      </w:r>
      <w:r>
        <w:rPr>
          <w:rFonts w:ascii="Times New Roman" w:cs="Times New Roman" w:eastAsia="Times New Roman" w:hAnsi="Times New Roman"/>
          <w:sz w:val="15"/>
          <w:szCs w:val="15"/>
          <w:color w:val="auto"/>
        </w:rPr>
        <w:t>” means the earn out shares issuable by the Company in the form of Class B ADSs.</w:t>
      </w:r>
    </w:p>
    <w:p>
      <w:pPr>
        <w:spacing w:after="0" w:line="20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Earn Out Shares</w:t>
      </w:r>
      <w:r>
        <w:rPr>
          <w:rFonts w:ascii="Times New Roman" w:cs="Times New Roman" w:eastAsia="Times New Roman" w:hAnsi="Times New Roman"/>
          <w:sz w:val="15"/>
          <w:szCs w:val="15"/>
          <w:color w:val="auto"/>
        </w:rPr>
        <w:t>” means earn out shares from the Company issuable in Class A ADSs and Class B ADS to certain Former Parent Shareholders depending on share price performance of Polestar.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Employee Stock Purchase Plan</w:t>
      </w:r>
      <w:r>
        <w:rPr>
          <w:rFonts w:ascii="Times New Roman" w:cs="Times New Roman" w:eastAsia="Times New Roman" w:hAnsi="Times New Roman"/>
          <w:sz w:val="15"/>
          <w:szCs w:val="15"/>
          <w:color w:val="auto"/>
        </w:rPr>
        <w:t>” means Polestar Automotive Holding UK PLC 2022 Stock Purchase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Equity Plan</w:t>
      </w:r>
      <w:r>
        <w:rPr>
          <w:rFonts w:ascii="Times New Roman" w:cs="Times New Roman" w:eastAsia="Times New Roman" w:hAnsi="Times New Roman"/>
          <w:sz w:val="15"/>
          <w:szCs w:val="15"/>
          <w:color w:val="auto"/>
        </w:rPr>
        <w:t>” means the Polestar Automotive Holding UK PLC 2022 Omnibus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EU</w:t>
      </w:r>
      <w:r>
        <w:rPr>
          <w:rFonts w:ascii="Times New Roman" w:cs="Times New Roman" w:eastAsia="Times New Roman" w:hAnsi="Times New Roman"/>
          <w:sz w:val="15"/>
          <w:szCs w:val="15"/>
          <w:color w:val="auto"/>
        </w:rPr>
        <w:t>” means the European Union.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Exchange Act</w:t>
      </w:r>
      <w:r>
        <w:rPr>
          <w:rFonts w:ascii="Times New Roman" w:cs="Times New Roman" w:eastAsia="Times New Roman" w:hAnsi="Times New Roman"/>
          <w:sz w:val="15"/>
          <w:szCs w:val="15"/>
          <w:color w:val="auto"/>
        </w:rPr>
        <w:t>” means the Securities Exchange Act of 1934, as amended, together with the rules and regulations promulgated thereunder.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Former Parent</w:t>
      </w:r>
      <w:r>
        <w:rPr>
          <w:rFonts w:ascii="Times New Roman" w:cs="Times New Roman" w:eastAsia="Times New Roman" w:hAnsi="Times New Roman"/>
          <w:sz w:val="15"/>
          <w:szCs w:val="15"/>
          <w:color w:val="auto"/>
        </w:rPr>
        <w:t>” means Polestar Automotive Holding Limited, a Hong Kong incorporated company, which completed a voluntary liquidation in 2023.</w:t>
      </w:r>
    </w:p>
    <w:p>
      <w:pPr>
        <w:spacing w:after="0" w:line="186" w:lineRule="exact"/>
        <w:rPr>
          <w:sz w:val="20"/>
          <w:szCs w:val="20"/>
          <w:color w:val="auto"/>
        </w:rPr>
      </w:pPr>
    </w:p>
    <w:p>
      <w:pPr>
        <w:ind w:right="20"/>
        <w:spacing w:after="0" w:line="333" w:lineRule="auto"/>
        <w:tabs>
          <w:tab w:leader="none" w:pos="640" w:val="left"/>
        </w:tabs>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Former</w:t>
      </w:r>
      <w:r>
        <w:rPr>
          <w:sz w:val="20"/>
          <w:szCs w:val="20"/>
          <w:color w:val="auto"/>
        </w:rPr>
        <w:tab/>
      </w:r>
      <w:r>
        <w:rPr>
          <w:rFonts w:ascii="Times New Roman" w:cs="Times New Roman" w:eastAsia="Times New Roman" w:hAnsi="Times New Roman"/>
          <w:sz w:val="15"/>
          <w:szCs w:val="15"/>
          <w:i w:val="1"/>
          <w:iCs w:val="1"/>
          <w:color w:val="auto"/>
        </w:rPr>
        <w:t>Parent Shareholders</w:t>
      </w:r>
      <w:r>
        <w:rPr>
          <w:rFonts w:ascii="Times New Roman" w:cs="Times New Roman" w:eastAsia="Times New Roman" w:hAnsi="Times New Roman"/>
          <w:sz w:val="15"/>
          <w:szCs w:val="15"/>
          <w:color w:val="auto"/>
        </w:rPr>
        <w:t>” means Snita, PSINV AB, PSD Investment Limited, GLY New Mobility 1. LP, Northpole GLY 1 LP, Chongqing Liangjiang</w:t>
      </w:r>
      <w:r>
        <w:rPr>
          <w:rFonts w:ascii="Times New Roman" w:cs="Times New Roman" w:eastAsia="Times New Roman" w:hAnsi="Times New Roman"/>
          <w:sz w:val="15"/>
          <w:szCs w:val="15"/>
          <w:i w:val="1"/>
          <w:iCs w:val="1"/>
          <w:color w:val="auto"/>
        </w:rPr>
        <w:t xml:space="preserve"> </w:t>
      </w:r>
      <w:r>
        <w:rPr>
          <w:sz w:val="1"/>
          <w:szCs w:val="1"/>
          <w:color w:val="auto"/>
        </w:rPr>
        <w:drawing>
          <wp:inline distT="0" distB="0" distL="0" distR="0">
            <wp:extent cx="1410970" cy="882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0970" cy="88265"/>
                    </a:xfrm>
                    <a:prstGeom prst="rect">
                      <a:avLst/>
                    </a:prstGeom>
                    <a:noFill/>
                    <a:ln>
                      <a:noFill/>
                    </a:ln>
                  </pic:spPr>
                </pic:pic>
              </a:graphicData>
            </a:graphic>
          </wp:inline>
        </w:drawing>
      </w:r>
      <w:r>
        <w:rPr>
          <w:rFonts w:ascii="Times New Roman" w:cs="Times New Roman" w:eastAsia="Times New Roman" w:hAnsi="Times New Roman"/>
          <w:sz w:val="15"/>
          <w:szCs w:val="15"/>
          <w:color w:val="auto"/>
        </w:rPr>
        <w:t>, Zibo Financial Holding Group Co., Ltd. and Zibo High-Tech Industrial Investment Co., Ltd.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w:t>
      </w:r>
      <w:r>
        <w:rPr>
          <w:rFonts w:ascii="Times New Roman" w:cs="Times New Roman" w:eastAsia="Times New Roman" w:hAnsi="Times New Roman"/>
          <w:sz w:val="15"/>
          <w:szCs w:val="15"/>
          <w:i w:val="1"/>
          <w:iCs w:val="1"/>
          <w:color w:val="auto"/>
        </w:rPr>
        <w:t>AAP</w:t>
      </w:r>
      <w:r>
        <w:rPr>
          <w:rFonts w:ascii="Times New Roman" w:cs="Times New Roman" w:eastAsia="Times New Roman" w:hAnsi="Times New Roman"/>
          <w:sz w:val="15"/>
          <w:szCs w:val="15"/>
          <w:color w:val="auto"/>
        </w:rPr>
        <w:t>” means generally accepted accounting principles in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Geely</w:t>
      </w:r>
      <w:r>
        <w:rPr>
          <w:rFonts w:ascii="Times New Roman" w:cs="Times New Roman" w:eastAsia="Times New Roman" w:hAnsi="Times New Roman"/>
          <w:sz w:val="15"/>
          <w:szCs w:val="15"/>
          <w:color w:val="auto"/>
        </w:rPr>
        <w:t>” means Zhejiang Geely Holding Group Company Limited.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Geely Term Loan Facility</w:t>
      </w:r>
      <w:r>
        <w:rPr>
          <w:rFonts w:ascii="Times New Roman" w:cs="Times New Roman" w:eastAsia="Times New Roman" w:hAnsi="Times New Roman"/>
          <w:sz w:val="15"/>
          <w:szCs w:val="15"/>
          <w:color w:val="auto"/>
        </w:rPr>
        <w:t>” means the Term Loan Facility, dated November 3, 2022, between the Company, as borrower, and Geely Sweden Automotive Investment AB, as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w:t>
      </w:r>
      <w:r>
        <w:rPr>
          <w:rFonts w:ascii="Times New Roman" w:cs="Times New Roman" w:eastAsia="Times New Roman" w:hAnsi="Times New Roman"/>
          <w:sz w:val="15"/>
          <w:szCs w:val="15"/>
          <w:color w:val="auto"/>
        </w:rPr>
        <w:t>” means Gores Guggenheim,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Class A Common Stock</w:t>
      </w:r>
      <w:r>
        <w:rPr>
          <w:rFonts w:ascii="Times New Roman" w:cs="Times New Roman" w:eastAsia="Times New Roman" w:hAnsi="Times New Roman"/>
          <w:sz w:val="15"/>
          <w:szCs w:val="15"/>
          <w:color w:val="auto"/>
        </w:rPr>
        <w:t>” means the shares of Class A common stock, par value $0.0001 per share, of GGI.</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Class F Common Stock</w:t>
      </w:r>
      <w:r>
        <w:rPr>
          <w:rFonts w:ascii="Times New Roman" w:cs="Times New Roman" w:eastAsia="Times New Roman" w:hAnsi="Times New Roman"/>
          <w:sz w:val="15"/>
          <w:szCs w:val="15"/>
          <w:color w:val="auto"/>
        </w:rPr>
        <w:t>” means the shares of Class F common stock, par value $0.0001 per share, of GGI.</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Common Stock</w:t>
      </w:r>
      <w:r>
        <w:rPr>
          <w:rFonts w:ascii="Times New Roman" w:cs="Times New Roman" w:eastAsia="Times New Roman" w:hAnsi="Times New Roman"/>
          <w:sz w:val="15"/>
          <w:szCs w:val="15"/>
          <w:color w:val="auto"/>
        </w:rPr>
        <w:t>” means the GGI Class A Common Stock and the GGI Class 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Initial Stockholders</w:t>
      </w:r>
      <w:r>
        <w:rPr>
          <w:rFonts w:ascii="Times New Roman" w:cs="Times New Roman" w:eastAsia="Times New Roman" w:hAnsi="Times New Roman"/>
          <w:sz w:val="15"/>
          <w:szCs w:val="15"/>
          <w:color w:val="auto"/>
        </w:rPr>
        <w:t>” means the GGI Sponsor and Randall Bort, Elizabeth Marcellino and Nancy Tellem, GGI’s independent directors.</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Public Warrants</w:t>
      </w:r>
      <w:r>
        <w:rPr>
          <w:rFonts w:ascii="Times New Roman" w:cs="Times New Roman" w:eastAsia="Times New Roman" w:hAnsi="Times New Roman"/>
          <w:sz w:val="15"/>
          <w:szCs w:val="15"/>
          <w:color w:val="auto"/>
        </w:rPr>
        <w:t>” means the warrants included in the GGI public units (consisting of one share of GGI Class A Common Stock and one-fifth of one GGI Public Warrant) issued in the GGI initial public offering, consummated on March 25,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Sponsor</w:t>
      </w:r>
      <w:r>
        <w:rPr>
          <w:rFonts w:ascii="Times New Roman" w:cs="Times New Roman" w:eastAsia="Times New Roman" w:hAnsi="Times New Roman"/>
          <w:sz w:val="15"/>
          <w:szCs w:val="15"/>
          <w:color w:val="auto"/>
        </w:rPr>
        <w:t>” means Gores Guggenheim Sponsor LLC, a Delaware limited liability company and its affiliates, including The Gores Group, LLC.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GGI Warrants</w:t>
      </w:r>
      <w:r>
        <w:rPr>
          <w:rFonts w:ascii="Times New Roman" w:cs="Times New Roman" w:eastAsia="Times New Roman" w:hAnsi="Times New Roman"/>
          <w:sz w:val="15"/>
          <w:szCs w:val="15"/>
          <w:color w:val="auto"/>
        </w:rPr>
        <w:t>” means, collectively, the GGI Private Placement Warrants and the GGI Public Warrants.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Initial PIPE Investment</w:t>
      </w:r>
      <w:r>
        <w:rPr>
          <w:rFonts w:ascii="Times New Roman" w:cs="Times New Roman" w:eastAsia="Times New Roman" w:hAnsi="Times New Roman"/>
          <w:sz w:val="15"/>
          <w:szCs w:val="15"/>
          <w:color w:val="auto"/>
        </w:rPr>
        <w:t>” means the purchase of Initial PIPE Shares pursuant to the Initial PIPE Subscription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Initial PIPE Investors</w:t>
      </w:r>
      <w:r>
        <w:rPr>
          <w:rFonts w:ascii="Times New Roman" w:cs="Times New Roman" w:eastAsia="Times New Roman" w:hAnsi="Times New Roman"/>
          <w:sz w:val="15"/>
          <w:szCs w:val="15"/>
          <w:color w:val="auto"/>
        </w:rPr>
        <w:t>” means the purchasers of Initial PIPE Shares in the Initial PIPE Investment.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Initial PIPE Shares</w:t>
      </w:r>
      <w:r>
        <w:rPr>
          <w:rFonts w:ascii="Times New Roman" w:cs="Times New Roman" w:eastAsia="Times New Roman" w:hAnsi="Times New Roman"/>
          <w:sz w:val="15"/>
          <w:szCs w:val="15"/>
          <w:color w:val="auto"/>
        </w:rPr>
        <w:t>” means the Class A Shares in the form of Class A ADSs purchased by Initial PIPE Investors in the Initial PIPE Investment.</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Initial PIPE Subscription Agreements</w:t>
      </w:r>
      <w:r>
        <w:rPr>
          <w:rFonts w:ascii="Times New Roman" w:cs="Times New Roman" w:eastAsia="Times New Roman" w:hAnsi="Times New Roman"/>
          <w:sz w:val="15"/>
          <w:szCs w:val="15"/>
          <w:color w:val="auto"/>
        </w:rPr>
        <w:t>” means the share subscription agreements, dated September 27, 2021, by and among the Company, GGI and the Initial PIPE Investors pursuant to which the Initial PIPE Investors purchased the Initial PIPE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IRS</w:t>
      </w:r>
      <w:r>
        <w:rPr>
          <w:rFonts w:ascii="Times New Roman" w:cs="Times New Roman" w:eastAsia="Times New Roman" w:hAnsi="Times New Roman"/>
          <w:sz w:val="15"/>
          <w:szCs w:val="15"/>
          <w:color w:val="auto"/>
        </w:rPr>
        <w:t>” means the U.S. Internal Revenue Service.</w:t>
      </w:r>
    </w:p>
    <w:p>
      <w:pPr>
        <w:spacing w:after="0" w:line="16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March 2022 PIPE Investors</w:t>
      </w:r>
      <w:r>
        <w:rPr>
          <w:rFonts w:ascii="Times New Roman" w:cs="Times New Roman" w:eastAsia="Times New Roman" w:hAnsi="Times New Roman"/>
          <w:sz w:val="15"/>
          <w:szCs w:val="15"/>
          <w:color w:val="auto"/>
        </w:rPr>
        <w:t>” means the purchasers of March 2022 PIPE Shares in the March 2022 PIPE Investment, which include certain affiliates and employees of the GGI Sponsor.</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March 2022 PIPE Shares</w:t>
      </w:r>
      <w:r>
        <w:rPr>
          <w:rFonts w:ascii="Times New Roman" w:cs="Times New Roman" w:eastAsia="Times New Roman" w:hAnsi="Times New Roman"/>
          <w:sz w:val="15"/>
          <w:szCs w:val="15"/>
          <w:color w:val="auto"/>
        </w:rPr>
        <w:t>” means the Class A Shares in the form of Class A ADSs purchased by March 2022 PIPE Investors in the March 2022 PIPE Investment.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March 2022 PIPE Subscription Agreements</w:t>
      </w:r>
      <w:r>
        <w:rPr>
          <w:rFonts w:ascii="Times New Roman" w:cs="Times New Roman" w:eastAsia="Times New Roman" w:hAnsi="Times New Roman"/>
          <w:sz w:val="15"/>
          <w:szCs w:val="15"/>
          <w:color w:val="auto"/>
        </w:rPr>
        <w:t>” means the shares subscription agreements, dated March 24, 2022, by and among the Company, GGI and the March 2022 PIPE Investors pursuant to which the March 2022 PIPE Investors purchased the March 2022 PIPE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March 2022 Sponsor Investment</w:t>
      </w:r>
      <w:r>
        <w:rPr>
          <w:rFonts w:ascii="Times New Roman" w:cs="Times New Roman" w:eastAsia="Times New Roman" w:hAnsi="Times New Roman"/>
          <w:sz w:val="15"/>
          <w:szCs w:val="15"/>
          <w:color w:val="auto"/>
        </w:rPr>
        <w:t>” means the purchase of March 2022 PIPE Shares pursuant to the March 2022 PIPE Subscription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 means the merger between Merger Sub and GGI, with GGI surviving as a direct wholly owned subsidiary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Merger Sub</w:t>
      </w:r>
      <w:r>
        <w:rPr>
          <w:rFonts w:ascii="Times New Roman" w:cs="Times New Roman" w:eastAsia="Times New Roman" w:hAnsi="Times New Roman"/>
          <w:sz w:val="15"/>
          <w:szCs w:val="15"/>
          <w:color w:val="auto"/>
        </w:rPr>
        <w:t>” means PAH UK Merger Sub Inc., a Delaware corporation and a direct wholly owned subsidiary of the Company until June 23,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Nasdaq</w:t>
      </w:r>
      <w:r>
        <w:rPr>
          <w:rFonts w:ascii="Times New Roman" w:cs="Times New Roman" w:eastAsia="Times New Roman" w:hAnsi="Times New Roman"/>
          <w:sz w:val="15"/>
          <w:szCs w:val="15"/>
          <w:color w:val="auto"/>
        </w:rPr>
        <w:t>” means the National Association of Securities Dealers Automated Quotations Global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PIPE Investment</w:t>
      </w:r>
      <w:r>
        <w:rPr>
          <w:rFonts w:ascii="Times New Roman" w:cs="Times New Roman" w:eastAsia="Times New Roman" w:hAnsi="Times New Roman"/>
          <w:sz w:val="15"/>
          <w:szCs w:val="15"/>
          <w:color w:val="auto"/>
        </w:rPr>
        <w:t>” means the purchase of PIPE Shares pursuant to the PIPE Subscription Agreements.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PIPE Investors</w:t>
      </w:r>
      <w:r>
        <w:rPr>
          <w:rFonts w:ascii="Times New Roman" w:cs="Times New Roman" w:eastAsia="Times New Roman" w:hAnsi="Times New Roman"/>
          <w:sz w:val="15"/>
          <w:szCs w:val="15"/>
          <w:color w:val="auto"/>
        </w:rPr>
        <w:t>” means the purchasers of PIPE Shares in the PIPE Investment.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PIPE Shares</w:t>
      </w:r>
      <w:r>
        <w:rPr>
          <w:rFonts w:ascii="Times New Roman" w:cs="Times New Roman" w:eastAsia="Times New Roman" w:hAnsi="Times New Roman"/>
          <w:sz w:val="15"/>
          <w:szCs w:val="15"/>
          <w:color w:val="auto"/>
        </w:rPr>
        <w:t>” means the Class A Shares in the form of Class A ADSs purchased by PIPE Investors in the PIPE Investment.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PIPE Subscription Agreements</w:t>
      </w:r>
      <w:r>
        <w:rPr>
          <w:rFonts w:ascii="Times New Roman" w:cs="Times New Roman" w:eastAsia="Times New Roman" w:hAnsi="Times New Roman"/>
          <w:sz w:val="15"/>
          <w:szCs w:val="15"/>
          <w:color w:val="auto"/>
        </w:rPr>
        <w:t>” means the Initial PIPE Subscription Agreements, the December PIPE Subscription Agreements and the March 2022 PIPE Subscription Agreements.</w:t>
      </w:r>
    </w:p>
    <w:p>
      <w:pPr>
        <w:spacing w:after="0" w:line="71" w:lineRule="exact"/>
        <w:rPr>
          <w:sz w:val="20"/>
          <w:szCs w:val="20"/>
          <w:color w:val="auto"/>
        </w:rPr>
      </w:pPr>
    </w:p>
    <w:p>
      <w:pPr>
        <w:ind w:firstLine="62"/>
        <w:spacing w:after="0" w:line="23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Polestar</w:t>
      </w:r>
      <w:r>
        <w:rPr>
          <w:rFonts w:ascii="Times New Roman" w:cs="Times New Roman" w:eastAsia="Times New Roman" w:hAnsi="Times New Roman"/>
          <w:sz w:val="15"/>
          <w:szCs w:val="15"/>
          <w:color w:val="auto"/>
        </w:rPr>
        <w:t>” 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w:t>
      </w:r>
    </w:p>
    <w:p>
      <w:pPr>
        <w:spacing w:after="0"/>
        <w:rPr>
          <w:sz w:val="20"/>
          <w:szCs w:val="20"/>
          <w:color w:val="auto"/>
        </w:rPr>
      </w:pPr>
      <w:r>
        <w:rPr>
          <w:rFonts w:ascii="Times New Roman" w:cs="Times New Roman" w:eastAsia="Times New Roman" w:hAnsi="Times New Roman"/>
          <w:sz w:val="15"/>
          <w:szCs w:val="15"/>
          <w:color w:val="auto"/>
        </w:rPr>
        <w:t>(x) Polestar Sweden is not a wholly-owned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subsidiary of Polestar Singapore or (y) Polestar Singapore is not a wholly-owned subsidiary of Polestar Sweden, or (iii) the Company or Polestar Group after the Business Combination Closing.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Polestar Articles</w:t>
      </w:r>
      <w:r>
        <w:rPr>
          <w:rFonts w:ascii="Times New Roman" w:cs="Times New Roman" w:eastAsia="Times New Roman" w:hAnsi="Times New Roman"/>
          <w:sz w:val="15"/>
          <w:szCs w:val="15"/>
          <w:color w:val="auto"/>
        </w:rPr>
        <w:t>” means the Articles of Association of Polestar, a copy of which is filed as an exhibit to this Report.</w:t>
      </w:r>
    </w:p>
    <w:p>
      <w:pPr>
        <w:spacing w:after="0" w:line="16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Polestar Group</w:t>
      </w:r>
      <w:r>
        <w:rPr>
          <w:rFonts w:ascii="Times New Roman" w:cs="Times New Roman" w:eastAsia="Times New Roman" w:hAnsi="Times New Roman"/>
          <w:sz w:val="15"/>
          <w:szCs w:val="15"/>
          <w:color w:val="auto"/>
        </w:rPr>
        <w:t>” means Former Parent, together with its subsidiaries prior to the Business Combination Closing and the Company and its subsidiaries following the Business Combination Closing.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Polestar Singapore</w:t>
      </w:r>
      <w:r>
        <w:rPr>
          <w:rFonts w:ascii="Times New Roman" w:cs="Times New Roman" w:eastAsia="Times New Roman" w:hAnsi="Times New Roman"/>
          <w:sz w:val="15"/>
          <w:szCs w:val="15"/>
          <w:color w:val="auto"/>
        </w:rPr>
        <w:t>” means Polestar Automotive (Singapore) Pte. Ltd., a private company limited by shares in Singapore.</w:t>
      </w:r>
    </w:p>
    <w:p>
      <w:pPr>
        <w:spacing w:after="0" w:line="16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Polestar Spaces</w:t>
      </w:r>
      <w:r>
        <w:rPr>
          <w:rFonts w:ascii="Times New Roman" w:cs="Times New Roman" w:eastAsia="Times New Roman" w:hAnsi="Times New Roman"/>
          <w:sz w:val="15"/>
          <w:szCs w:val="15"/>
          <w:color w:val="auto"/>
        </w:rPr>
        <w:t>” means permanent or pop up/temporary Polestar showrooms located in urban or peri-urban areas where potential customers can experience Polestar vehicles, engage with Polestar specialists and, at select locations, test-drive Polestar vehicles.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Polestar Sweden</w:t>
      </w:r>
      <w:r>
        <w:rPr>
          <w:rFonts w:ascii="Times New Roman" w:cs="Times New Roman" w:eastAsia="Times New Roman" w:hAnsi="Times New Roman"/>
          <w:sz w:val="15"/>
          <w:szCs w:val="15"/>
          <w:color w:val="auto"/>
        </w:rPr>
        <w:t>” means Polestar Holding AB, a private limited liability company incorporated under the laws of Sweden.</w:t>
      </w:r>
    </w:p>
    <w:p>
      <w:pPr>
        <w:spacing w:after="0" w:line="16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Pre-Closing Reorganization</w:t>
      </w:r>
      <w:r>
        <w:rPr>
          <w:rFonts w:ascii="Times New Roman" w:cs="Times New Roman" w:eastAsia="Times New Roman" w:hAnsi="Times New Roman"/>
          <w:sz w:val="15"/>
          <w:szCs w:val="15"/>
          <w:color w:val="auto"/>
        </w:rPr>
        <w:t>” 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Pre-Closing Sweden/Singapore Share Transfer</w:t>
      </w:r>
      <w:r>
        <w:rPr>
          <w:rFonts w:ascii="Times New Roman" w:cs="Times New Roman" w:eastAsia="Times New Roman" w:hAnsi="Times New Roman"/>
          <w:sz w:val="15"/>
          <w:szCs w:val="15"/>
          <w:color w:val="auto"/>
        </w:rPr>
        <w:t>” means, collectively, the following transactions contemplated under the Business Combination Agreement: (i) the transfer by Polestar Singapore to Former Parent of all of the issued and outstanding equity securities of Polestar Sweden (the “</w:t>
      </w:r>
      <w:r>
        <w:rPr>
          <w:rFonts w:ascii="Times New Roman" w:cs="Times New Roman" w:eastAsia="Times New Roman" w:hAnsi="Times New Roman"/>
          <w:sz w:val="15"/>
          <w:szCs w:val="15"/>
          <w:i w:val="1"/>
          <w:iCs w:val="1"/>
          <w:color w:val="auto"/>
        </w:rPr>
        <w:t>Pre-Closing Sweden Share Transfer</w:t>
      </w:r>
      <w:r>
        <w:rPr>
          <w:rFonts w:ascii="Times New Roman" w:cs="Times New Roman" w:eastAsia="Times New Roman" w:hAnsi="Times New Roman"/>
          <w:sz w:val="15"/>
          <w:szCs w:val="15"/>
          <w:color w:val="auto"/>
        </w:rPr>
        <w:t>”) and (ii) after the Pre-Closing Sweden Share Transfer, the contribution by Former Parent to Polestar Sweden of all of the issued and outstanding equity securities of Polestar Singapore.</w:t>
      </w:r>
    </w:p>
    <w:p>
      <w:pPr>
        <w:spacing w:after="0" w:line="14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Registration Rights Agreement</w:t>
      </w:r>
      <w:r>
        <w:rPr>
          <w:rFonts w:ascii="Times New Roman" w:cs="Times New Roman" w:eastAsia="Times New Roman" w:hAnsi="Times New Roman"/>
          <w:sz w:val="15"/>
          <w:szCs w:val="15"/>
          <w:color w:val="auto"/>
        </w:rPr>
        <w:t>” means the registration rights agreement, dated September 27, 2021, by and among the Company, Former Parent, the Former Parent Shareholders, the GGI Sponsor and the independent directors of GGI (such persons, together with the GGI Sponsor and the Former Parent Shareholders, the “</w:t>
      </w:r>
      <w:r>
        <w:rPr>
          <w:rFonts w:ascii="Times New Roman" w:cs="Times New Roman" w:eastAsia="Times New Roman" w:hAnsi="Times New Roman"/>
          <w:sz w:val="15"/>
          <w:szCs w:val="15"/>
          <w:i w:val="1"/>
          <w:iCs w:val="1"/>
          <w:color w:val="auto"/>
        </w:rPr>
        <w:t>Registration Rights Holders</w:t>
      </w:r>
      <w:r>
        <w:rPr>
          <w:rFonts w:ascii="Times New Roman" w:cs="Times New Roman" w:eastAsia="Times New Roman" w:hAnsi="Times New Roman"/>
          <w:sz w:val="15"/>
          <w:szCs w:val="15"/>
          <w:color w:val="auto"/>
        </w:rPr>
        <w:t>”), as amended by the Registration Rights Agreement Amendment No. 1, the Registration Rights Agreement Amendment No. 2 and the Registration Rights Agreement Amendment No. 3.</w:t>
      </w:r>
    </w:p>
    <w:p>
      <w:pPr>
        <w:spacing w:after="0"/>
        <w:rPr>
          <w:sz w:val="20"/>
          <w:szCs w:val="20"/>
          <w:color w:val="auto"/>
        </w:rPr>
      </w:pPr>
      <w:r>
        <w:rPr>
          <w:rFonts w:ascii="Times New Roman" w:cs="Times New Roman" w:eastAsia="Times New Roman" w:hAnsi="Times New Roman"/>
          <w:sz w:val="15"/>
          <w:szCs w:val="15"/>
          <w:color w:val="auto"/>
        </w:rPr>
        <w:t>A copy of the Registration Rights Agreement is filed as an exhibit to this Report.</w:t>
      </w:r>
    </w:p>
    <w:p>
      <w:pPr>
        <w:spacing w:after="0" w:line="14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Registration Rights Agreement Amendment No. 1</w:t>
      </w:r>
      <w:r>
        <w:rPr>
          <w:rFonts w:ascii="Times New Roman" w:cs="Times New Roman" w:eastAsia="Times New Roman" w:hAnsi="Times New Roman"/>
          <w:sz w:val="15"/>
          <w:szCs w:val="15"/>
          <w:color w:val="auto"/>
        </w:rPr>
        <w:t>” means that certain amendment to the Registration Rights Agreement, dated December 17, 2021, a copy of which is filed as an exhibit to this Report.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Registration Rights Agreement Amendment No. 2</w:t>
      </w:r>
      <w:r>
        <w:rPr>
          <w:rFonts w:ascii="Times New Roman" w:cs="Times New Roman" w:eastAsia="Times New Roman" w:hAnsi="Times New Roman"/>
          <w:sz w:val="15"/>
          <w:szCs w:val="15"/>
          <w:color w:val="auto"/>
        </w:rPr>
        <w:t>” means that certain amendment to the Registration Rights Agreement, dated March 24, 2022, a copy of which is filed as an exhibit to this Report.</w:t>
      </w:r>
    </w:p>
    <w:p>
      <w:pPr>
        <w:spacing w:after="0" w:line="14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Registration Rights Agreement Amendment No. 3</w:t>
      </w:r>
      <w:r>
        <w:rPr>
          <w:rFonts w:ascii="Times New Roman" w:cs="Times New Roman" w:eastAsia="Times New Roman" w:hAnsi="Times New Roman"/>
          <w:sz w:val="15"/>
          <w:szCs w:val="15"/>
          <w:color w:val="auto"/>
        </w:rPr>
        <w:t>” means that certain amendment to the Registration Rights Agreement, dated April 26, 2023, a copy of which is filed as an exhibit to this Report.</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Related Agreements</w:t>
      </w:r>
      <w:r>
        <w:rPr>
          <w:rFonts w:ascii="Times New Roman" w:cs="Times New Roman" w:eastAsia="Times New Roman" w:hAnsi="Times New Roman"/>
          <w:sz w:val="15"/>
          <w:szCs w:val="15"/>
          <w:color w:val="auto"/>
        </w:rPr>
        <w:t>” means the Registration Rights Agreement, the Subscription Agreements, the Volvo Cars Preference Subscription Agreement, the Class C Warrant Amendment, the Shareholder Acknowledgement Agreement and the other agreements or documents contemplated under the Business Combination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Resale Securities</w:t>
      </w:r>
      <w:r>
        <w:rPr>
          <w:rFonts w:ascii="Times New Roman" w:cs="Times New Roman" w:eastAsia="Times New Roman" w:hAnsi="Times New Roman"/>
          <w:sz w:val="15"/>
          <w:szCs w:val="15"/>
          <w:color w:val="auto"/>
        </w:rPr>
        <w:t>” means the Class A ADSs and Class C ADSs being offered for resale in the prospectus that forms a part of the Shelf Registration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Sarbanes-Oxley Act</w:t>
      </w:r>
      <w:r>
        <w:rPr>
          <w:rFonts w:ascii="Times New Roman" w:cs="Times New Roman" w:eastAsia="Times New Roman" w:hAnsi="Times New Roman"/>
          <w:sz w:val="15"/>
          <w:szCs w:val="15"/>
          <w:color w:val="auto"/>
        </w:rPr>
        <w:t>” means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w:t>
      </w:r>
      <w:r>
        <w:rPr>
          <w:rFonts w:ascii="Times New Roman" w:cs="Times New Roman" w:eastAsia="Times New Roman" w:hAnsi="Times New Roman"/>
          <w:sz w:val="15"/>
          <w:szCs w:val="15"/>
          <w:color w:val="auto"/>
        </w:rPr>
        <w:t>” means the U.S. Securities and Exchange Commission.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means the U.S. Securities Act of 1933, as amended, and the rules and regulations promulgated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Selling Securityholders</w:t>
      </w:r>
      <w:r>
        <w:rPr>
          <w:rFonts w:ascii="Times New Roman" w:cs="Times New Roman" w:eastAsia="Times New Roman" w:hAnsi="Times New Roman"/>
          <w:sz w:val="15"/>
          <w:szCs w:val="15"/>
          <w:color w:val="auto"/>
        </w:rPr>
        <w:t>” means the securityholders named as selling securityholders in the prospectus that forms a part of the Shelf Registration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Share Matching Plan</w:t>
      </w:r>
      <w:r>
        <w:rPr>
          <w:rFonts w:ascii="Times New Roman" w:cs="Times New Roman" w:eastAsia="Times New Roman" w:hAnsi="Times New Roman"/>
          <w:sz w:val="15"/>
          <w:szCs w:val="15"/>
          <w:color w:val="auto"/>
        </w:rPr>
        <w:t>” means the Polestar Automotive Holding UK PLC 2023 Share Matching Plan.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Shareholder Acknowledgement Agreement</w:t>
      </w:r>
      <w:r>
        <w:rPr>
          <w:rFonts w:ascii="Times New Roman" w:cs="Times New Roman" w:eastAsia="Times New Roman" w:hAnsi="Times New Roman"/>
          <w:sz w:val="15"/>
          <w:szCs w:val="15"/>
          <w:color w:val="auto"/>
        </w:rPr>
        <w:t>” means the shareholder acknowledgement, dated September 27, 2021, by and among Former Parent, the Former Parent Shareholders, Volvo Car Corporation and the Company, as amended by the Shareholder Acknowledgement Agreement Amendment, a copy of which is filed as an exhibit to this Report.</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Shareholder Acknowledgement Agreement Amendment</w:t>
      </w:r>
      <w:r>
        <w:rPr>
          <w:rFonts w:ascii="Times New Roman" w:cs="Times New Roman" w:eastAsia="Times New Roman" w:hAnsi="Times New Roman"/>
          <w:sz w:val="15"/>
          <w:szCs w:val="15"/>
          <w:color w:val="auto"/>
        </w:rPr>
        <w:t>” means that certain amendment to the Shareholder Acknowledgement Agreement, dated March 24, 2022, a copy of which is filed as an exhibit to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Shares</w:t>
      </w:r>
      <w:r>
        <w:rPr>
          <w:rFonts w:ascii="Times New Roman" w:cs="Times New Roman" w:eastAsia="Times New Roman" w:hAnsi="Times New Roman"/>
          <w:sz w:val="15"/>
          <w:szCs w:val="15"/>
          <w:color w:val="auto"/>
        </w:rPr>
        <w:t>” means the Class A Shares and the Class B Shares.</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Shelf Registration Statement</w:t>
      </w:r>
      <w:r>
        <w:rPr>
          <w:rFonts w:ascii="Times New Roman" w:cs="Times New Roman" w:eastAsia="Times New Roman" w:hAnsi="Times New Roman"/>
          <w:sz w:val="15"/>
          <w:szCs w:val="15"/>
          <w:color w:val="auto"/>
        </w:rPr>
        <w:t>” means the Registration Statement on Form F-3 that the Company initially filed on Form F-1 on July 12, 2022, and subsequently updated and supplemented with Post-Effective Amendments No. 1 and No. 2 filed with the SEC on September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 2022 and April 21, 2023, respectively, and later converted to a Form F-3 with Post-Effective Amendment No. 3 filed with the SEC on July 11,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Snita</w:t>
      </w:r>
      <w:r>
        <w:rPr>
          <w:rFonts w:ascii="Times New Roman" w:cs="Times New Roman" w:eastAsia="Times New Roman" w:hAnsi="Times New Roman"/>
          <w:sz w:val="15"/>
          <w:szCs w:val="15"/>
          <w:color w:val="auto"/>
        </w:rPr>
        <w:t>” means Snita Holding B.V., a corporation organized under the laws of the Netherlands and a wholly owned subsidiary of Volvo Car Corporation.</w:t>
      </w:r>
    </w:p>
    <w:p>
      <w:pPr>
        <w:spacing w:after="0" w:line="18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Snita Term Loan Facility</w:t>
      </w:r>
      <w:r>
        <w:rPr>
          <w:rFonts w:ascii="Times New Roman" w:cs="Times New Roman" w:eastAsia="Times New Roman" w:hAnsi="Times New Roman"/>
          <w:sz w:val="15"/>
          <w:szCs w:val="15"/>
          <w:color w:val="auto"/>
        </w:rPr>
        <w:t>” means the Term Loan Facility, dated November 3, 2022, between the Company, as borrower, and Snita, as lender, as amended by the parties on November 8, 2023.</w:t>
      </w:r>
    </w:p>
    <w:p>
      <w:pPr>
        <w:spacing w:after="0" w:line="11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SPAC Warrant Agreement</w:t>
      </w:r>
      <w:r>
        <w:rPr>
          <w:rFonts w:ascii="Times New Roman" w:cs="Times New Roman" w:eastAsia="Times New Roman" w:hAnsi="Times New Roman"/>
          <w:sz w:val="15"/>
          <w:szCs w:val="15"/>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w:t>
      </w:r>
    </w:p>
    <w:p>
      <w:pPr>
        <w:spacing w:after="0"/>
        <w:rPr>
          <w:sz w:val="20"/>
          <w:szCs w:val="20"/>
          <w:color w:val="auto"/>
        </w:rPr>
      </w:pPr>
      <w:r>
        <w:rPr>
          <w:rFonts w:ascii="Times New Roman" w:cs="Times New Roman" w:eastAsia="Times New Roman" w:hAnsi="Times New Roman"/>
          <w:sz w:val="15"/>
          <w:szCs w:val="15"/>
          <w:color w:val="auto"/>
        </w:rPr>
        <w:t>exhibit to this Report.</w:t>
      </w:r>
    </w:p>
    <w:p>
      <w:pPr>
        <w:spacing w:after="0" w:line="14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SPAC Warrant Agreement Amendment</w:t>
      </w:r>
      <w:r>
        <w:rPr>
          <w:rFonts w:ascii="Times New Roman" w:cs="Times New Roman" w:eastAsia="Times New Roman" w:hAnsi="Times New Roman"/>
          <w:sz w:val="15"/>
          <w:szCs w:val="15"/>
          <w:color w:val="auto"/>
        </w:rPr>
        <w:t>” means that certain Amendment to the SPAC Warrant Agreement, by and between GGI and Computershare Trust Company, N.A., as warrant agent, dated as of April 7, 2022, a copy of which is filed as an exhibit to this Report.</w:t>
      </w:r>
    </w:p>
    <w:p>
      <w:pPr>
        <w:spacing w:after="0" w:line="15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Sponsor Subscription Agreement</w:t>
      </w:r>
      <w:r>
        <w:rPr>
          <w:rFonts w:ascii="Times New Roman" w:cs="Times New Roman" w:eastAsia="Times New Roman" w:hAnsi="Times New Roman"/>
          <w:sz w:val="15"/>
          <w:szCs w:val="15"/>
          <w:color w:val="auto"/>
        </w:rPr>
        <w:t>” means the subscription agreement, dated September 27, 2021, as amended and restated on December 17, 2021 and amended on March 24, 2022, by and among GGI, the Company and the GGI Sponsor.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Sponsor Subscription Investment</w:t>
      </w:r>
      <w:r>
        <w:rPr>
          <w:rFonts w:ascii="Times New Roman" w:cs="Times New Roman" w:eastAsia="Times New Roman" w:hAnsi="Times New Roman"/>
          <w:sz w:val="15"/>
          <w:szCs w:val="15"/>
          <w:color w:val="auto"/>
        </w:rPr>
        <w:t>” means the purchase of the Sponsor Subscription Shares pursuant to the Sponsor Subscription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Sponsor Subscription Shares</w:t>
      </w:r>
      <w:r>
        <w:rPr>
          <w:rFonts w:ascii="Times New Roman" w:cs="Times New Roman" w:eastAsia="Times New Roman" w:hAnsi="Times New Roman"/>
          <w:sz w:val="15"/>
          <w:szCs w:val="15"/>
          <w:color w:val="auto"/>
        </w:rPr>
        <w:t>” means the Class A Shares in the form of Class A ADSs purchased by the GGI Sponsor in the Sponsor Subscription Investment.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Subscription Agreements</w:t>
      </w:r>
      <w:r>
        <w:rPr>
          <w:rFonts w:ascii="Times New Roman" w:cs="Times New Roman" w:eastAsia="Times New Roman" w:hAnsi="Times New Roman"/>
          <w:sz w:val="15"/>
          <w:szCs w:val="15"/>
          <w:color w:val="auto"/>
        </w:rPr>
        <w:t>” means the PIPE Subscription Agreements, the Sponsor Subscription Agreement and the Volvo Cars PIPE Subscription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Subscription Investments</w:t>
      </w:r>
      <w:r>
        <w:rPr>
          <w:rFonts w:ascii="Times New Roman" w:cs="Times New Roman" w:eastAsia="Times New Roman" w:hAnsi="Times New Roman"/>
          <w:sz w:val="15"/>
          <w:szCs w:val="15"/>
          <w:color w:val="auto"/>
        </w:rPr>
        <w:t>” means the purchase of the Subscription Shares pursuant to the Subscription Agreements.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Subscription Shares</w:t>
      </w:r>
      <w:r>
        <w:rPr>
          <w:rFonts w:ascii="Times New Roman" w:cs="Times New Roman" w:eastAsia="Times New Roman" w:hAnsi="Times New Roman"/>
          <w:sz w:val="15"/>
          <w:szCs w:val="15"/>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Gores Group</w:t>
      </w:r>
      <w:r>
        <w:rPr>
          <w:rFonts w:ascii="Times New Roman" w:cs="Times New Roman" w:eastAsia="Times New Roman" w:hAnsi="Times New Roman"/>
          <w:sz w:val="15"/>
          <w:szCs w:val="15"/>
          <w:color w:val="auto"/>
        </w:rPr>
        <w:t>” means The Gores Group, LLC, an affiliate of the GGI Sponsor.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TUSD</w:t>
      </w:r>
      <w:r>
        <w:rPr>
          <w:rFonts w:ascii="Times New Roman" w:cs="Times New Roman" w:eastAsia="Times New Roman" w:hAnsi="Times New Roman"/>
          <w:sz w:val="15"/>
          <w:szCs w:val="15"/>
          <w:color w:val="auto"/>
        </w:rPr>
        <w:t>” means thousands of U.S. Dollars.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U.S. Dollars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USD</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means United States dollars, the legal currency of the 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U.S. GAAP</w:t>
      </w:r>
      <w:r>
        <w:rPr>
          <w:rFonts w:ascii="Times New Roman" w:cs="Times New Roman" w:eastAsia="Times New Roman" w:hAnsi="Times New Roman"/>
          <w:sz w:val="15"/>
          <w:szCs w:val="15"/>
          <w:color w:val="auto"/>
        </w:rPr>
        <w:t>” means generally accepted accounting principles in the United States.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United Kingdom</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UK</w:t>
      </w:r>
      <w:r>
        <w:rPr>
          <w:rFonts w:ascii="Times New Roman" w:cs="Times New Roman" w:eastAsia="Times New Roman" w:hAnsi="Times New Roman"/>
          <w:sz w:val="15"/>
          <w:szCs w:val="15"/>
          <w:color w:val="auto"/>
        </w:rPr>
        <w:t>” means the United Kingdom of Great Britain and Northern Ireland and its territories and possessions.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United States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US</w:t>
      </w:r>
      <w:r>
        <w:rPr>
          <w:rFonts w:ascii="Times New Roman" w:cs="Times New Roman" w:eastAsia="Times New Roman" w:hAnsi="Times New Roman"/>
          <w:sz w:val="15"/>
          <w:szCs w:val="15"/>
          <w:color w:val="auto"/>
        </w:rPr>
        <w:t>” means the United States of America and its territories and possessions.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w:t>
      </w:r>
      <w:r>
        <w:rPr>
          <w:rFonts w:ascii="Times New Roman" w:cs="Times New Roman" w:eastAsia="Times New Roman" w:hAnsi="Times New Roman"/>
          <w:sz w:val="15"/>
          <w:szCs w:val="15"/>
          <w:color w:val="auto"/>
        </w:rPr>
        <w:t>” means Volvo Car AB (publ) and its subsidiaries.</w:t>
      </w:r>
    </w:p>
    <w:p>
      <w:pPr>
        <w:spacing w:after="0" w:line="17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 PIPE Subscription Agreement</w:t>
      </w:r>
      <w:r>
        <w:rPr>
          <w:rFonts w:ascii="Times New Roman" w:cs="Times New Roman" w:eastAsia="Times New Roman" w:hAnsi="Times New Roman"/>
          <w:sz w:val="15"/>
          <w:szCs w:val="15"/>
          <w:color w:val="auto"/>
        </w:rPr>
        <w:t>” 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 PIPE Subscription Investment</w:t>
      </w:r>
      <w:r>
        <w:rPr>
          <w:rFonts w:ascii="Times New Roman" w:cs="Times New Roman" w:eastAsia="Times New Roman" w:hAnsi="Times New Roman"/>
          <w:sz w:val="15"/>
          <w:szCs w:val="15"/>
          <w:color w:val="auto"/>
        </w:rPr>
        <w:t>” means the purchase of Volvo Cars PIPE Subscription Shares pursuant to the Volvo Cars PIPE Subscription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 PIPE Subscription Shares</w:t>
      </w:r>
      <w:r>
        <w:rPr>
          <w:rFonts w:ascii="Times New Roman" w:cs="Times New Roman" w:eastAsia="Times New Roman" w:hAnsi="Times New Roman"/>
          <w:sz w:val="15"/>
          <w:szCs w:val="15"/>
          <w:color w:val="auto"/>
        </w:rPr>
        <w:t>” means the Class A Shares in the form of Class A ADSs purchased by Snita in the Volvo Cars PIPE Subscription Investment.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 Preference Subscription Agreement</w:t>
      </w:r>
      <w:r>
        <w:rPr>
          <w:rFonts w:ascii="Times New Roman" w:cs="Times New Roman" w:eastAsia="Times New Roman" w:hAnsi="Times New Roman"/>
          <w:sz w:val="15"/>
          <w:szCs w:val="15"/>
          <w:color w:val="auto"/>
        </w:rPr>
        <w:t>” means the subscription agreement, dated September 27, 2021, by and between the Company and Snita as amended on March 24,</w:t>
      </w:r>
    </w:p>
    <w:p>
      <w:pPr>
        <w:spacing w:after="0" w:line="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2022, pursuant to which Snita purchased, at Business Combination Closing, mandatory convertible preference shares of the Company for an aggregate subscription price of $10.00 per share, for an aggregate investment amount equal to TUSD588,826.</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 Preference Subscription Investment</w:t>
      </w:r>
      <w:r>
        <w:rPr>
          <w:rFonts w:ascii="Times New Roman" w:cs="Times New Roman" w:eastAsia="Times New Roman" w:hAnsi="Times New Roman"/>
          <w:sz w:val="15"/>
          <w:szCs w:val="15"/>
          <w:color w:val="auto"/>
        </w:rPr>
        <w:t>” means the purchase of the Volvo Cars Preference Subscription Shares pursuant to the Volvo Cars Preference Subscription Agreement.</w:t>
      </w:r>
    </w:p>
    <w:p>
      <w:pPr>
        <w:spacing w:after="0" w:line="3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Volvo Cars Preference Subscription Shares</w:t>
      </w:r>
      <w:r>
        <w:rPr>
          <w:rFonts w:ascii="Times New Roman" w:cs="Times New Roman" w:eastAsia="Times New Roman" w:hAnsi="Times New Roman"/>
          <w:sz w:val="15"/>
          <w:szCs w:val="15"/>
          <w:color w:val="auto"/>
        </w:rPr>
        <w:t>” means the mandatory convertible preference shares of the Company purchased by Snita pursuant to the Volvo Cars Preference Subscription Agreement.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INFORMATION ON THE COMPANY</w:t>
      </w:r>
    </w:p>
    <w:p>
      <w:pPr>
        <w:spacing w:after="0" w:line="17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b w:val="1"/>
          <w:bCs w:val="1"/>
          <w:color w:val="auto"/>
        </w:rPr>
        <w:t>A.</w:t>
        <w:tab/>
        <w:t>History and Development of the Company</w:t>
      </w:r>
    </w:p>
    <w:p>
      <w:pPr>
        <w:spacing w:after="0" w:line="1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The legal name of the Company is “Polestar Automotive Holding UK PLC.” 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+1 551 284 9479.</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On September 27, 2021, GGI, Former Parent, Polestar Singapore, Polestar Sweden, the Company and Merger Sub entered into a Business Combination Agreement. The Business Combination was consummated on June 23, 2022. At the Business Combination Closing, the Company completed the Pre-Closing Reorganization, pursuant to which, among other things, Polestar Singapore, Polestar Sweden and their respective subsidiaries became wholly owned subsidiaries of the Company.</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Shares. In addition, the Company is</w:t>
      </w:r>
    </w:p>
    <w:p>
      <w:pPr>
        <w:jc w:val="both"/>
        <w:spacing w:after="0" w:line="224" w:lineRule="auto"/>
        <w:rPr>
          <w:sz w:val="20"/>
          <w:szCs w:val="20"/>
          <w:color w:val="auto"/>
        </w:rPr>
      </w:pPr>
      <w:r>
        <w:rPr>
          <w:rFonts w:ascii="Times New Roman" w:cs="Times New Roman" w:eastAsia="Times New Roman" w:hAnsi="Times New Roman"/>
          <w:sz w:val="15"/>
          <w:szCs w:val="15"/>
          <w:color w:val="auto"/>
        </w:rPr>
        <w:t>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spacing w:after="0" w:line="5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The website address of the Company is https://www.polestar.com/us/. The information contained on the website does not form a part of, and is not incorporated by reference into, this Report.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capital expenditures for the years ended December 31, 2023, 2022 and 2021 amounted to TUSD555,254, TUSD416,499 and TUSD503,308, respectively. These capital</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expenditures primarily consisted of purchases of unique tooling for production facilities, the development and purchase of certain intellectual property rights and tooling and equipment used at Polestar's research and development center in the United Kingdom at the Mira Technology Park in Coventry. Polestar expects its capital expenditures to increase in the near term as it continue to invest in the acquisition of intellectual property as well unique tooling and equipment. Polestar anticipates that its capital expenditures in 2024 will be</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financed from the issuance of equity or debt instruments, various short-term credit facilities, including working capital facilities, term loans with related parties, sale leaseback arrangements, and extended trade credit with related parties.</w:t>
      </w:r>
    </w:p>
    <w:p>
      <w:pPr>
        <w:spacing w:after="0" w:line="13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B.</w:t>
        <w:tab/>
        <w:t>Business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is determined to improve society by accelerating the shift to sustainable mobility.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is a pure play, premium electric performance car brand headquartered in Sweden, designing products engineered to excite consumers and drive change. Polestar believes that</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 capital-efficient, asset-light business model.</w:t>
      </w:r>
    </w:p>
    <w:p>
      <w:pPr>
        <w:spacing w:after="0" w:line="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Polestar 1, an electric performance hybrid GT, was launched to establish Polestar in the premium luxury electric vehicle market in 2017. With a carbon fiber body, Polestar 1 has a combined 609 horse-power (hp) and 1,000 Newton-meter (Nm) of torque. Production of the Polestar 1 ceased at the end of 2021, making Polestar a dedicated electric vehicle manufacturer. Polestar 2, an electric performance fastback and Polestar's first fully electric, high-volume car was launched in 2019. Polestar 2 has three variants with a combination of long- and standard range batteries as large as 78 kWh, and dual- and single-motor powertrains with up to 300 kW / 408 hp and 660 Nm of torque. Polestar 3, an electric performance SUV, was launched in 2022. Polestar 3 has two dual-motor 111 kWh battery variants with powertrains up to 380 kW / 510 hp and 671 Nm of torque. Polestar 4, a sporty SUV coupe, was launched in 2023. Polestar 4 has two variants with a long range battery of 100kWh, and dual and single-motor powertrains with up to 400 kW / 544 hp and 686 Nm of torque.</w:t>
      </w:r>
    </w:p>
    <w:p>
      <w:pPr>
        <w:spacing w:after="0" w:line="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4 has won the Production Car Design of the Year award for 2023.</w:t>
      </w:r>
    </w:p>
    <w:p>
      <w:pPr>
        <w:spacing w:after="0" w:line="57"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5"/>
          <w:szCs w:val="15"/>
          <w:color w:val="auto"/>
        </w:rPr>
        <w:t>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As of December 31, 2023, Polestar’s cars are on the road in 27 markets across Europe, North America and Asia Pacific. Polestar plans to have a line-up of four performance EVs by 2025. Following the launch of the Polestar 3, an electric performance SUV, in October 2022 where customers were able to begin placing orders, Polestar launched Polestar 4, a sporty SUV coupe in April 2023 in China only and started first customer deliveries in China in December 2023. Polestar 5, a luxury 4 door GT, is planned to start production in 2025. Polestar believes the premium luxury SUV vehicle segment is one of the fastest growing vehicle segments, and expects the electric-only vehicle portion of this segment to grow at a faster rate than the overall segment.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show Polestar's revenue by type and geographical region for the years ended December 31, 2023, 2022 and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4"/>
            <w:shd w:val="clear" w:color="auto" w:fill="DBDBDB"/>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Sales of vehicles</w:t>
            </w:r>
          </w:p>
        </w:tc>
        <w:tc>
          <w:tcPr>
            <w:tcW w:w="2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2,313,124</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2,386,685</w:t>
            </w:r>
          </w:p>
        </w:tc>
        <w:tc>
          <w:tcPr>
            <w:tcW w:w="48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1,298,918</w:t>
            </w:r>
          </w:p>
        </w:tc>
      </w:tr>
      <w:tr>
        <w:trPr>
          <w:trHeight w:val="197"/>
        </w:trPr>
        <w:tc>
          <w:tcPr>
            <w:tcW w:w="7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Sales of software and performance engineered kits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18,994</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21,308</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25,881</w:t>
            </w:r>
          </w:p>
        </w:tc>
      </w:tr>
      <w:tr>
        <w:trPr>
          <w:trHeight w:val="197"/>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Sales of carbon credits</w:t>
            </w:r>
          </w:p>
        </w:tc>
        <w:tc>
          <w:tcPr>
            <w:tcW w:w="2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1,452</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10,984</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6,299</w:t>
            </w:r>
          </w:p>
        </w:tc>
      </w:tr>
      <w:tr>
        <w:trPr>
          <w:trHeight w:val="197"/>
        </w:trPr>
        <w:tc>
          <w:tcPr>
            <w:tcW w:w="7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Vehicle leasing revenue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17,421</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16,719</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6,217</w:t>
            </w:r>
          </w:p>
        </w:tc>
      </w:tr>
      <w:tr>
        <w:trPr>
          <w:trHeight w:val="197"/>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Other revenue</w:t>
            </w:r>
          </w:p>
        </w:tc>
        <w:tc>
          <w:tcPr>
            <w:tcW w:w="2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17,094</w:t>
            </w:r>
          </w:p>
        </w:tc>
        <w:tc>
          <w:tcPr>
            <w:tcW w:w="3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5,122</w:t>
            </w:r>
          </w:p>
        </w:tc>
        <w:tc>
          <w:tcPr>
            <w:tcW w:w="48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6,310</w:t>
            </w:r>
          </w:p>
        </w:tc>
      </w:tr>
      <w:tr>
        <w:trPr>
          <w:trHeight w:val="188"/>
        </w:trPr>
        <w:tc>
          <w:tcPr>
            <w:tcW w:w="75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2,368,085</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2,440,818</w:t>
            </w:r>
          </w:p>
        </w:tc>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1,343,625</w:t>
            </w:r>
          </w:p>
        </w:tc>
      </w:tr>
      <w:tr>
        <w:trPr>
          <w:trHeight w:val="188"/>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75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4"/>
            <w:shd w:val="clear" w:color="auto" w:fill="DBDBDB"/>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Europe, the Middle East, and Africa</w:t>
            </w:r>
          </w:p>
        </w:tc>
        <w:tc>
          <w:tcPr>
            <w:tcW w:w="2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1,661,483</w:t>
            </w:r>
          </w:p>
        </w:tc>
        <w:tc>
          <w:tcPr>
            <w:tcW w:w="30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1,591,706</w:t>
            </w:r>
          </w:p>
        </w:tc>
        <w:tc>
          <w:tcPr>
            <w:tcW w:w="4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1,034,143</w:t>
            </w:r>
          </w:p>
        </w:tc>
      </w:tr>
      <w:tr>
        <w:trPr>
          <w:trHeight w:val="188"/>
        </w:trPr>
        <w:tc>
          <w:tcPr>
            <w:tcW w:w="7500" w:type="dxa"/>
            <w:vAlign w:val="bottom"/>
            <w:tcBorders>
              <w:bottom w:val="single" w:sz="8" w:color="DBDBDB"/>
            </w:tcBorders>
          </w:tcPr>
          <w:p>
            <w:pPr>
              <w:ind w:left="200"/>
              <w:spacing w:after="0"/>
              <w:rPr>
                <w:sz w:val="20"/>
                <w:szCs w:val="20"/>
                <w:color w:val="auto"/>
              </w:rPr>
            </w:pPr>
            <w:r>
              <w:rPr>
                <w:rFonts w:ascii="Times New Roman" w:cs="Times New Roman" w:eastAsia="Times New Roman" w:hAnsi="Times New Roman"/>
                <w:sz w:val="15"/>
                <w:szCs w:val="15"/>
                <w:color w:val="auto"/>
              </w:rPr>
              <w:t>North America</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517,289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599,931</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268,188</w:t>
            </w:r>
          </w:p>
        </w:tc>
      </w:tr>
      <w:tr>
        <w:trPr>
          <w:trHeight w:val="188"/>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Asia and Australia</w:t>
            </w:r>
          </w:p>
        </w:tc>
        <w:tc>
          <w:tcPr>
            <w:tcW w:w="2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189,313</w:t>
            </w:r>
          </w:p>
        </w:tc>
        <w:tc>
          <w:tcPr>
            <w:tcW w:w="30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249,181</w:t>
            </w:r>
          </w:p>
        </w:tc>
        <w:tc>
          <w:tcPr>
            <w:tcW w:w="4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41,294</w:t>
            </w:r>
          </w:p>
        </w:tc>
      </w:tr>
      <w:tr>
        <w:trPr>
          <w:trHeight w:val="188"/>
        </w:trPr>
        <w:tc>
          <w:tcPr>
            <w:tcW w:w="75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2,368,085</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2,440,818</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1,343,625</w:t>
            </w:r>
          </w:p>
        </w:tc>
      </w:tr>
    </w:tbl>
    <w:p>
      <w:pPr>
        <w:spacing w:after="0" w:line="13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has set itself the important goal to create a truly climate neutral car by the end of 2030, which it refers to as the Polestar 0 project. The development of a truly climate neutral production car by the end of 2030 is a significant milestone on the path to Polestar’s goal of becoming a climate neutral company by the end of 2040.</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Polestar 2 vehicles are currently manufactured at a plant in Taizhou, China that is owned and operated by Volvo Cars. The plant was acquired by Volvo Cars from Geely in December 2021. Prior to that time, the plant had been owned by Geely and operated by Volvo Cars. The Polestar 2 vehicles have been manufactured at this plant since production commenced in</w:t>
      </w:r>
    </w:p>
    <w:p>
      <w:pPr>
        <w:spacing w:after="0" w:line="1"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5"/>
          <w:szCs w:val="15"/>
          <w:color w:val="auto"/>
        </w:rPr>
        <w:t>2020. Commencing with the Polestar 3, Polestar intends to produce vehicles both in China at Volvo Cars’ Chengdu facility and in the United States at Volvo Cars’ facility in Charleston, South Carolina. Polestar 3 production in Chengdu commenced in February 2024. Polestar also expects to start producing Polestar 4 vehicles in Busan, South Korea, during the second half of 2025. An agreement has been reached between Polestar, Geely Holding and Renault Korea Motors (RKM), that will bring contract manufacturing of Polestar 4 vehicles for the North American and domestic South Korean markets to RKM’s Busan plant.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ability to leverage the manufacturing footprint of both Volvo Cars and Geely provides it with access to a substantial combined installed production capacity and gives</w:t>
      </w:r>
    </w:p>
    <w:p>
      <w:pPr>
        <w:spacing w:after="0" w:line="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Polestar’s highly scalable business model immediate operating leverage. Polestar also plans on expanding its production capacity in Europe by leveraging plants that are owned and operated by Volvo Cars.</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5"/>
          <w:szCs w:val="15"/>
          <w:color w:val="auto"/>
        </w:rPr>
        <w:t>Polestar’s sales channels include both direct-to-consumer and direct-to-business models. In direct-to-consumer, Polestar uses a digital first approach that enables its customers to browse Polestar’s products, configure their preferred vehicle and place their order online. In direct-to-business, vehicles are sold to various fleet customers, such as rental car companies and corporate fleet managers. In November 2023 Polestar announced a refocused approach to key markets including a new joint venture in China. Alternatively, Polestar Spaces are where customers can see, feel and test drive Polestar's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2023, there were 192 Polestar Spaces. In addition, Polestar leverages the Volvo Cars service center network to provide access to 1,150 customer service points worldwide (as of December 31, 2023) in support of its international operations.</w:t>
      </w:r>
    </w:p>
    <w:p>
      <w:pPr>
        <w:spacing w:after="0" w:line="6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Polestar’s research and development expertise is a core competence and Polestar believes it is a significant competitive advantage. With over 650 personnel located in Coventry, United Kingdom and Gothenburg, Sweden, the European research and development team focuses on areas such as bonded aluminum architectures, high-performance electric motor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and bi-directional compatible battery packs, in-car software development and advanced engineering and research. A further 30 employees in Shanghai, China are dedicated to the development of specific features for the Chinese market. The Polestar research and development team also benefits, through a variety of agreements, from having access to the substantial engineering and design teams of Volvo Cars and Geely. The strong expertise and ambition to develop and produce sustainable technology solutions and materials is also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key asset of Polestar’s research and development. All in all, Polestar’s ability to create cars with a strong Polestar product design is also widely recognized as a key differentiator.</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On January 9, 2024, Polestar announced that its strategic relationship with Google continues. The latest innovations for cars with Google built-in are rolling out for Polestar cars, including new features – sending a planned route from mobile device to car and In-car browsing with Google Chrome that are available in Polestar 2.</w:t>
      </w:r>
    </w:p>
    <w:p>
      <w:pPr>
        <w:spacing w:after="0" w:line="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January 11, 2024, Polestar announced global deliveries for the fourth quarter of 2023. Polestar delivered approximately 12,800 cars in the fourth quarter, including 880 Polestar 4 in China, taking its global deliveries for the year to approximately 54,600 cars, a growth of 6% compared to 2022.</w:t>
      </w:r>
    </w:p>
    <w:p>
      <w:pPr>
        <w:spacing w:after="0" w:line="7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5"/>
          <w:szCs w:val="15"/>
          <w:color w:val="auto"/>
        </w:rPr>
        <w:t>On January 11, 2024, Polestar also announced Board and management appointments. Winfried Vahland was appointed to the Board as a director. Per Ansgar was appointed Chief Financial Officer (CFO), and assumed responsibilities from Johan Malmqvist. Kristian Elvefors was appointed Global Head of Sales and assumed responsibilities from Mike Whittington. All three appointments were effective from January 15, 2024.</w:t>
      </w:r>
    </w:p>
    <w:p>
      <w:pPr>
        <w:spacing w:after="0" w:line="1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On January 31, 2024, Polestar announced that following Polestar 4 start of production and first deliveries in China at the end of 2023, online sales commenced in Europe and Australia.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23, 2024, Volvo Cars announced a proposed distribution of 62.7% of its Polestar shareholding to its shareholders.</w:t>
      </w:r>
    </w:p>
    <w:p>
      <w:pPr>
        <w:spacing w:after="0" w:line="9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On February 27, 2024, Polestar announced that production of Polestar 3 has started in Chengdu, China, with additional production expected to commence in South Carolina, USA, in summer 2024. The announcement also stated that production of an early test series in the American factory has been completed successfully.</w:t>
      </w:r>
    </w:p>
    <w:p>
      <w:pPr>
        <w:spacing w:after="0" w:line="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February 28, 2024, Polestar announced that it has secured USD 950 million in external debt funding provided by 12 international banks including BNP Paribas, Natixis, Standard Chartered, BBVA, HSBC and SPDB, in the form of a three-year loan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April 11, 2024, Polestar announced that it had delivered approximately 7,200 cars for the first quarter of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July 2, 2024, Polestar announced that it had delivered approximately 13,000 cars for the second quarter of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July 5, 2024, Polestar announced the first deliveries of Polestar 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Polestar’s Strategy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global car industry is undergoing a fundamental transformation and Polestar believes it is optimally positioned at the forefront of this change, with a strong and established market presence and a rapidly expanding model portfolio, including two SUVs which target one of the fastest growing in the global car market. Industry growth is driven by increasing consumer awareness of environmental impact, technological improvement and shifting consumer preference. Increasingly rigorous environmental regulation and expanded charging infrastructure will also drive adoption of electric vehicles.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intends to implement the following strategy to deliver on its business plan:</w:t>
      </w:r>
    </w:p>
    <w:p>
      <w:pPr>
        <w:spacing w:after="0" w:line="90" w:lineRule="exact"/>
        <w:rPr>
          <w:sz w:val="20"/>
          <w:szCs w:val="20"/>
          <w:color w:val="auto"/>
        </w:rPr>
      </w:pPr>
    </w:p>
    <w:p>
      <w:pPr>
        <w:ind w:left="84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 xml:space="preserve">Richer product mix. </w:t>
      </w:r>
      <w:r>
        <w:rPr>
          <w:rFonts w:ascii="Times New Roman" w:cs="Times New Roman" w:eastAsia="Times New Roman" w:hAnsi="Times New Roman"/>
          <w:sz w:val="15"/>
          <w:szCs w:val="15"/>
          <w:color w:val="auto"/>
        </w:rPr>
        <w:t>Polestar's model line-up is expected to grow from 1 to 4 models by 2025, including higher-margin cars such as Polestar 3, Polestar 4 and Polestar 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are expected to be main drivers of accelerated margin progression.</w:t>
      </w:r>
    </w:p>
    <w:p>
      <w:pPr>
        <w:spacing w:after="0" w:line="32" w:lineRule="exact"/>
        <w:rPr>
          <w:rFonts w:ascii="Arial" w:cs="Arial" w:eastAsia="Arial" w:hAnsi="Arial"/>
          <w:sz w:val="15"/>
          <w:szCs w:val="15"/>
          <w:color w:val="auto"/>
        </w:rPr>
      </w:pPr>
    </w:p>
    <w:p>
      <w:pPr>
        <w:ind w:left="840" w:right="2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Increased build options and packs</w:t>
      </w:r>
      <w:r>
        <w:rPr>
          <w:rFonts w:ascii="Times New Roman" w:cs="Times New Roman" w:eastAsia="Times New Roman" w:hAnsi="Times New Roman"/>
          <w:sz w:val="15"/>
          <w:szCs w:val="15"/>
          <w:color w:val="auto"/>
        </w:rPr>
        <w:t>. Polestar expects to monetize its rapidly growing luxury model line-up, by offering customers more flexibility and much greater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customization options.</w:t>
      </w:r>
    </w:p>
    <w:p>
      <w:pPr>
        <w:spacing w:after="0" w:line="32" w:lineRule="exact"/>
        <w:rPr>
          <w:rFonts w:ascii="Arial" w:cs="Arial" w:eastAsia="Arial" w:hAnsi="Arial"/>
          <w:sz w:val="15"/>
          <w:szCs w:val="15"/>
          <w:color w:val="auto"/>
        </w:rPr>
      </w:pPr>
    </w:p>
    <w:p>
      <w:pPr>
        <w:ind w:left="84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More focused approach to market presence</w:t>
      </w:r>
      <w:r>
        <w:rPr>
          <w:rFonts w:ascii="Times New Roman" w:cs="Times New Roman" w:eastAsia="Times New Roman" w:hAnsi="Times New Roman"/>
          <w:sz w:val="15"/>
          <w:szCs w:val="15"/>
          <w:color w:val="auto"/>
        </w:rPr>
        <w:t>. In Europe, Polestar intends to focus sales efforts and investments into markets that have the greatest potential for profitable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growth. In China, Polestar’s innovative JV model is expected to lead to higher sales and technological advances.</w:t>
      </w:r>
    </w:p>
    <w:p>
      <w:pPr>
        <w:spacing w:after="0" w:line="20" w:lineRule="exact"/>
        <w:rPr>
          <w:rFonts w:ascii="Arial" w:cs="Arial" w:eastAsia="Arial" w:hAnsi="Arial"/>
          <w:sz w:val="15"/>
          <w:szCs w:val="15"/>
          <w:color w:val="auto"/>
        </w:rPr>
      </w:pPr>
    </w:p>
    <w:p>
      <w:pPr>
        <w:ind w:left="840" w:right="2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Improved profitability of the US business</w:t>
      </w:r>
      <w:r>
        <w:rPr>
          <w:rFonts w:ascii="Times New Roman" w:cs="Times New Roman" w:eastAsia="Times New Roman" w:hAnsi="Times New Roman"/>
          <w:sz w:val="15"/>
          <w:szCs w:val="15"/>
          <w:color w:val="auto"/>
        </w:rPr>
        <w:t>. By diversifying its manufacturing footprint into the US and adding another production location outside China in Busan, South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Korea, a portion of cars produced for the US market are expected to attract lower or no US tariffs. Polestar also plans to optimize its US marketing and dealer network.</w:t>
      </w:r>
    </w:p>
    <w:p>
      <w:pPr>
        <w:spacing w:after="0" w:line="32" w:lineRule="exact"/>
        <w:rPr>
          <w:rFonts w:ascii="Arial" w:cs="Arial" w:eastAsia="Arial" w:hAnsi="Arial"/>
          <w:sz w:val="15"/>
          <w:szCs w:val="15"/>
          <w:color w:val="auto"/>
        </w:rPr>
      </w:pPr>
    </w:p>
    <w:p>
      <w:pPr>
        <w:ind w:left="84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Further product cost reduction opportunities</w:t>
      </w:r>
      <w:r>
        <w:rPr>
          <w:rFonts w:ascii="Times New Roman" w:cs="Times New Roman" w:eastAsia="Times New Roman" w:hAnsi="Times New Roman"/>
          <w:sz w:val="15"/>
          <w:szCs w:val="15"/>
          <w:color w:val="auto"/>
        </w:rPr>
        <w:t>. By working closely with current manufacturing partners, Polestar expects to drive production costs down, while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maintaining the high quality of its products.</w:t>
      </w:r>
    </w:p>
    <w:p>
      <w:pPr>
        <w:spacing w:after="0" w:line="32" w:lineRule="exact"/>
        <w:rPr>
          <w:rFonts w:ascii="Arial" w:cs="Arial" w:eastAsia="Arial" w:hAnsi="Arial"/>
          <w:sz w:val="15"/>
          <w:szCs w:val="15"/>
          <w:color w:val="auto"/>
        </w:rPr>
      </w:pPr>
    </w:p>
    <w:p>
      <w:pPr>
        <w:ind w:left="840" w:right="2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Previously announced headcount reductions</w:t>
      </w:r>
      <w:r>
        <w:rPr>
          <w:rFonts w:ascii="Times New Roman" w:cs="Times New Roman" w:eastAsia="Times New Roman" w:hAnsi="Times New Roman"/>
          <w:sz w:val="15"/>
          <w:szCs w:val="15"/>
          <w:color w:val="auto"/>
        </w:rPr>
        <w:t>. During 2023 a reduction in Polestar's workforce of approximately 300 personnel was made, with a hiring freeze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eliminated approximately 500 additional planned roles.</w:t>
      </w:r>
    </w:p>
    <w:p>
      <w:pPr>
        <w:spacing w:after="0" w:line="32" w:lineRule="exact"/>
        <w:rPr>
          <w:rFonts w:ascii="Arial" w:cs="Arial" w:eastAsia="Arial" w:hAnsi="Arial"/>
          <w:sz w:val="15"/>
          <w:szCs w:val="15"/>
          <w:color w:val="auto"/>
        </w:rPr>
      </w:pPr>
    </w:p>
    <w:p>
      <w:pPr>
        <w:ind w:left="840" w:right="20" w:hanging="281"/>
        <w:spacing w:after="0" w:line="283" w:lineRule="auto"/>
        <w:tabs>
          <w:tab w:leader="none" w:pos="836"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Resized and optimized advertising, selling &amp; promotion spend</w:t>
      </w:r>
      <w:r>
        <w:rPr>
          <w:rFonts w:ascii="Times New Roman" w:cs="Times New Roman" w:eastAsia="Times New Roman" w:hAnsi="Times New Roman"/>
          <w:sz w:val="15"/>
          <w:szCs w:val="15"/>
          <w:color w:val="auto"/>
        </w:rPr>
        <w:t>. Polestar intends to improve marketing efficiency by re-focusing its marketing budget as well as making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improvements in its mix of sales channels.</w:t>
      </w:r>
    </w:p>
    <w:p>
      <w:pPr>
        <w:spacing w:after="0" w:line="32" w:lineRule="exact"/>
        <w:rPr>
          <w:rFonts w:ascii="Arial" w:cs="Arial" w:eastAsia="Arial" w:hAnsi="Arial"/>
          <w:sz w:val="15"/>
          <w:szCs w:val="15"/>
          <w:color w:val="auto"/>
        </w:rPr>
      </w:pPr>
    </w:p>
    <w:p>
      <w:pPr>
        <w:ind w:left="840" w:hanging="281"/>
        <w:spacing w:after="0"/>
        <w:tabs>
          <w:tab w:leader="none" w:pos="840"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 xml:space="preserve">Commercial digital efficiency. </w:t>
      </w:r>
      <w:r>
        <w:rPr>
          <w:rFonts w:ascii="Times New Roman" w:cs="Times New Roman" w:eastAsia="Times New Roman" w:hAnsi="Times New Roman"/>
          <w:sz w:val="15"/>
          <w:szCs w:val="15"/>
          <w:color w:val="auto"/>
        </w:rPr>
        <w:t>Polestar intends to increase investment in digital tools and solutions to increase effectiveness of its customer engagement.</w:t>
      </w:r>
    </w:p>
    <w:p>
      <w:pPr>
        <w:spacing w:after="0" w:line="93" w:lineRule="exact"/>
        <w:rPr>
          <w:rFonts w:ascii="Arial" w:cs="Arial" w:eastAsia="Arial" w:hAnsi="Arial"/>
          <w:sz w:val="15"/>
          <w:szCs w:val="15"/>
          <w:color w:val="auto"/>
        </w:rPr>
      </w:pPr>
    </w:p>
    <w:p>
      <w:pPr>
        <w:ind w:left="840" w:hanging="281"/>
        <w:spacing w:after="0"/>
        <w:tabs>
          <w:tab w:leader="none" w:pos="840"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 xml:space="preserve">R&amp;D efficiency. </w:t>
      </w:r>
      <w:r>
        <w:rPr>
          <w:rFonts w:ascii="Times New Roman" w:cs="Times New Roman" w:eastAsia="Times New Roman" w:hAnsi="Times New Roman"/>
          <w:sz w:val="15"/>
          <w:szCs w:val="15"/>
          <w:color w:val="auto"/>
        </w:rPr>
        <w:t>Polestar is reviewing its research and development activities to ensure they operate efficiently and prioritize cost-effective product development.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840" w:hanging="281"/>
        <w:spacing w:after="0" w:line="283" w:lineRule="auto"/>
        <w:tabs>
          <w:tab w:leader="none" w:pos="836" w:val="left"/>
        </w:tabs>
        <w:numPr>
          <w:ilvl w:val="0"/>
          <w:numId w:val="13"/>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 xml:space="preserve">Capital management. </w:t>
      </w:r>
      <w:r>
        <w:rPr>
          <w:rFonts w:ascii="Times New Roman" w:cs="Times New Roman" w:eastAsia="Times New Roman" w:hAnsi="Times New Roman"/>
          <w:sz w:val="15"/>
          <w:szCs w:val="15"/>
          <w:color w:val="auto"/>
        </w:rPr>
        <w:t>Polestar intends to continue a disciplined approach to capital expenditure, for example from working capital optimization through its China JV</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pursuing more localized manufacturing.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Polestar’s Strengths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believes it benefits from a number of competitive advantages: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Distinct Pure, Progressive, Performance brand values with leading design, innovation and sustainability core pillars</w:t>
      </w:r>
      <w:r>
        <w:rPr>
          <w:rFonts w:ascii="Times New Roman" w:cs="Times New Roman" w:eastAsia="Times New Roman" w:hAnsi="Times New Roman"/>
          <w:sz w:val="15"/>
          <w:szCs w:val="15"/>
          <w:color w:val="auto"/>
        </w:rPr>
        <w:t>.</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Polestar believes that its emphasis on distinct Scandinavian avant-garde design with high-tech minimalism, proprietary technology and innovative partnerships and environmentally sustainable products engages and attracts customers who share its ethos and design aesthetic. Polestar’s brand, with its iconic attributes of Pure, Progressive, Performance is reflected in its products which have received multiple global awards since the launch of the Polestar 1 in 2017. Polestar also believes its proprietary electric vehicle technology provides it with a substantial competitive 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alongside smart partnerships with leading providers of autonomous driving and infotainment technologies. Sustainability remains a core principle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opportunities to make them more sustainable. Polestar transparently shares this information with its customers so they can make an informed buying decision and can track Polestar’s progress.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Rapidly expanding exclusive vehicle portfolio, targeting fastest growing, high margin segments.</w:t>
      </w:r>
    </w:p>
    <w:p>
      <w:pPr>
        <w:spacing w:after="0" w:line="9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Polestar expects significant growth in the premium luxury electric vehicle segment and believes its ability to leverage a global manufacturing footprint and expanding product portfolio, coupled with a scalable and asset-light business model means it is well positioned to capitalize on this growing market.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Polestar is one of two pure play global premium electric vehicle companies already in mass production</w:t>
      </w:r>
      <w:r>
        <w:rPr>
          <w:rFonts w:ascii="Times New Roman" w:cs="Times New Roman" w:eastAsia="Times New Roman" w:hAnsi="Times New Roman"/>
          <w:sz w:val="15"/>
          <w:szCs w:val="15"/>
          <w:color w:val="auto"/>
        </w:rPr>
        <w:t>.</w:t>
      </w:r>
    </w:p>
    <w:p>
      <w:pPr>
        <w:spacing w:after="0" w:line="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Currently, Polestar and Tesla are the 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 With 160,000 Polestar 2 sold across 27 global markets since start of production in 2019, Polestar believes it has established a global reach. In 2024, Polestar will benefit from global production and global distribution of two of its new SUVs, Polestar 4 and Polestar 3, which both started production in November 2023 and February 2024, respectively. Adding to this line up, Polestar expects to start the production of Polestar 5 in 2025 – becoming a four car company.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efficient, asset-light business model, with access to established global state-of-the-art manufacturing facilities.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Polestar has a scalable, asset-light business model that leverages the experience and manufacturing resources of Volvo Cars and Geely. Polestar has access to their technology, manufacturing facilities, logistical infrastructure and information technology systems. Polestar believes this access provides the flexibility to scale production more quickly with demand, using an already operational ecosystem, and has enabled Polestar to rapidly launch its brand globally. Polestar believes this asset-light model requires significantly less capital to produce vehicles and revenue compared to traditional manufacturers or other electric vehicle companies. Two examples of this strategy being implemented are the planned establishment of manufacturing in the USA and South Korea. Polestar 3 production in Chengdu China, is expected to be complemented with production in South Carolina, USA, during summer 2024. Polestar 4 production, which has already started in Hangzhou Bay, China, is expected to be complemented by production in Busan, South Korea, through Geely’s joint venture Renault Korea Manufacturing ("RKM").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Bespoke regional market strategy, including a unique partnership approach in China.</w:t>
      </w:r>
    </w:p>
    <w:p>
      <w:pPr>
        <w:spacing w:after="0" w:line="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Polestar’s sales and distribution model is focused on a direct customer experience, reducing multiple traditional inefficiencies coupled with a differentiated distribution. Using the Polestar mobile application (the “</w:t>
      </w:r>
      <w:r>
        <w:rPr>
          <w:rFonts w:ascii="Times New Roman" w:cs="Times New Roman" w:eastAsia="Times New Roman" w:hAnsi="Times New Roman"/>
          <w:sz w:val="15"/>
          <w:szCs w:val="15"/>
          <w:i w:val="1"/>
          <w:iCs w:val="1"/>
          <w:color w:val="auto"/>
        </w:rPr>
        <w:t>Polestar App</w:t>
      </w:r>
      <w:r>
        <w:rPr>
          <w:rFonts w:ascii="Times New Roman" w:cs="Times New Roman" w:eastAsia="Times New Roman" w:hAnsi="Times New Roman"/>
          <w:sz w:val="15"/>
          <w:szCs w:val="15"/>
          <w:color w:val="auto"/>
        </w:rPr>
        <w:t>”) or other digital connections, clients can discover Polestar’s products, configure and personalize them, choose a financing option and purchase online, creating a seamless experience. Complementing this digital experience, customers can see, feel and test drive Polestar's vehicles, at one of the Polestar Spaces prior to making an online purchase. Polestar believes this combination of digital and physical retail presence serves to deliver a seamless experience for its customers. Polestar’s customers benefit from a comprehensive service network which leverages the existing Volvo Cars service center network. In Europe, Polestar follows a direct-to-consumer model and, in select markets, an importer model, for sales and distribution. European customers have access to 90 Polestar spaces and approximately 650,000 charging points through Plugsurfing. Polestar is shifting select European markets to an importer model to focus resources on the most profitable markets, and applying a non-genuine agency operating model in key markets. In North America, Polestar is transitioning to a wholesale model, with high control of customer experience through retailer vetting. North American customers have access to over 30 Polestar Spaces, managed by independent authorized retailers, and service points as well as CCS Charging with approximately 8,000 charging points in USA and Canada. In China, through Polestar's JV with Xingji Meizu, customers have access to around 70 Polestar Spaces and over 100 service points. Polestar believes the technical know-how and software engineering capability of Xingji Meizu, an established mobile phone device brand with substantial R&amp;D and software operating system experience, will aid the planned implementation of important features, services and products, including Polestar OS, Polestar Link and the Polestar Phone, for the China market.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Polestar’s Vehicles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1</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composite materials and leading-edge technology mechanical components.</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body of Polestar 1 is made from carbon fiber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fiber “dragonfly” between the front seats and the rear of the vehicle, further reinforcing the car’s chassis.</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4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1 went into production at Polestar’s Chengdu, China facility in 2019. The facility was the first Leadership in Energy and Environmental Design, or LEED, Gold accredited automotive manufacturing facility in China. With a planned three year production run and a limited build capacity of up to 500 units per year, production of the car ceased in 2021.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2</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2 is an electric performance fastback and Polestar’s first fully electric, high volume model. Polestar 2 is manufactured at the Taizhou, China facility, which is owned and operated by Volvo Cars after having been acquired the plant from Geely in December 2021. First revealed in 2019, production commenced in 2020.</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2 model range includes three variants – Long range dual motor (up to 350 kW (476 hp)/ 740 Nm), Long range single motor (220 kW (299 hp)/ 490Nm) and Standard range single motor (200 kW (268 hp)/ 490 Nm) – combined with three optional packages – Pilot, Plus and Performance – to provide consumers with the perfect Polestar 2 for their needs.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Pilot and Plus packs encompass driver convenience and comfort features, while the Performance pack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 Polestar 2 model 2024 features a new high-tech front end that reflects the design language premiered by</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Polestar 3, substantial performance increases with all-new electric motors, even more powerful batteries, sustainability improvements and, for the first time in a Polestar, rear-wheel drive.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Since Polestar 2 deliveries began in 2020, Polestar has improved the range, efficiency and performance of Polestar 2 and its cradle-to-gate carbon footprint has been continuously</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reduced. The result is a total CO2e saving of 12%, or 3 tons, since the vehicles initial launch. Low-carbon aluminum in wheels and the battery tray, a switch to renewable electricity in the factory, and improved battery chemistry, are some of the contributing factors.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2 was the first car in the world to feature an infotainment system powered by Google’s Android Automotive OS, with Google built-in. Developed in collaboration with</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Google, the Android system integrates the car infotainment system with Google Assistant, Google Maps and the Google Play Store.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apps for unique operating systems used by traditional car producers.</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including a call to the industry at large for a uniformly open and transparent way of disclosing the carbon footprint of electric vehicles. In early 2021, Polestar took this transparency a step further by integrating a Product Sustainability Declaration into Polestar</w:t>
      </w:r>
    </w:p>
    <w:p>
      <w:pPr>
        <w:jc w:val="both"/>
        <w:spacing w:after="0" w:line="214" w:lineRule="auto"/>
        <w:rPr>
          <w:sz w:val="20"/>
          <w:szCs w:val="20"/>
          <w:color w:val="auto"/>
        </w:rPr>
      </w:pPr>
      <w:r>
        <w:rPr>
          <w:rFonts w:ascii="Times New Roman" w:cs="Times New Roman" w:eastAsia="Times New Roman" w:hAnsi="Times New Roman"/>
          <w:sz w:val="15"/>
          <w:szCs w:val="15"/>
          <w:color w:val="auto"/>
        </w:rPr>
        <w:t>Spaces and on its website. The Product Sustainability Declaration discloses the cradle-to-gate ton greenhouse gas emissions and traced materials, which helps customers assess the sustainability performance of Polestar’s cars. See Item 4.B “</w:t>
      </w:r>
      <w:r>
        <w:rPr>
          <w:rFonts w:ascii="Times New Roman" w:cs="Times New Roman" w:eastAsia="Times New Roman" w:hAnsi="Times New Roman"/>
          <w:sz w:val="15"/>
          <w:szCs w:val="15"/>
          <w:i w:val="1"/>
          <w:iCs w:val="1"/>
          <w:color w:val="auto"/>
        </w:rPr>
        <w:t>Information on the Company—Business Overview</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Design, Innovation and Sustainability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Sustainability</w:t>
      </w:r>
      <w:r>
        <w:rPr>
          <w:rFonts w:ascii="Times New Roman" w:cs="Times New Roman" w:eastAsia="Times New Roman" w:hAnsi="Times New Roman"/>
          <w:sz w:val="15"/>
          <w:szCs w:val="15"/>
          <w:color w:val="auto"/>
        </w:rPr>
        <w:t>.” Information contained on the Company’s website is not incorporated by reference into this Report, and you should not consider information contained on the Company’s website to be part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launched the Polestar 3 on October 12, 2022. Polestar 3 is a luxurious electric performance SUV with seating for five and design direction previewed by Polestar Precept</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concept car (now the Polestar 5). It is an aerodynamically-optimized SUV using multiple design features to smooth airflow and reduce drag. The two seating rows in Polestar 3 stretch out between the long wheelbase offering luxurious and spacious legroom for the rear passengers even when the tallest driver is sitting in the front seat. Polestar believes that the Polestar 3 will define the SUV for the electric era by combining the high seating position favored by customers with a highly efficient aerodynamic silhouette and sports-car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handling.</w:t>
      </w:r>
    </w:p>
    <w:p>
      <w:pPr>
        <w:spacing w:after="0" w:line="5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5"/>
          <w:szCs w:val="15"/>
          <w:color w:val="auto"/>
        </w:rPr>
        <w:t>Materials used inside Polestar 3 have been selected for their sustainability credentials, while raising premium aesthetics and luxury tactility. These include bio-attributed MicroTech, animal welfare-certified leather rated with the highest global standard by the animal protection index, certified chrome free, and fully traceable wool upholstery.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3 comes with a total cradle-to-gate carbon footprint of 24.7 tCO2e at launch. This is lower than that of the significantly smaller Polestar 2 when it was launched in 2020 (26.1 tCO2e), proving that even for large SUVs action can be taken to reduce their climate impact.</w:t>
      </w:r>
    </w:p>
    <w:p>
      <w:pPr>
        <w:spacing w:after="0" w:line="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Material production and refining contributes 68% of its cradle-to-gate carbon footprint of which aluminum represents 24%, iron and steel 17% and battery module production 24%. The approach to meeting the ambitious sustainability targets for Polestar 3 took learnings from the carbon footprint reductions of Polestar 2. Consequently, 81% of Polestar 3’s total aluminum mass production, the Li-ion battery cell module production as well as anode and cathode material production use 100% renewable electricity. By doing this, 8.5 tCO2e per</w:t>
      </w:r>
    </w:p>
    <w:p>
      <w:pPr>
        <w:spacing w:after="0"/>
        <w:rPr>
          <w:sz w:val="20"/>
          <w:szCs w:val="20"/>
          <w:color w:val="auto"/>
        </w:rPr>
      </w:pPr>
      <w:r>
        <w:rPr>
          <w:rFonts w:ascii="Times New Roman" w:cs="Times New Roman" w:eastAsia="Times New Roman" w:hAnsi="Times New Roman"/>
          <w:sz w:val="15"/>
          <w:szCs w:val="15"/>
          <w:color w:val="auto"/>
        </w:rPr>
        <w:t>car have been eliminated.</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3 is the first car from Polestar to feature centralized computing with the NVIDIA DRIVE core computer, running software from Volvo Cars. Serving as the AI brain, NVIDIA’s high-performance automotive platform processes data from the car’s multiple sensors and cameras to enable advanced driver-assistance safety features and driver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monitoring. The infotainment system is powered by a next-generation Snapdragon Cockpit Platform from Qualcomm Technologies, Inc. As a central component of the Snapdragon Digital Chassis – a comprehensive set of open and scalable cloud-connected automotive platforms – the Snapdragon Cockpit Platform will be utilized to provide immersive in-vehicle experiences with its high-performance capabilities to deliver high-definition displays, premium quality surround sound and seamless connectivity throughout the vehicle.</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As standard, Polestar 3 features a total of five radar modules, five external cameras and twelve external ultrasonic sensors to support numerous advanced safety features. The SmartZone below the front aero wing collects several of the forward-facing sensors, a heated radar module and camera, and now becomes a signature of Polestar design. Inside, two closed-loop driver monitoring cameras bring leading eye tracking technology from Smart Eye to a Polestar for the first time, geared towards safer driving. The cameras monitor the</w:t>
      </w:r>
    </w:p>
    <w:p>
      <w:pPr>
        <w:spacing w:after="0"/>
        <w:rPr>
          <w:sz w:val="20"/>
          <w:szCs w:val="20"/>
          <w:color w:val="auto"/>
        </w:rPr>
      </w:pPr>
      <w:r>
        <w:rPr>
          <w:rFonts w:ascii="Times New Roman" w:cs="Times New Roman" w:eastAsia="Times New Roman" w:hAnsi="Times New Roman"/>
          <w:sz w:val="15"/>
          <w:szCs w:val="15"/>
          <w:color w:val="auto"/>
        </w:rPr>
        <w:t>driver’s eyes and can trigger warning messages, sounds and even an emergency stop function when detecting a distracted, drowsy or disconnected driver.</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With an indicative range of $80,000 to $120,000 for the North American market, Polestar 3 launches with a dual-motor configuration and a power bias towards the rear. The standard car produces a total of 360 kW and 840 Nm of torque. With the optional Performance Pack, total output is 380 kW and 910 Nm. Adjustable one-pedal drive is included, as well as an</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electric Torque Vectoring Dual Clutch function on the rear axle – an evolution of what was first developed for Polestar 1. A decoupling function is also available for the rear electric motor, allowing the car to run only on the front electric motor to save energy under certain circumstances.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4</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Polestar 4 is a new breed of SUV coupé that transforms the aerodynamics of a coupé and the space of an SUV. Design cues first seen on Polestar’s concept cars are brought to production in the fastest Polestar production car to date. Polestar 4 is positioned between Polestar 2 and Polestar 3 in terms of size and price.</w:t>
      </w:r>
    </w:p>
    <w:p>
      <w:pPr>
        <w:spacing w:after="0" w:line="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Following start of production and first deliveries in China at the end of 2023, Polestar 4 is now also officially on sale in Europe and Australia with production start planned for those markets towards the middle of 2024.</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As a design-driven brand, the design of Polestar 4 sees the continuation of key elements first shown by the Polestar Precept concept car, coming to life. This includes eliminating the rear window which enables a new kind of immersive rear occupant experience, and the separation of the dual blade front lights with unique Polestar light signature – complemented by the Polestar emblem with millimeter-precision lighting from below.</w:t>
      </w:r>
    </w:p>
    <w:p>
      <w:pPr>
        <w:spacing w:after="0" w:line="5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5"/>
          <w:szCs w:val="15"/>
          <w:color w:val="auto"/>
        </w:rPr>
        <w:t>Built on the premium Sustainable Experience Architecture (SEA) developed by Geely Holding, Polestar 4 is a D-segment SUV coupé with a large body and long, 2,999 mm wheelbase. Polestar 4 has a length of 4,840 mm, a width of 2,139 mm and a height of 1,534 mm. The resulting generous interior proportions are especially evident in the rear, where occupants are cocooned in an intimate environment, with electrically reclining seats. Adjustable ambient lighting that adds an extra dimension to the interior, inspired by the solar system, allows the occupants to customize the driving environment.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Thanks to the elimination of the rear window, the standard full-length glass roof stretches beyond the rear occupants’ heads, creating a truly unique interior ambience.</w:t>
      </w:r>
    </w:p>
    <w:p>
      <w:pPr>
        <w:spacing w:after="0" w:line="9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The rear-view mirror is replaced by a high-definition screen that shows a real-time feed from a roof-mounted rear camera – enabling a far wider field of view than what can be experienced in most modern cars.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late 2023, Polestar revealed that Polestar 4 carries the lowest carbon footprint of all its cars at launch. Polestar 4 is produced in Geely Holdings’ SEA factory in Hangzhou Bay, China, which combines green electricity that carries the I-REC hydro power certificate, with photovoltaic electricity from the roof of the plant. A higher use of low-carbon aluminum from smelters using hydropower electricity helps reduce the climate impact further.</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Polestar 4 Long range Single motor version has a cradle-to-gate carbon footprint of 19.9 tCO2e, while the Long range Dual motor has one of 21.4 tCO2e. Aluminum represents 22.4-24% of the carbon footprint, while steel and iron constitute 20%, and battery modules account for the highest share of the carbon footprint of materials production and refining at 36-40%.</w:t>
      </w:r>
    </w:p>
    <w:p>
      <w:pPr>
        <w:spacing w:after="0" w:line="23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A mono-material approach, first presented in the Polestar electric roadster concept in 2022, is applied to interior materials, where all layers of certain components are produced from the same base material. This allows them to be recycled more effectively and efficiently by eliminating the need for incompatible materials to be separated before recycling.</w:t>
      </w:r>
    </w:p>
    <w:p>
      <w:pPr>
        <w:spacing w:after="0" w:line="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New interior materials include a tailored knit textile which consists of 100% recycled PET, along with bio-attributed MicroTech vinyl, and traced leather from Bridge of Weir – where the raw hides are by-products of the food industry and come from Scottish farms that are independently rated by the Animal Protection Index as being of the highest global standard.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tailored knit upholstery is a new technique for the automotive industry. First shown in the Precept concept car, the textile is made from 100% recycled polyester. The material and the design have been created by Polestar designers together with the Swedish School of Textiles (Borås Textilhögskolan) and further developed with suppliers. It is made to fit, producing minimal off cuts and reduced overall waste.</w:t>
      </w:r>
    </w:p>
    <w:p>
      <w:pPr>
        <w:spacing w:after="0" w:line="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Inlay carpets in the interior are made using recycled PET and floor carpets are made using ECONYL, which includes reclaimed fishing nets. Specific door trim panels are made from NFPP (natural fiber polypropylene) which results in up to 50% less virgin plastic and a weight saving of up to 40%. MicroTech, first introduced in Polestar 3, is a bio-attributed vinyl that replaces crude oil with pine oil in its construction and features a recycled textile backing.</w:t>
      </w:r>
    </w:p>
    <w:p>
      <w:pPr>
        <w:spacing w:after="0" w:line="5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Polestar 4 is the fastest production car the brand has developed to date. The 0-100 km/h sprint can be completed in just 3.8 seconds and maximum power output is 400 kW (544 hp). Motors are of a permanent magnet, synchronous design. Driving dynamics are true to the Polestar brand – sharp steering and handling responses result in a thrilling and nimble driving experience for all occupants.</w:t>
      </w:r>
    </w:p>
    <w:p>
      <w:pPr>
        <w:spacing w:after="0" w:line="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Both dual- and single-motor variants are available, with the single-motor featuring rear-wheel drive. Despite the high output and performance, control and confidence are always key factors to produce a responsible, everyday-enjoyable EV experience. Semi-active suspension features in the dual-motor version for an additional layer of adjustment between comfort and performance dynamics.</w:t>
      </w:r>
    </w:p>
    <w:p>
      <w:pPr>
        <w:spacing w:after="0" w:line="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A 100 kWh battery is fitted to both long-range versions. The Long range Dual motor features 400 kW (544 hp), 686 Nm and a preliminary range target of up to 580 km WLTP. A disconnect clutch allows the car to disengage the front electric motor when not needed, to maximize range and efficiency.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Long range Single motor version features a 200 kW (272 hp) and 343 Nm motor at the rear, and preliminary range target of up to 610 km WLTP.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an indicative price range of $60,000 to $80,000 for the North American market, Polestar 4 will aim to offer driving dynamics and minimalist style to a larger market segment.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currently plans to launch the Polestar 5 in 2025. Polestar 5 will be a luxurious 4 door grand tourer that most closely follows inspiration from the Precept which was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announced in October 2020 at the Shanghai Motor Show. With an indicative price starting at $100,000 for the North American market, the vehicle will introduce new in-house aluminum body and chassis and powertrain architectures.</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The design of the Polestar 5’s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55"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4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The sculpted form of the Polestar 5 will set the tone for future Polestar vehicles. The vehicle’s proportions define its presence with restrained surfacing and a focus on aerodynamic efficiency.</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LiDAR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5 features an integrated front wing above the SmartZone which accelerates air flow over the long bonnet. This allows air to attach itself to the surface earlier, which improves</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6</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The Polestar 6, with production expected to commence in early 2027, will expand upon the design established by the Polestar 5 and be based on the Polestar electric roadster concept. Polestar made the first 500 production cars available as the exclusive, numbered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6 LA Concept edition. With an indicative price starting at $200,000 for the North American market, all 500 build slots of Polestar 6 LA Concept edition were reserved online within a week of the production announcement.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Show cars, concept cars and vision statements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March 2, 2022, Polestar revealed the Polestar electric roadster concept, a new concept car to demonstrate Polestar’s vision of a sports roadster with open-top performance—with</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all the benefits of electric mobility. The Polestar electric roadster concept car is related to the Polestar Precept concept car but with its own distinct character. The look of the Polestar electric roadster concept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Sustainability is another core tenet of the design study with a mono-material interior further illustrating how the brand is looking to drive progress through innovative materials manufacturing processes.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0 project</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In April 2021, Polestar announced its important goal to create a truly climate neutral car by 2030 a significant and necessary step to reach its goal of becoming a climate neutral company by 2040.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Today, an electric car manufactured and charged on the current global electricity infrastructure mix has a smaller carbon footprint than an internal combustion engine car through its</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useful life. However, Polestar has set a target of producing a car by 2030 that is truly a climate neutral production car when it rolls out of Polestar’s factories’ gates. A number of third parties including Vitesco Technologies and Stora Enso, have agreed to collaborate on the Polestar 0 project by contributing to research in areas such as bio-based materials, chemical and aluminum processes, electronics and interior surface materials As a company, Polestar cannot directly control how its cars are charged or how they are disposed of after their use</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phase has ended. Polestar can control what happens before the car is handed over to the customer: the carbon footprint of the materials production, battery module and manufacturing process.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Design, Innovation and Sustainability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Design</w:t>
      </w:r>
    </w:p>
    <w:p>
      <w:pPr>
        <w:spacing w:after="0" w:line="7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 Polestar 4 has won several awards for its design, including the prestigious Car Design of the Year award by Car Design News.</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Polestar believes that its designs reflect the central tenants of Scandinavian design, with a focus on luxury minimalism and an emphasis on responsible material choices and such as the use of recycled and naturally grown materials.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Innovation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research and development strategy is to focus its own resources on the development of key electric vehicle technologies while accessing the benefit of investments in other</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technology from within the larger Geely ecosystem, including Volvo Cars and with external partners. Polestar also accesses and utilizes battery labs, wind tunnels, VR simulations and testing, proving grounds both in the UK and in Sweden.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research and development teams are located in the United Kingdom, Sweden and China. Polestar’s headquarters and research and development team is located in</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Gothenburg and is focused on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Located in Shanghai,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China-based research and development team focuses on the development of bespoke features for the Chinese market.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Sustainability</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Polestar has a philosophy to design towards zero, actively using Scandinavian minimalist design to engage customers and minimize Polestar's environmental impact. Polestar seeks to achieve its clear sustainability goals by establishing concrete targets focusing on four pillars of its sustainability approach:</w:t>
      </w:r>
    </w:p>
    <w:p>
      <w:pPr>
        <w:spacing w:after="0" w:line="27" w:lineRule="exact"/>
        <w:rPr>
          <w:sz w:val="20"/>
          <w:szCs w:val="20"/>
          <w:color w:val="auto"/>
        </w:rPr>
      </w:pPr>
    </w:p>
    <w:p>
      <w:pPr>
        <w:jc w:val="both"/>
        <w:ind w:left="840" w:hanging="281"/>
        <w:spacing w:after="0" w:line="226" w:lineRule="auto"/>
        <w:tabs>
          <w:tab w:leader="none" w:pos="78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Climate Neutrality</w:t>
      </w:r>
      <w:r>
        <w:rPr>
          <w:rFonts w:ascii="Times New Roman" w:cs="Times New Roman" w:eastAsia="Times New Roman" w:hAnsi="Times New Roman"/>
          <w:sz w:val="15"/>
          <w:szCs w:val="15"/>
          <w:color w:val="auto"/>
        </w:rPr>
        <w:t>: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quality. Polestar has set three goals to achieve climate neutrality: Polestar is to be climate neutral by 2040, create a climate neutral car (cradle-to-gate) by 2030 and</w:t>
      </w:r>
    </w:p>
    <w:p>
      <w:pPr>
        <w:ind w:left="840"/>
        <w:spacing w:after="0" w:line="225" w:lineRule="auto"/>
        <w:rPr>
          <w:sz w:val="20"/>
          <w:szCs w:val="20"/>
          <w:color w:val="auto"/>
        </w:rPr>
      </w:pPr>
      <w:r>
        <w:rPr>
          <w:rFonts w:ascii="Times New Roman" w:cs="Times New Roman" w:eastAsia="Times New Roman" w:hAnsi="Times New Roman"/>
          <w:sz w:val="15"/>
          <w:szCs w:val="15"/>
          <w:color w:val="auto"/>
        </w:rPr>
        <w:t>halve the emission intensity per car sold by 2030. To drive towards the 2030 goal, Polestar has launched seven strategic initiatives. These are: climate-neutral platform,</w:t>
      </w:r>
    </w:p>
    <w:p>
      <w:pPr>
        <w:jc w:val="both"/>
        <w:ind w:left="840"/>
        <w:spacing w:after="0" w:line="225" w:lineRule="auto"/>
        <w:rPr>
          <w:sz w:val="20"/>
          <w:szCs w:val="20"/>
          <w:color w:val="auto"/>
        </w:rPr>
      </w:pPr>
      <w:r>
        <w:rPr>
          <w:rFonts w:ascii="Times New Roman" w:cs="Times New Roman" w:eastAsia="Times New Roman" w:hAnsi="Times New Roman"/>
          <w:sz w:val="15"/>
          <w:szCs w:val="15"/>
          <w:color w:val="auto"/>
        </w:rPr>
        <w:t>climate-neutral materials, climate-neutral manufacturing, renewable energy in the supply chain, climate-neutral logistics, fossil-free charging, and climate-neutral company. Each strategic initiative is headed by an accountable department but handled through cross-functional collaboration within Polestar. For the Polestar 2 long-</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range dual-motor variant, the cradle to gate carbon footprint was 26.2 tons CO2e per vehicle in 2020, which by model year 2024 has been decreased to 23.2 tons CO2e</w:t>
      </w:r>
    </w:p>
    <w:p>
      <w:pPr>
        <w:spacing w:after="0" w:line="7" w:lineRule="exact"/>
        <w:rPr>
          <w:sz w:val="20"/>
          <w:szCs w:val="20"/>
          <w:color w:val="auto"/>
        </w:rPr>
      </w:pPr>
    </w:p>
    <w:p>
      <w:pPr>
        <w:jc w:val="both"/>
        <w:ind w:left="840" w:right="20"/>
        <w:spacing w:after="0" w:line="165" w:lineRule="exact"/>
        <w:rPr>
          <w:sz w:val="20"/>
          <w:szCs w:val="20"/>
          <w:color w:val="auto"/>
        </w:rPr>
      </w:pPr>
      <w:r>
        <w:rPr>
          <w:rFonts w:ascii="Times New Roman" w:cs="Times New Roman" w:eastAsia="Times New Roman" w:hAnsi="Times New Roman"/>
          <w:sz w:val="15"/>
          <w:szCs w:val="15"/>
          <w:color w:val="auto"/>
        </w:rPr>
        <w:t>per vehicle. In November 2023, the premium SUV coupé, Polestar 4, entered production. This model achieves a cradle-to-gate carbon footprint of only 19.4 tons CO</w:t>
      </w:r>
      <w:r>
        <w:rPr>
          <w:rFonts w:ascii="MS PGothic" w:cs="MS PGothic" w:eastAsia="MS PGothic" w:hAnsi="MS PGothic"/>
          <w:sz w:val="15"/>
          <w:szCs w:val="15"/>
          <w:color w:val="auto"/>
        </w:rPr>
        <w:t>₂</w:t>
      </w:r>
      <w:r>
        <w:rPr>
          <w:rFonts w:ascii="Times New Roman" w:cs="Times New Roman" w:eastAsia="Times New Roman" w:hAnsi="Times New Roman"/>
          <w:sz w:val="15"/>
          <w:szCs w:val="15"/>
          <w:color w:val="auto"/>
        </w:rPr>
        <w:t>e, making it the model with the lowest carbon footprint in the Polestar lineup. This exemplifies Polestar's dedication to prioritizing climate impact while delivering high-</w:t>
      </w:r>
    </w:p>
    <w:p>
      <w:pPr>
        <w:spacing w:after="0" w:line="1" w:lineRule="exact"/>
        <w:rPr>
          <w:sz w:val="20"/>
          <w:szCs w:val="20"/>
          <w:color w:val="auto"/>
        </w:rPr>
      </w:pPr>
    </w:p>
    <w:p>
      <w:pPr>
        <w:jc w:val="both"/>
        <w:ind w:left="840"/>
        <w:spacing w:after="0" w:line="214" w:lineRule="auto"/>
        <w:rPr>
          <w:sz w:val="20"/>
          <w:szCs w:val="20"/>
          <w:color w:val="auto"/>
        </w:rPr>
      </w:pPr>
      <w:r>
        <w:rPr>
          <w:rFonts w:ascii="Times New Roman" w:cs="Times New Roman" w:eastAsia="Times New Roman" w:hAnsi="Times New Roman"/>
          <w:sz w:val="15"/>
          <w:szCs w:val="15"/>
          <w:color w:val="auto"/>
        </w:rPr>
        <w:t>quality electric performance. Most of the climate impact of Polestar's cars comes from three categories of materials: aluminum, batteries and steel. Together they account for 69% of the greenhouse gas emissions attributable to materials production and battery modules. Add electronics and polymers and the total is 87%. While a lot of focus naturally will be on those categories, the goal is to reduce all greenhouse gas emissions by at least 90% per car by 2040 and neutralize the residual</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greenhouse gas emissions through carbon removals.</w:t>
      </w:r>
    </w:p>
    <w:p>
      <w:pPr>
        <w:spacing w:after="0" w:line="55" w:lineRule="exact"/>
        <w:rPr>
          <w:sz w:val="20"/>
          <w:szCs w:val="20"/>
          <w:color w:val="auto"/>
        </w:rPr>
      </w:pPr>
    </w:p>
    <w:p>
      <w:pPr>
        <w:jc w:val="both"/>
        <w:ind w:left="840" w:hanging="281"/>
        <w:spacing w:after="0"/>
        <w:tabs>
          <w:tab w:leader="none" w:pos="811"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Circularity</w:t>
      </w:r>
      <w:r>
        <w:rPr>
          <w:rFonts w:ascii="Times New Roman" w:cs="Times New Roman" w:eastAsia="Times New Roman" w:hAnsi="Times New Roman"/>
          <w:sz w:val="15"/>
          <w:szCs w:val="15"/>
          <w:color w:val="auto"/>
        </w:rPr>
        <w:t>: Circularity is a model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design approach, trying to close the loop for more materials and using an increased share of recycled or biobased materials, less virgin minerals and fossil-based materials need to be extracted and produced, which minimizes the total environmental impact. Polestar aims to drive sustainable and circular use of materials through different key strategies and processes, including sustainability strategy, material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79" w:lineRule="exact"/>
        <w:rPr>
          <w:rFonts w:ascii="Times New Roman" w:cs="Times New Roman" w:eastAsia="Times New Roman" w:hAnsi="Times New Roman"/>
          <w:sz w:val="15"/>
          <w:szCs w:val="15"/>
          <w:color w:val="auto"/>
        </w:rPr>
      </w:pPr>
    </w:p>
    <w:p>
      <w:pPr>
        <w:ind w:left="840" w:hanging="281"/>
        <w:spacing w:after="0" w:line="230" w:lineRule="auto"/>
        <w:tabs>
          <w:tab w:leader="none" w:pos="765"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Transparency</w:t>
      </w:r>
      <w:r>
        <w:rPr>
          <w:rFonts w:ascii="Times New Roman" w:cs="Times New Roman" w:eastAsia="Times New Roman" w:hAnsi="Times New Roman"/>
          <w:sz w:val="15"/>
          <w:szCs w:val="15"/>
          <w:color w:val="auto"/>
        </w:rPr>
        <w:t>: Being transparent about where Polestar’s risks and impacts lie and which methodologies Polestar uses to measure itself ensures that Polestar creates actual progress. Polestar was the first car company to share both a LCA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56"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15"/>
          <w:szCs w:val="15"/>
          <w:color w:val="auto"/>
        </w:rPr>
        <w:t>Polestar is constantly looking to be honest with itself and its stakeholders and improve. For example, Polestar recognizes it uses materials with high risks of human rights and animal welfare violations, and negative environmental impacts in the supply chain to create its vehicles. Cobalt, for example, is a key component of the batteries used in electric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to employ blockchain technology to trace the origins of the cobalt and mica used in Polestar 2 batteries. The traceability service tracks origin, mass, size, and chain of custody. For Polestar 3 batteries cobalt, mica, lithium and nickel have been added to the list of traced materials. A solution for materials traceability for batteries in Polestar 4 is underway. Additionally, Polestar maintains a parts and components sourcing partnership with Geely and Volvo Cars in which suppliers are analyzed using sustainability questionnaires and a risk assessment tool developed by Responsible Business Alliance.</w:t>
      </w:r>
    </w:p>
    <w:p>
      <w:pPr>
        <w:spacing w:after="0" w:line="65" w:lineRule="exact"/>
        <w:rPr>
          <w:sz w:val="20"/>
          <w:szCs w:val="20"/>
          <w:color w:val="auto"/>
        </w:rPr>
      </w:pPr>
    </w:p>
    <w:p>
      <w:pPr>
        <w:jc w:val="both"/>
        <w:ind w:left="840" w:hanging="281"/>
        <w:spacing w:after="0" w:line="251" w:lineRule="auto"/>
        <w:tabs>
          <w:tab w:leader="none" w:pos="78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Inclusion</w:t>
      </w:r>
      <w:r>
        <w:rPr>
          <w:rFonts w:ascii="Times New Roman" w:cs="Times New Roman" w:eastAsia="Times New Roman" w:hAnsi="Times New Roman"/>
          <w:sz w:val="15"/>
          <w:szCs w:val="15"/>
          <w:color w:val="auto"/>
        </w:rPr>
        <w:t>: Polestar’s operations impact people worldwide. Through this strategic focus area, Polestar advocates for human rights, diversity, and prosperity for everyone, which is seen as the foundation for long-term business success.  Inclusion is both a focus area and an approach that is implemented across the entire value chain. It serves as a valuable tool, enabling the Company to uphold high ethical standards and make a positive impact on the world. Departments like Human Resources, Customer Experience, Design and Procurement drive strategic initiatives on human rights and inclusion, addressing Polestar’s role as a responsible brand, employer and procurer.</w:t>
      </w:r>
    </w:p>
    <w:p>
      <w:pPr>
        <w:spacing w:after="0" w:line="2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All employees and consultants working on behalf of Polestar must adhere to Polestar’s Code of Conduct and the applicable policies. Key compliance areas for Polestar</w:t>
      </w:r>
    </w:p>
    <w:p>
      <w:pPr>
        <w:spacing w:after="0" w:line="6" w:lineRule="exact"/>
        <w:rPr>
          <w:sz w:val="20"/>
          <w:szCs w:val="20"/>
          <w:color w:val="auto"/>
        </w:rPr>
      </w:pPr>
    </w:p>
    <w:p>
      <w:pPr>
        <w:jc w:val="both"/>
        <w:ind w:left="840"/>
        <w:spacing w:after="0" w:line="214" w:lineRule="auto"/>
        <w:rPr>
          <w:sz w:val="20"/>
          <w:szCs w:val="20"/>
          <w:color w:val="auto"/>
        </w:rPr>
      </w:pPr>
      <w:r>
        <w:rPr>
          <w:rFonts w:ascii="Times New Roman" w:cs="Times New Roman" w:eastAsia="Times New Roman" w:hAnsi="Times New Roman"/>
          <w:sz w:val="15"/>
          <w:szCs w:val="15"/>
          <w:color w:val="auto"/>
        </w:rPr>
        <w:t>include anti-corruption, data privacy, human rights, environmental compliance, and socioeconomic compliance including competition law, labor law and trade sanctions.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to Polestar’s</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Whistleblowing system SpeakUp with a guaranteed full anonymity.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and Distribution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2019, Polestar commenced commercial sales of its vehicles with the Polestar 1, followed in 2020 with the Polestar 2. In addition, following its launch, Polestar began accepting</w:t>
      </w:r>
    </w:p>
    <w:p>
      <w:pPr>
        <w:spacing w:after="0" w:line="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orders for Polestar 3 in October 2022. Polestar uses a digital first, direct to consumer approach that enables its customers to browse Polestar’s products, configure their preferred vehicle and, where permitted, place their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order online. Currently, customers in North America place orders for Polestar’s vehicles through trusted retailers. In addition, Polestar has established physical retail locations referred to as Polestar Spaces. Polestar Spaces range from smaller Polestar showrooms located in urban areas to larger Polestar showrooms located in peri-urban areas. Polestar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Spaces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December 31, 2023, there were 192 Polestar Spaces. In addition, as Polestar continues with its international expansion, it uses third party importers to give it access to lower volume markets, rapidly and with lower investment.</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 enters into agreements with independent investors to establish Polestar Spaces.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to Polestar and its subsidiaries’ direct-to-consumer and direct-to-business models, vehicles are also sold to various fleet customers (e.g., rental car companies and</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corporate fleet managers). In 2022 Polestar entered into agreements with Hertz Global Holdings, Inc. (NASDAQ: HTZ) whereby Hertz committed to purchase 65,000 or more Polestar vehicles during a 5-year period. The Hertz agreements cover the United States, Canada, Europe, and Australia, and deliveries began in June 2022 and were paused in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aims to deliver leading aftermarket services to its customers by leveraging Volvo Cars’ global service and repair network. Polestar is cooperating with Volvo Cars to develop</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their service center network, including the introduction of digital service booking, fault tracing, diagnostics and software download (Over-the-Air and in workshop). Polestar also utilizes the Volvo Cars service center network to supply its customers with a spare parts infrastructure. Polestar currently leverages the Volvo Cars service center network to provide access to 1,150 customer service points worldwide (as of December 31, 2023) in support of Polestar’s international operations. Polestar does not have a direct contractual relationship</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with the operators of its service points. Rather, Polestar relies on operators within the Volvo Cars network who sign, enter into, or amend, existing service contracts with Volvo Cars to add the service of Polestar vehicles to the scope of their dealer agreement.</w:t>
      </w:r>
    </w:p>
    <w:p>
      <w:pPr>
        <w:spacing w:after="0" w:line="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Polestar Times Technology (Nanjing) Co. Ltd, a joint venture established in 2023 between Polestar Automotive (Singapore) Distribution Pte Ltd and Xingji Meizu. The vehicles sold globally by Polestar Sweden are manufactured in China but production is expected to also take place in the United States and South Korea. Polestar may be subject to foreign exchange risk with respect to cash transfers within the group, including restrictions on cross border payments imposed by the Chinese government. See Item 3.D “</w:t>
      </w:r>
      <w:r>
        <w:rPr>
          <w:rFonts w:ascii="Times New Roman" w:cs="Times New Roman" w:eastAsia="Times New Roman" w:hAnsi="Times New Roman"/>
          <w:sz w:val="15"/>
          <w:szCs w:val="15"/>
          <w:i w:val="1"/>
          <w:iCs w:val="1"/>
          <w:color w:val="auto"/>
        </w:rPr>
        <w:t>Risk Factors—</w:t>
      </w:r>
    </w:p>
    <w:p>
      <w:pPr>
        <w:jc w:val="both"/>
        <w:spacing w:after="0" w:line="246" w:lineRule="auto"/>
        <w:rPr>
          <w:sz w:val="20"/>
          <w:szCs w:val="20"/>
          <w:color w:val="auto"/>
        </w:rPr>
      </w:pPr>
      <w:r>
        <w:rPr>
          <w:rFonts w:ascii="Times New Roman" w:cs="Times New Roman" w:eastAsia="Times New Roman" w:hAnsi="Times New Roman"/>
          <w:sz w:val="15"/>
          <w:szCs w:val="15"/>
          <w:i w:val="1"/>
          <w:iCs w:val="1"/>
          <w:color w:val="auto"/>
        </w:rPr>
        <w:t>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Joint venture with Hubei Xingji Meizu Group Co., Ltd</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purpose of the Joint Venture is to develop Xingji Meizu's existing technology platform, “Flyme Auto”, into a seamless operating system for Polestar vehicles sold in the mainland of the PRC, including in-car apps, streaming services, and intelligent vehicle software. This is expected to be complemented by mobile and augmented reality devices and customer apps, creating a seamless digital ecosystem. Polestar and Xingji Meizu have agreed that the Joint Venture shall be the sole authorized sales and service entity for Polestar vehicles in the PRC. Polestar has transferred certain commercial assets and approximately 130 of its PRC-based staff to the Joint Venture.</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Polestar owns a 49% interest in the Joint Venture with the remaining 51% owned by Xingji Meizu. Following the completion of a CNY 1.5 billion investment by a local PRC investor into the Joint Venture signed in February 2024, Polestar is expected to own approximately 37.64% of the Joint Venture with Xingji Meizu owning approximately 39.18% and the new investor owning approximately 23.18%. Pursuant to the terms of the Shareholders Agreement, Polestar has agreed to contribute $98 million of initial capital to the Joint Venture, with Xingji Meizu agreeing to contribute $102 million to the Joint Venture and also to be responsible for arranging further financing as required by the Joint Venture.</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Pursuant to the terms of the Business Cooperation Agreement, Polestar is responsible for the development and industrial design of its vehicles with the Joint Venture responsible for the management and sale of Polestar vehicles in the mainland of the PRC. Under the Business Cooperation Agreement, Xingji Meizu is responsible for the definition and development of smart phone products, “augmented reality” glasses and other technology products which may be sold by the Joint Venture, with Polestar being responsible for the industrial design of such products when they carry the Polestar brand. The Joint Venture will be responsible for installing Polestar’s operating system into the Polestar vehicles that it sells. Polestar and Xingji Meizu have agreed through the Business Cooperation Agreement that the Joint Venture will be subject to certain minimum purchase requirements with regards to Polestar’s vehicles.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has the benefit of having access to the global manufacturing footprint of Volvo Cars and Geely with its substantial combined installed production capacity.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vehicles are currently mainly manufactured at a plant in Taizhou, China that is owned and operated by Volvo Cars.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has started to expand its contract manufacturing presence to more facilities in China, South Korea and the U.S.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Taizhou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2 is produced in the Taizhou facility. The facility opened in 2016. The plant is focused on the CMA platform, and also produces Volvo XC40. In October 2021, Geely and</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Volvo Cars agreed to transfer the Taizhou facility to Volvo Cars. The transfer was effectuated in December 2021 and did not affect production of the Polestar 2 at the facility. In connection with this transfer, the facility has been renamed from "Luqiao" to “Taizhou.”</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Charleston facility</w:t>
      </w:r>
    </w:p>
    <w:p>
      <w:pPr>
        <w:spacing w:after="0" w:line="12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Polestar 3 will be manufactured in Volvo Cars’ Charleston, South Carolina, USA, facility. The facility opened in 2018, and produces Volvo Cars EX90, which share the SPA2 platform with Polestar 3. Production is expected to start in summer 2024 and will be dedicated to the US and part of the European market.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Volvo Cars’ Chengdu facility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3 is also manufactured in Volvo Cars’ Chengdu plant. The facility opened in 2013. The production of Polestar 3 started in early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Busan facility</w:t>
      </w:r>
    </w:p>
    <w:p>
      <w:pPr>
        <w:spacing w:after="0" w:line="9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Polestar 4 is planned to be partly manufactured in Busan, South Korea, with vehicles produced at this facility expected to be for the US market. The plant is owned by Renault Korea Motors (RKM), which is 35% owned by Geely. Production is expected to start in the second half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Hangzhou Bay</w:t>
      </w:r>
    </w:p>
    <w:p>
      <w:pPr>
        <w:spacing w:after="0" w:line="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Polestar 4 is also being manufactured at the Geely-owned Hangzhou Bay plant, with production having started at the end of 2023 for the Chinese market. and expected to start for the European market in the second half of 2024. The plant is used for several brands of the Geely group, as well as brands outside of the Geely group. The facility opened in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Chongqing facility</w:t>
      </w:r>
    </w:p>
    <w:p>
      <w:pPr>
        <w:spacing w:after="0" w:line="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Polestar 5 and 6 are expected to be produced in the Chongqing, China plant owned by Geely and operated by Polestar. Production for Polestar 5 is expected to start in 2025, and in early 2027 for Polestar 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Battery suppliers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to leverage group purchasing power. Polestar has also entered into an agreement with SK-On for the supply of battery cell modules for the forthcoming Polestar 5. Polestar continues to evaluate potential up and coming startups in this area.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 Party Agreements with Volvo Cars and Geely</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w:t>
      </w:r>
    </w:p>
    <w:p>
      <w:pPr>
        <w:jc w:val="both"/>
        <w:spacing w:after="0" w:line="214" w:lineRule="auto"/>
        <w:rPr>
          <w:sz w:val="20"/>
          <w:szCs w:val="20"/>
          <w:color w:val="auto"/>
        </w:rPr>
      </w:pPr>
      <w:r>
        <w:rPr>
          <w:rFonts w:ascii="Times New Roman" w:cs="Times New Roman" w:eastAsia="Times New Roman" w:hAnsi="Times New Roman"/>
          <w:sz w:val="15"/>
          <w:szCs w:val="15"/>
          <w:color w:val="auto"/>
        </w:rPr>
        <w:t>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conformity with its related party transactions policy. Polestar has also established a number of steering committees to monitor compliance and performance of its agreements related to development, manufacturing, or service contracts with related parties (the “</w:t>
      </w:r>
      <w:r>
        <w:rPr>
          <w:rFonts w:ascii="Times New Roman" w:cs="Times New Roman" w:eastAsia="Times New Roman" w:hAnsi="Times New Roman"/>
          <w:sz w:val="15"/>
          <w:szCs w:val="15"/>
          <w:i w:val="1"/>
          <w:iCs w:val="1"/>
          <w:color w:val="auto"/>
        </w:rPr>
        <w:t>Steering Committees</w:t>
      </w:r>
      <w:r>
        <w:rPr>
          <w:rFonts w:ascii="Times New Roman" w:cs="Times New Roman" w:eastAsia="Times New Roman" w:hAnsi="Times New Roman"/>
          <w:sz w:val="15"/>
          <w:szCs w:val="15"/>
          <w:color w:val="auto"/>
        </w:rPr>
        <w:t>”). Polestar believes the Steering Committees provides a means of ensuring the interests of Polestar are protected and if necessary, provides a means of escalating any concerns or disputes to senior management or the Board. For additional information in relation</w:t>
      </w:r>
    </w:p>
    <w:p>
      <w:pPr>
        <w:spacing w:after="0" w:line="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 xml:space="preserve">to materially significant related party transactions during the years ended December 31, 2023, 2022 and 2010, see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in Polestar’s Consolidated Financial Statements included elsewhere herein. For a further description of Polestar's contracts with related parties, see the section entitled Item 7.B “</w:t>
      </w:r>
      <w:r>
        <w:rPr>
          <w:rFonts w:ascii="Times New Roman" w:cs="Times New Roman" w:eastAsia="Times New Roman" w:hAnsi="Times New Roman"/>
          <w:sz w:val="15"/>
          <w:szCs w:val="15"/>
          <w:i w:val="1"/>
          <w:iCs w:val="1"/>
          <w:color w:val="auto"/>
        </w:rPr>
        <w:t>Major Shareholders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Related Party Transactions—Related Party Transactions</w:t>
      </w:r>
      <w:r>
        <w:rPr>
          <w:rFonts w:ascii="Times New Roman" w:cs="Times New Roman" w:eastAsia="Times New Roman" w:hAnsi="Times New Roman"/>
          <w:sz w:val="15"/>
          <w:szCs w:val="15"/>
          <w:color w:val="auto"/>
        </w:rPr>
        <w:t>.”</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Polestar’s agreements with Volvo Cars cover research and development services,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Item 7.B “</w:t>
      </w:r>
      <w:r>
        <w:rPr>
          <w:rFonts w:ascii="Times New Roman" w:cs="Times New Roman" w:eastAsia="Times New Roman" w:hAnsi="Times New Roman"/>
          <w:sz w:val="15"/>
          <w:szCs w:val="15"/>
          <w:i w:val="1"/>
          <w:iCs w:val="1"/>
          <w:color w:val="auto"/>
        </w:rPr>
        <w:t>Major Shareholders and Related Party Transactions—Related Party Transactions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services and intellectual property licenses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has entered into a number of agreements and licensing agreements with Volvo Cars and/or Geely with respect to research and development services and licensing of intellectual property in connection with the development and manufacture of the Polestar 1, Polestar 2, Polestar 3, Polestar 4, Polestar 5 and Polestar 6. These agreements provide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Polestar will pay a fixed fee based on Polestar´s volume share of Volvo Car Corporation’s actual development cost. The development cost is calculated based on actual cost and an arm’s length hourly rate. For the Polestar 3, Polestar will pay a fixed price for the technology license and development services which is calculated on Polestar's volume share of the development costs. Polestar has also entered into agreements providing for services and a license relating to certain technology such as for technology updates and upgrades and new</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a development service agreement with Geely for the Polestar 4 between late 2021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early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Purchasing Agreements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has entered into several sourcing service agreements and maintenance agreements with Volvo Cars in connection with the Polestar 1, Polestar 2 and Polestar 3. The sourcing</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Manufacturing engineering and logistics engineering</w:t>
      </w:r>
    </w:p>
    <w:p>
      <w:pPr>
        <w:spacing w:after="0" w:line="7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5"/>
          <w:szCs w:val="15"/>
          <w:color w:val="auto"/>
        </w:rPr>
        <w:t>Polestar has entered into manufacturing engineering service agreements with Volvo Cars in connection with the production of Polestar 2 and Polestar 3. These agreements provide that Volvo Cars will provide industrial engineering services and manufacturing services with respect to the Polestar 2 and Polestar 3 vehicle programs. Polestar has also entered into a</w:t>
      </w:r>
    </w:p>
    <w:p>
      <w:pPr>
        <w:spacing w:after="0" w:line="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5"/>
          <w:szCs w:val="15"/>
          <w:color w:val="auto"/>
        </w:rPr>
        <w:t>logistical engineering service agreement with Volvo Cars, under which Volvo Cars will provide support in connection with the development and set-up of an inbound and outbound logistic process connected to the plants.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Manufacturing</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For the manufacturing of Polestar 2, Polestar has entered into contract manufacturing agreements with the Taizhou (or “Taizhou”) plant, which is owned and operated by Volvo Cars. Further, Polestar has entered into financial undertaking agreements with Volvo Cars for investments for Polestar 3 production in a Volvo Cars plant in Chengdu, China as well as at a plant in Charleston, South Carolina. Production in Volvo Cars’ facility in Chengdu, China, started in the beginning of 2024. Additional manufacturing at Volvo Cars’ Charleston,</w:t>
      </w:r>
    </w:p>
    <w:p>
      <w:pPr>
        <w:spacing w:after="0"/>
        <w:rPr>
          <w:sz w:val="20"/>
          <w:szCs w:val="20"/>
          <w:color w:val="auto"/>
        </w:rPr>
      </w:pPr>
      <w:r>
        <w:rPr>
          <w:rFonts w:ascii="Times New Roman" w:cs="Times New Roman" w:eastAsia="Times New Roman" w:hAnsi="Times New Roman"/>
          <w:sz w:val="15"/>
          <w:szCs w:val="15"/>
          <w:color w:val="auto"/>
        </w:rPr>
        <w:t>South Carolina facility in the United States, is expected to follow in summer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Agreements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Polestar has entered into several agreements regarding outbound logistics according to which Volvo Cars support with supply chain related services for the supply of</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Charging Network</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2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Polestar provides regional coverage and preferential pricing through regional strategic partnership with the largest charging network providers. Polestar provides its customers with access to an extended regional charging network using Plugsurfing aggregated CPO network in Europe. Additionally, Polestar provides access to over 650,000 public charging points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in Europe via the Polestar Charge App, and has launched a public charging subscription in February 2024, providing preferential prices to Polestar subscribers at selected networks. In March 2024, Polestar, together with Plugsurfing, integrated Tesla Superchargers into Polestar Charge. Additionally, Polestar has announced in 2023 that it will adopt Tesla’s NACS charging standard in North America. In China, Polestar, through the Joint Venture, is building its own charging network and provides access to other public charging networks as well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the Tesla Supercharging network via a collaboration with Tesla.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faces competition from both traditional automotive manufacturers and an increasing number of new companies focused on electric and other alternative fuel vehicles. Polestar expects this competition to increase, particularly as the transportation sector</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continues to shift towards low-emission, zero-emission or carbon neutral solutions. In addition, numerous manufacturers offer hybrid vehicles, including plug-in versions, with which Polestar’s vehicles also compete.</w:t>
      </w:r>
    </w:p>
    <w:p>
      <w:pPr>
        <w:spacing w:after="0" w:line="5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Polestar believes that the primary competitive factors on which it competes includes, but is not limited to, its focus on design and sustainability, and its proprietary and co-developed technological innovations. Polestar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w:t>
      </w:r>
    </w:p>
    <w:p>
      <w:pPr>
        <w:jc w:val="both"/>
        <w:spacing w:after="0" w:line="214" w:lineRule="auto"/>
        <w:rPr>
          <w:sz w:val="20"/>
          <w:szCs w:val="20"/>
          <w:color w:val="auto"/>
        </w:rPr>
      </w:pPr>
      <w:r>
        <w:rPr>
          <w:rFonts w:ascii="Times New Roman" w:cs="Times New Roman" w:eastAsia="Times New Roman" w:hAnsi="Times New Roman"/>
          <w:sz w:val="15"/>
          <w:szCs w:val="15"/>
          <w:color w:val="auto"/>
        </w:rPr>
        <w:t>recognition and longer operating histories than Polestar does (see also Item 3.D “</w:t>
      </w:r>
      <w:r>
        <w:rPr>
          <w:rFonts w:ascii="Times New Roman" w:cs="Times New Roman" w:eastAsia="Times New Roman" w:hAnsi="Times New Roman"/>
          <w:sz w:val="15"/>
          <w:szCs w:val="15"/>
          <w:i w:val="1"/>
          <w:iCs w:val="1"/>
          <w:color w:val="auto"/>
        </w:rPr>
        <w:t>Risk Factors—Risks Related to the Polestar’s Business and Industry—Polestar operates in 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r>
        <w:rPr>
          <w:rFonts w:ascii="Times New Roman" w:cs="Times New Roman" w:eastAsia="Times New Roman" w:hAnsi="Times New Roman"/>
          <w:sz w:val="15"/>
          <w:szCs w:val="15"/>
          <w:color w:val="auto"/>
        </w:rPr>
        <w:t>.”). Polestar believes it can further differentiate</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itself from its competitors with its brand pillars of pure, progressive, performance alongside its established global presence and ability to leverage an established production ecosystem due to its relationships with its founding partners.</w:t>
      </w:r>
    </w:p>
    <w:p>
      <w:pPr>
        <w:spacing w:after="0" w:line="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On a global basis, Polestar’s principal premium competitors are Audi, BMW, Mercedes and Tesla, as well as luxury vehicle manufacturers such as Rolls Royce and Bugatti. Porsche is one of Polestar’s core competitor brands from a driving experience and performance perspective. As one of the world’s most renowned makers of “driver’s cars”, Porsche represents a strategic benchmark for Polestar in an exclusive brand segment. Although previously a manufacturer of solely internal combustion engine cars, Porsche has launched the Taycan and, more recently, the Macan electric vehicles which bring the brand’s renowned dynamic experience to electric vehicles. The recently launched electric Macan is considered a key competitor to Polestar 4. Porsche is also a benchmark brand for future Polestar vehicles in terms of size and segments. In terms of pure EV peers, Tesla Model 3 was often seen as a principal competitor to Polestar 2. Model X and Model Y have become more relevant with the launches of Polestar 3 and Polestar 4, respectively. Other competition within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electric vehicle segment of the market, includes other pure play electric vehicle producers, such as Nio, Xpeng, Rivian, Lucid and Fisker</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Research and development, conducted with strategic partners such as Volvo Cars, are one of Polestar’s core competencies and Polestar’s developments in areas such as lightweight chassis architectures, drivetrains, electric motors, bi-directional compatible battery packs and charging technology significantly enhance the flexibility and utility of its vehicles. In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addition, Polestar has created considerable intellectual property related to its design of both the interior and exterior of its vehicles, including various components such as wheel rims and lights. Accordingly, Polestar’s commercial success depends in part on its ability to protect and control its proprietary design, technology and other intellectual property assets. Polestar relies on a combination of intellectual property rights, such as patents, design and trademark registrations, to protect and preserve its proprietary technology and intellectual</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property assets. In addition, Polestar enters into employee, contractor, consultant and third-party non-disclosure and invention assignment agreements and other contractual arrangements to protect its proprietary technology and intellectual property assets.</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As of December 31, 2023, Polestar owned 123 issued U.S. patents and 104, 73, and 228 issued patents in Europe, China and other jurisdictions (including European Patent Organisation (“EPO”) validation states and UK), respectively. Those patents are related to Polestar’s core proprietary technology. In addition, Polestar had 39 pending U.S. patent applications and 69, 33, and 23 pending patent applications in the EPO, China and other jurisdictions, respectively. In addition to patents covering Polestar’s core proprietary technology, Polestar had 31 pending U.S. design patent applications, plus 122, 309 and 71 issued design or industrial design patents in the U.S., EU (including the UK) and China, respectively, and 100 issued design or industrial design patents issued in other jurisdictions. Another 48 and 62 design applications were pending in the EU (EU filings, including UK filings) and China, respectively, and there were 4 pending design applications in other jurisdictions. As of December 31, 2023, Polestar owned 17 registered U.S. trademarks, 6 pending U.S. trademark applications, as well as 33 and 19 registered trademarks in the EU (incl UK) and China, respectively. Further, 5 and 39 trademark applications were pending in the EU (incl UK) and China, respectively.</w:t>
      </w:r>
    </w:p>
    <w:p>
      <w:pPr>
        <w:spacing w:after="0" w:line="23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w:t>
      </w:r>
    </w:p>
    <w:p>
      <w:pPr>
        <w:jc w:val="both"/>
        <w:spacing w:after="0" w:line="224" w:lineRule="auto"/>
        <w:rPr>
          <w:sz w:val="20"/>
          <w:szCs w:val="20"/>
          <w:color w:val="auto"/>
        </w:rPr>
      </w:pPr>
      <w:r>
        <w:rPr>
          <w:rFonts w:ascii="Times New Roman" w:cs="Times New Roman" w:eastAsia="Times New Roman" w:hAnsi="Times New Roman"/>
          <w:sz w:val="15"/>
          <w:szCs w:val="15"/>
          <w:color w:val="auto"/>
        </w:rPr>
        <w:t>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Item 3.D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Risks Related to Intellectual Property</w:t>
      </w:r>
      <w:r>
        <w:rPr>
          <w:rFonts w:ascii="Times New Roman" w:cs="Times New Roman" w:eastAsia="Times New Roman" w:hAnsi="Times New Roman"/>
          <w:sz w:val="15"/>
          <w:szCs w:val="15"/>
          <w:color w:val="auto"/>
        </w:rPr>
        <w:t>.”</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commercial success will also depend in part on not infringing, misappropriating or otherwise violating the intellectual or proprietary rights of third parties. The issuance of</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Item 3.D “</w:t>
      </w:r>
      <w:r>
        <w:rPr>
          <w:rFonts w:ascii="Times New Roman" w:cs="Times New Roman" w:eastAsia="Times New Roman" w:hAnsi="Times New Roman"/>
          <w:sz w:val="15"/>
          <w:szCs w:val="15"/>
          <w:i w:val="1"/>
          <w:iCs w:val="1"/>
          <w:color w:val="auto"/>
        </w:rPr>
        <w:t>Risk Factors—Risks Related to Intellectual Property</w:t>
      </w:r>
      <w:r>
        <w:rPr>
          <w:rFonts w:ascii="Times New Roman" w:cs="Times New Roman" w:eastAsia="Times New Roman" w:hAnsi="Times New Roman"/>
          <w:sz w:val="15"/>
          <w:szCs w:val="15"/>
          <w:color w:val="auto"/>
        </w:rPr>
        <w:t>” for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regarding these and other risks related to Polestar’s intellectual property portfolio and their potential effect on Polestar.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In addition to Polestar’s proprietary technology and intellectual property assets, it has also acquired, licensed or sub-licensed material portions of the intellectual property that is relevant to its products from Volvo Cars, Geely and Zhejiang Zeekr Automobile Research and Development Co., Ltd. For example, it has acquired intellectual property with respect</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to fully electrical platform technology, motor vehicle drive units with electric vehicle motors, motor assemblies for operating electric powertrains, and structures specifically designed to protect electric vehicle components, and intellectual property relating to infotainment and connectivity. Polestar has also entered into agreements providing for a license relating to certain technology and features to be introduced in its model year programs.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Polestar’s products are designed to comply with all applicable regulations in the markets where it operates. As of December 31, 2023, Polestar operates in 27 markets in Europe, the Middle-East, North America, China and Asia Pacific. Polestar’s expansion plans include further building its presence in fast growing markets in the Asia Pacific region as well as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design requirements reflect the applicable requirements for each product, market, and time frame.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believes that the following regulations are material to its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UNECE</w:t>
      </w:r>
    </w:p>
    <w:p>
      <w:pPr>
        <w:spacing w:after="0" w:line="8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The World Forum for Harmonization of Vehicle Regulations of the United Nations Economic Commission for Europe (the “</w:t>
      </w:r>
      <w:r>
        <w:rPr>
          <w:rFonts w:ascii="Times New Roman" w:cs="Times New Roman" w:eastAsia="Times New Roman" w:hAnsi="Times New Roman"/>
          <w:sz w:val="15"/>
          <w:szCs w:val="15"/>
          <w:i w:val="1"/>
          <w:iCs w:val="1"/>
          <w:color w:val="auto"/>
        </w:rPr>
        <w:t>UNECE</w:t>
      </w:r>
      <w:r>
        <w:rPr>
          <w:rFonts w:ascii="Times New Roman" w:cs="Times New Roman" w:eastAsia="Times New Roman" w:hAnsi="Times New Roman"/>
          <w:sz w:val="15"/>
          <w:szCs w:val="15"/>
          <w:color w:val="auto"/>
        </w:rPr>
        <w:t>”)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w:t>
      </w: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EU</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vehicle that has been type-approved in one EU member state can thereafter be sold and registered in all member states without further tests. Polestar’s vehicles are type approved and fulfill applicable underlying regulations and directives.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USA</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requires cars and equipment sold in the United States to fulfill safety standards that are continuously updated to meet new technologies and needs.</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Polestar’s vehicles fulfill the applicable product requirements stipulated by the NHTSA and the EPA on a federal level, and similarly the CARB who is a major regulator on the state level.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China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regulatory system in China applies type approval for Polestar’s vehicles under three regulatory bodies:</w:t>
      </w:r>
    </w:p>
    <w:p>
      <w:pPr>
        <w:spacing w:after="0" w:line="82" w:lineRule="exact"/>
        <w:rPr>
          <w:sz w:val="20"/>
          <w:szCs w:val="20"/>
          <w:color w:val="auto"/>
        </w:rPr>
      </w:pPr>
    </w:p>
    <w:p>
      <w:pPr>
        <w:ind w:left="840" w:hanging="281"/>
        <w:spacing w:after="0"/>
        <w:tabs>
          <w:tab w:leader="none" w:pos="8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Ministry of Industry and Information Technology (“MIIT”)—regulates the approval to manufacture vehicles;</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Administration for Market Regulation (“SAMR”)—regulates vehicle safety; and</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Ministry of Ecology and Environment (“MEP”)—regulates range and energy efficiency.</w:t>
      </w:r>
    </w:p>
    <w:p>
      <w:pPr>
        <w:spacing w:after="0" w:line="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5"/>
          <w:szCs w:val="15"/>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 Additionally, considering the current large volumes of new energy vehicles in China, MIIT is also starting to strictly control contract manufacturing of new energy vehicles in PRC. As of result of such control, MIIT has possibilities not to approve car model homologation for contract manufacturing, especially foreign related.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Further, in order to be able to operate in China, Polestar and its subsidiaries are subject to permission requirements from the following regulatory bodies:</w:t>
      </w:r>
    </w:p>
    <w:p>
      <w:pPr>
        <w:spacing w:after="0" w:line="82" w:lineRule="exact"/>
        <w:rPr>
          <w:sz w:val="20"/>
          <w:szCs w:val="20"/>
          <w:color w:val="auto"/>
        </w:rPr>
      </w:pPr>
    </w:p>
    <w:p>
      <w:pPr>
        <w:ind w:left="760" w:hanging="201"/>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760" w:hanging="201"/>
        <w:spacing w:after="0"/>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MEP; and</w:t>
      </w:r>
    </w:p>
    <w:p>
      <w:pPr>
        <w:spacing w:after="0" w:line="70" w:lineRule="exact"/>
        <w:rPr>
          <w:rFonts w:ascii="Times New Roman" w:cs="Times New Roman" w:eastAsia="Times New Roman" w:hAnsi="Times New Roman"/>
          <w:sz w:val="15"/>
          <w:szCs w:val="15"/>
          <w:color w:val="auto"/>
        </w:rPr>
      </w:pPr>
    </w:p>
    <w:p>
      <w:pPr>
        <w:ind w:left="760" w:hanging="201"/>
        <w:spacing w:after="0"/>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Administration of Customs.</w:t>
      </w:r>
    </w:p>
    <w:p>
      <w:pPr>
        <w:spacing w:after="0" w:line="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Polestar and its subsidiaries have received all requisite permissions to operate in China and have not been denied any permissions in the past. These permissions include the following:</w:t>
      </w:r>
    </w:p>
    <w:p>
      <w:pPr>
        <w:spacing w:after="0" w:line="219" w:lineRule="exact"/>
        <w:rPr>
          <w:sz w:val="20"/>
          <w:szCs w:val="20"/>
          <w:color w:val="auto"/>
        </w:rPr>
      </w:pPr>
    </w:p>
    <w:p>
      <w:pPr>
        <w:ind w:left="760" w:hanging="201"/>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License;</w:t>
      </w:r>
    </w:p>
    <w:p>
      <w:pPr>
        <w:spacing w:after="0" w:line="82" w:lineRule="exact"/>
        <w:rPr>
          <w:rFonts w:ascii="Times New Roman" w:cs="Times New Roman" w:eastAsia="Times New Roman" w:hAnsi="Times New Roman"/>
          <w:sz w:val="15"/>
          <w:szCs w:val="15"/>
          <w:color w:val="auto"/>
        </w:rPr>
      </w:pPr>
    </w:p>
    <w:p>
      <w:pPr>
        <w:ind w:left="760" w:hanging="201"/>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Pollutants Discharge Permit; and</w:t>
      </w:r>
    </w:p>
    <w:p>
      <w:pPr>
        <w:spacing w:after="0" w:line="70" w:lineRule="exact"/>
        <w:rPr>
          <w:rFonts w:ascii="Times New Roman" w:cs="Times New Roman" w:eastAsia="Times New Roman" w:hAnsi="Times New Roman"/>
          <w:sz w:val="15"/>
          <w:szCs w:val="15"/>
          <w:color w:val="auto"/>
        </w:rPr>
      </w:pPr>
    </w:p>
    <w:p>
      <w:pPr>
        <w:ind w:left="760" w:hanging="201"/>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Customs Declaration Registration Certificate or Customs Declaration Enterprise Record Receipt.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Item 3.D “</w:t>
      </w:r>
      <w:r>
        <w:rPr>
          <w:rFonts w:ascii="Times New Roman" w:cs="Times New Roman" w:eastAsia="Times New Roman" w:hAnsi="Times New Roman"/>
          <w:sz w:val="15"/>
          <w:szCs w:val="15"/>
          <w:i w:val="1"/>
          <w:iCs w:val="1"/>
          <w:color w:val="auto"/>
        </w:rPr>
        <w:t>Risk Factors—Risks Related to Polestar’s Business and Industry—Polestar and its subsidiaries (i) may not receive or maintain permissions or approvals from the CAC</w:t>
      </w:r>
    </w:p>
    <w:p>
      <w:pPr>
        <w:spacing w:after="0" w:line="1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i w:val="1"/>
          <w:iCs w:val="1"/>
          <w:color w:val="auto"/>
        </w:rPr>
        <w:t>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r>
        <w:rPr>
          <w:rFonts w:ascii="Times New Roman" w:cs="Times New Roman" w:eastAsia="Times New Roman" w:hAnsi="Times New Roman"/>
          <w:sz w:val="15"/>
          <w:szCs w:val="15"/>
          <w:color w:val="auto"/>
        </w:rPr>
        <w:t>” for more information regarding risks associated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Polestar’s and its subsidiaries’ operations in China.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Focused regulatory areas</w:t>
      </w:r>
    </w:p>
    <w:p>
      <w:pPr>
        <w:spacing w:after="0" w:line="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5"/>
          <w:szCs w:val="15"/>
          <w:color w:val="auto"/>
        </w:rPr>
        <w:t>Some regulatory areas are rapidly changing within all the above-mentioned regulatory frameworks. The ones listed below are of key importance to Polestars products moving forward.</w:t>
      </w:r>
    </w:p>
    <w:p>
      <w:pPr>
        <w:spacing w:after="0" w:line="230" w:lineRule="exact"/>
        <w:rPr>
          <w:sz w:val="20"/>
          <w:szCs w:val="20"/>
          <w:color w:val="auto"/>
        </w:rPr>
      </w:pPr>
    </w:p>
    <w:p>
      <w:pPr>
        <w:ind w:left="840" w:hanging="281"/>
        <w:spacing w:after="0"/>
        <w:tabs>
          <w:tab w:leader="none" w:pos="8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Cyber security and privacy</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Electric vehicle safety</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Autonomous drive</w:t>
      </w:r>
    </w:p>
    <w:p>
      <w:pPr>
        <w:spacing w:after="0" w:line="8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color w:val="auto"/>
        </w:rPr>
        <w:t>In some of the relevant markets new requirements are enforced as guidelines and policies rather than regulations. Polestar’s ambition is always to meet relevant requirements for each product, market, and time frame.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Cyber security and privacy</w:t>
      </w:r>
    </w:p>
    <w:p>
      <w:pPr>
        <w:spacing w:after="0" w:line="86"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5"/>
          <w:szCs w:val="15"/>
          <w:color w:val="auto"/>
        </w:rPr>
        <w:t>Cybersecurity and cybersecurity management systems are being regulated in many markets to enhance data security protection measures and to minimize the risks associated with cyber threats.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Data privacy and data protection laws in the markets where Polestar operates influence Polestar’s abilities to collect and use personal information. For most markets, Polestar’s</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connected vehicle services, as well as its sales and marketing activities, are subject to European laws, including the EU General Data Protection Regulation 2016/679 (GDPR), in addition to applicable national law in each market, which impose requirements on processing of personal information. Following general guidance from the European Data Protection Board, much of the data in the context of connected vehicles may be viewed as personal data and therefore subject to the EU GDPR. In the US, Polestar needs to comply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California Consumer Privacy Act (CCPA) and similar state-level comprehensive privacy laws which enter into force starting from 2023 in e.g. Virginia, Colorado and other states.</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Violations of data privacy and data protection laws may result in consequences such as substantial fines, damages, ceasing with the infringing activity and deletion of erroneously collected information.</w:t>
      </w:r>
    </w:p>
    <w:p>
      <w:pPr>
        <w:spacing w:after="0" w:line="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In China, several pieces of legislation have been adopted in recent years, applicable in part or in full to Polestar’s operations in China. These include the Data Security Law and the Personal Information Protection Law, which entered into force in 2021. Both laws impose requirements on data activities or personal information processing activities, including security reviews and specific requirements on activities on data regarding Chinese persons carried out outside of China. The Several Measures on the Automobile Data Security</w:t>
      </w:r>
    </w:p>
    <w:p>
      <w:pPr>
        <w:jc w:val="both"/>
        <w:spacing w:after="0" w:line="220" w:lineRule="auto"/>
        <w:rPr>
          <w:sz w:val="20"/>
          <w:szCs w:val="20"/>
          <w:color w:val="auto"/>
        </w:rPr>
      </w:pPr>
      <w:r>
        <w:rPr>
          <w:rFonts w:ascii="Times New Roman" w:cs="Times New Roman" w:eastAsia="Times New Roman" w:hAnsi="Times New Roman"/>
          <w:sz w:val="15"/>
          <w:szCs w:val="15"/>
          <w:color w:val="auto"/>
        </w:rPr>
        <w:t>Management (for Trial Implementation) from the CAC, which entered into force in October 2021, imposes requirements on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or in case overseas transfers are necessary, to go through the data export security assessment organized by the CAC in accordance with such laws.</w:t>
      </w:r>
    </w:p>
    <w:p>
      <w:pPr>
        <w:spacing w:after="0" w:line="5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Cybersecurity Review Measures from the CAC, which came into effect in February 2022, requires data processors in China who hold more than one million users’ personal information and plan to list on a stock exchange in a foreign country to apply for a cybersecurity review. It also gives the CAC the power to initiate cybersecurity review in certain situations.</w:t>
      </w:r>
    </w:p>
    <w:p>
      <w:pPr>
        <w:spacing w:after="0" w:line="5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The Cross-border Data Transfer Security Measures (the “</w:t>
      </w:r>
      <w:r>
        <w:rPr>
          <w:rFonts w:ascii="Times New Roman" w:cs="Times New Roman" w:eastAsia="Times New Roman" w:hAnsi="Times New Roman"/>
          <w:sz w:val="15"/>
          <w:szCs w:val="15"/>
          <w:i w:val="1"/>
          <w:iCs w:val="1"/>
          <w:color w:val="auto"/>
        </w:rPr>
        <w:t>Security Assessment Measures</w:t>
      </w:r>
      <w:r>
        <w:rPr>
          <w:rFonts w:ascii="Times New Roman" w:cs="Times New Roman" w:eastAsia="Times New Roman" w:hAnsi="Times New Roman"/>
          <w:sz w:val="15"/>
          <w:szCs w:val="15"/>
          <w:color w:val="auto"/>
        </w:rPr>
        <w:t>”) from the CAC, effective from September 2022, requires security assessment for data being exported. Data handlers must submit application materials to the CAC offices at the provincial level for the security assessment within a six-month “rectification period”.</w:t>
      </w:r>
    </w:p>
    <w:p>
      <w:pPr>
        <w:spacing w:after="0" w:line="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In addition to the legislative requirements to protect personal data, Polestar operations are subject to various regulations concerning cybersecurity in general. In Europe, the NIS 2 directive and corresponding national legislation require Polestar to maintain a cybersecurity management system ensuring that Polestar’s data and digital assets are protected against cyber-attacks. This includes for example operational aspects such as Vulnerability and Network Protection Management, Security Incident Management as well as steering and reporting functions such as Cyber-Risk Management and Reporting to the Management and the Board.</w:t>
      </w:r>
    </w:p>
    <w:p>
      <w:pPr>
        <w:spacing w:after="0" w:line="5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SOX Standards toward the Security and Integrity of Financial and operational data apply to Polestars systems and operations. These regulations include Protection of relevant Systems and Data, detailed Incident Detection and Reaction mechanisms and plans as well as performant risk management including Reporting to Management and Board.</w:t>
      </w:r>
    </w:p>
    <w:p>
      <w:pPr>
        <w:spacing w:after="0" w:line="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The Industry and Information Technology Field Data Security Administrative Measures (for Trial Implementation) promulgated by the Ministry of Industry and Information Technology of China, which became effective on January 1, 2023, regulate the data</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5"/>
          <w:szCs w:val="15"/>
          <w:color w:val="auto"/>
        </w:rPr>
        <w:t>processing activities of certain industrial and technology businesses operating in the PRC. Data handlers that fall within this legislation are required to take certain steps to classify, appropriately process and protect the subject data, as well as to submit a catalog of important and core data to the local industrial regulatory department. As Polestar is not a</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registered manufacturer in the PRC it believes the legal obligations arising from this legislation will primarily sit with its contract manufacturing partners. However, Polestar may nonetheless be negatively impacted should its contract manufacturing partners not meet their obligations under this legislation.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Electric vehicle safety</w:t>
      </w:r>
    </w:p>
    <w:p>
      <w:pPr>
        <w:spacing w:after="0" w:line="98"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5"/>
          <w:szCs w:val="15"/>
          <w:color w:val="auto"/>
        </w:rPr>
        <w:t>Upcoming Safety Regulations include requirements concerning driver drowsiness and distraction, intelligent speed assistance, reversing safely with the aid of cameras or sensors, data recording in case of an accident (black box), lane-keeping assistance, advanced emergency braking, and crash-test improved safety. Specifically for battery electric vehicles there are requirements for vehicle-mounted rechargeable electrical energy storage systems, operation safety and fault protection and protection against electric shock, on both component</w:t>
      </w:r>
    </w:p>
    <w:p>
      <w:pPr>
        <w:spacing w:after="0"/>
        <w:rPr>
          <w:sz w:val="20"/>
          <w:szCs w:val="20"/>
          <w:color w:val="auto"/>
        </w:rPr>
      </w:pPr>
      <w:r>
        <w:rPr>
          <w:rFonts w:ascii="Times New Roman" w:cs="Times New Roman" w:eastAsia="Times New Roman" w:hAnsi="Times New Roman"/>
          <w:sz w:val="15"/>
          <w:szCs w:val="15"/>
          <w:color w:val="auto"/>
        </w:rPr>
        <w:t>and vehicle level.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AD/ADAS Regulations</w:t>
      </w:r>
    </w:p>
    <w:p>
      <w:pPr>
        <w:spacing w:after="0" w:line="9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Sustainability and Environmental Regulations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operates in an industry that is subject to extensive sustainability-related regulations, which become more stringent over time. The laws and regulations to which Polestar is or may become subject govern, among other things, traceability, modern slavery and forced labor water use; air emissions; use of recycled materials; energy sources; the release,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Emissions Credits</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All manufacturers are required to comply with the applicable emission regulations in each jurisdiction in which they operate. Furthermore, since Polestar’s electric vehicles have zero tailpipe emissions, it earns emission grams or credits that may be sold to and used by other manufacturers.</w:t>
      </w:r>
    </w:p>
    <w:p>
      <w:pPr>
        <w:spacing w:after="0" w:line="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Recall activities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OPERATING AND FINANCIAL REVIEW AND PROSPECTS</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i w:val="1"/>
          <w:iCs w:val="1"/>
          <w:color w:val="auto"/>
        </w:rPr>
        <w:t>The following discussion includes information that Polestar’s management believes is relevant to an assessment and understanding of Polestar’s financial condition and results of operations.</w:t>
      </w:r>
    </w:p>
    <w:p>
      <w:pPr>
        <w:spacing w:after="0" w:line="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i w:val="1"/>
          <w:iCs w:val="1"/>
          <w:color w:val="auto"/>
        </w:rPr>
        <w:t>On June 23, 2022, Polestar closed the merger with Gores Guggenheim, Inc. ("GGI") described elsewhere in this Report. The discussion should be read together with (i) the financial statements of Polestar Automotive Holding UK PLC as of December 31, 2023 and 2022, and for each of the three years in the period ended December 31, 2023 and the related notes thereto, included elsewhere in this Report. All financial numbers in this discussion are presented in thousands U.S. dollars unless otherwise noted.</w:t>
      </w:r>
    </w:p>
    <w:p>
      <w:pPr>
        <w:spacing w:after="0" w:line="5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i w:val="1"/>
          <w:iCs w:val="1"/>
          <w:color w:val="auto"/>
        </w:rPr>
        <w:t>Polestar’s actual results may differ materially from those anticipated in these forward-looking statements as a result of various factors, including those discussed in the sections titled “Risk Factors” (see Item 3.D) and “Cautionary Note Regarding Forward-Looking Statements” included elsewhere in this Report. Certain amounts may not foot due to rounding.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Polestar Automotive Holding UK PLC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Automotive Holding Limited, a Hong Kong incorporated company ("Former Parent") together with its consolidated subsidiaries constituted Polestar Group through June 23, 2022. On June 23, 2022, Former Parent completed its reverse recapitalization and Polestar Automotive Holding UK PLC ("Parent") became the new parent. Parent together with its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consolidated subsidiaries constitute Polestar Group from June 23, 2022. Former Parent and its subsidiaries and Parent and its subsidiaries are collectively referred to herein as “Polestar,” “we,” “our,” or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is a pure play, premium electric performance vehicle brand headquartered in Sweden, designing products that are engineered to excite consumers and drive change. Polestar</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defines market-leading standards in design, technology and sustainability. Polestar was established as a premium electric vehicle brand by Volvo Cars and Geely in 2017 and benefits from the technological, engineering and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manufacturing capabilities of these established global vehicle manufacturers. Polestar has an asset-light, highly scalable business model with immediate operating leverage. While Polestar has historically offered two performance vehicle models; Polestar 1 ("PS1") and Polestar 2 ("PS2"), production of the PS1 ceased during the year ended December 31, 2021.</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Production of a third performance vehicle model, the Polestar 3 ("PS3"), began in the first quarter of 2024. Production of the fourth performance vehicle model, the Polestar 4 ("PS4"), commenced in the third quarter of 2023 with deliveries prior to year end. Polestar has begun internal development projects related to its future performance vehicle models, the Polestar 5 ("PS5") and Polestar 6 ("PS6"). On June 23, 2022, Polestar consummated a capital reorganization via the merger with GGI, a special purpose acquisition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subsequently began trading on the Nasdaq on June 24, 2022, under the ticker symbol PSNY.</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The PS2 is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 plans to manufacture the PS3 at a plant in Chengdu, China that is owned and operated by Volvo Cars. Polestar also plans to expand production of the PS3 to a plant in Charleston, South Carolina which is owned and operated by Volvo Cars. Production of the PS3 was scheduled to begin in the second half of the year ending December 31, 2023, but due to delays is now scheduled to begin during the year ended December 31, 2024.</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The PS4 is currently manufactured at a plant in Hangzhou Bay which is owned and operated by Geely. Polestar also plans to expand PS4 manufacturing to the Renault Korea Motors' Busan plant in Busan, South Korea, starting in the second half of the year ended December 31, 2025. Production will be operated by Geely.</w:t>
      </w:r>
    </w:p>
    <w:p>
      <w:pPr>
        <w:spacing w:after="0" w:line="4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plans to manufacture the PS5 at a plant in Chongqing, China that is owned and operated by Geely. The plant is currently under construction with plans to open in 2024 and production of the PS5 is scheduled to begin in 2025.</w:t>
      </w:r>
    </w:p>
    <w:p>
      <w:pPr>
        <w:spacing w:after="0" w:line="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Under contract manufacturing agreements with Volvo Cars and Geely, Polestar intends to expand its manufacturing presence to facilities in the U.S. and in Europe. Polestar’s ability to leverage the manufacturing footprint of both Volvo Cars and Geely gives Polestar’s highly scalable business model immediate operating leverage.</w:t>
      </w:r>
    </w:p>
    <w:p>
      <w:pPr>
        <w:spacing w:after="0" w:line="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Polestar’s retail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(e.g., Polestar uses the dealer model only in the U.S. and Canada). This approach also differs in sales to fleet customers where ordering configured vehicles via the online platform is impracticable. Instead, sales are facilitated through</w:t>
      </w:r>
    </w:p>
    <w:p>
      <w:pPr>
        <w:spacing w:after="0"/>
        <w:rPr>
          <w:sz w:val="20"/>
          <w:szCs w:val="20"/>
          <w:color w:val="auto"/>
        </w:rPr>
      </w:pPr>
      <w:r>
        <w:rPr>
          <w:rFonts w:ascii="Times New Roman" w:cs="Times New Roman" w:eastAsia="Times New Roman" w:hAnsi="Times New Roman"/>
          <w:sz w:val="15"/>
          <w:szCs w:val="15"/>
          <w:color w:val="auto"/>
        </w:rPr>
        <w:t>Polestar fleet account managers.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Spaces are where customers can see, feel and test drive Polestar’s vehicles prior to making an online purchase. Polestar believes this combination of digital and physical retail presence delivers a seamless experience for its customers. Polestar currently has 192 Spaces across 27 markets. Polestar’s global customer experience is then further enhanced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its comprehensive service network that leverages a mix of in house customer service specialists and the existing Volvo Cars service center network.</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technology.</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factors affecting performance</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 xml:space="preserve">Polestar’s continued growth depends on numerous factors and trends. While these factors and trends provide opportunities for Polestar, they also pose risks and challenges as discussed in Item 3.D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and below. Polestar’s financial position and results of operations depend to a significant extent on the following key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Partnerships with Volvo Cars and Geely</w:t>
      </w:r>
    </w:p>
    <w:p>
      <w:pPr>
        <w:spacing w:after="0" w:line="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Polestar’s relationship with its related parties,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w:t>
      </w: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have been positively impacted due to service agreements with Volvo Cars which allow Polestar to attain operational efficiencies in the areas of aftermarket services and maintenance and back-office functions (e.g., information technology, legal, accounting, finance, logistics, and human resources). Polestar' contract manufacturing and supply agreements with Volvo Cars and Geely are entered into on an arm's length basis.</w:t>
      </w:r>
    </w:p>
    <w:p>
      <w:pPr>
        <w:spacing w:after="0" w:line="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Utilizing Volvo Cars’ Taizhou facility in China has allowed Polestar to continue efficient production of its PS2 with over 150,000 units produced by December 31, 2023. Prior to Polestar selling its Chengdu plant to Geely, limited edition models of the PS2 were produced there but are now produced at the Volvo Cars Taizhou plant. Going forward, the PS3 is planned to be produced in China and the United States at Volvo Cars’ Chengdu facility and Charleston, South Carolina facility, respectively. Geely began production of the PS4 at its Hangzhou Bay plant in the third quarter of 2023 and expects to begin production at the Renault Busan plant in the second half of 2025. The PS5 is expected to be manufactured at Geely's Chongqing facility which is currently under construction and expected to be opened in 2024, with production expected to start in 2025. Having access to the global manufacturing footprint of Volvo Cars and Geely has, and will continue to provide, Polestar with flexibility to adjust and optimize its manufacturing plans in response to factors like particular market demand, relative production cost, changing shipping and logistic expenses, and the availability of market-specific tax credit schemes. However, Polestar’s contract manufacturing model does not come with the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operating leverage that may come with owning production facilities and requires Polestar to accurately forecast the demand for its vehicles. If Polestar fails to do so, there may be overcapacity, which may negatively impact gross margins, or inadequate capacity, which may result in delays in shipments or revenues.</w:t>
      </w:r>
    </w:p>
    <w:p>
      <w:pPr>
        <w:spacing w:after="0" w:line="3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5"/>
          <w:szCs w:val="15"/>
          <w:color w:val="auto"/>
        </w:rPr>
        <w:t>During the year ended December 31, 2023, Polestar leveraged the eighteen-month $800 million term loan credit facility with Volvo Cars that was entered into on November 3, 2022. On November 8, 2023, Polestar entered into an amendment to the credit facility with Volvo Cars, which provided for an additional $200 million in borrowing capacity under the</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credit facility and extended the maturity date of the credit facility to June 30, 2027. As of December 31, 2023, Polestar had drawn on all $1 billion in borrowing capacity with $1 billion in principal outstanding. This loan has an optional equity conversion feature.</w:t>
      </w:r>
    </w:p>
    <w:p>
      <w:pPr>
        <w:spacing w:after="0" w:line="4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On November 8, 2023, Polestar also entered into a new term loan facility with Geely, where Geely agreed to provide a term loan credit facility of $250 million on substantially the same terms as the credit facility with Volvo Cars, including a maturity date of June 30, 2027. As of December 31, 2023, Polestar had drawn down on all $250 million in borrowing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capacity with $250 million in principal outstanding. This loan has an optional equity conversion feature.</w:t>
      </w:r>
    </w:p>
    <w:p>
      <w:pPr>
        <w:spacing w:after="0" w:line="5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5"/>
          <w:szCs w:val="15"/>
          <w:color w:val="auto"/>
        </w:rPr>
        <w:t>On December 8, 2023, Polestar, Geely, and Volvo Cars entered into certain agreements which, when considered together, were designed to provide financing to Polestar in exchange for Polestar transferring legal ownership of certain Polestar unique tooling and equipment that will be used in the manufacturing of the PS3 to Geely. Polestar received cash of $156.1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w:t>
      </w:r>
      <w:r>
        <w:rPr>
          <w:rFonts w:ascii="Times New Roman" w:cs="Times New Roman" w:eastAsia="Times New Roman" w:hAnsi="Times New Roman"/>
          <w:sz w:val="15"/>
          <w:szCs w:val="15"/>
          <w:i w:val="1"/>
          <w:iCs w:val="1"/>
          <w:color w:val="auto"/>
        </w:rPr>
        <w:t>—Liquidity and Capital Resources</w:t>
      </w:r>
      <w:r>
        <w:rPr>
          <w:rFonts w:ascii="Times New Roman" w:cs="Times New Roman" w:eastAsia="Times New Roman" w:hAnsi="Times New Roman"/>
          <w:sz w:val="15"/>
          <w:szCs w:val="15"/>
          <w:color w:val="auto"/>
        </w:rPr>
        <w:t>” below for an additional discussion regarding banking relationships that have been assisted by letters of comfort from Volvo Cars and Geely.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support for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in the Consolidated Financial Statements included elsewhere in this report for more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Premium electric vehicle portfolio</w:t>
      </w:r>
    </w:p>
    <w:p>
      <w:pPr>
        <w:spacing w:after="0" w:line="7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Polestar continues to develop a premium all-electric vehicle portfolio to address the tastes and preferences of premium vehicle customers, one of the fastest growing segments of the global electric car market. The current and planned portfolio consists of the following models:</w:t>
      </w:r>
    </w:p>
    <w:p>
      <w:pPr>
        <w:spacing w:after="0" w:line="52" w:lineRule="exact"/>
        <w:rPr>
          <w:sz w:val="20"/>
          <w:szCs w:val="20"/>
          <w:color w:val="auto"/>
        </w:rPr>
      </w:pPr>
    </w:p>
    <w:p>
      <w:pPr>
        <w:ind w:left="840" w:hanging="281"/>
        <w:spacing w:after="0"/>
        <w:tabs>
          <w:tab w:leader="none" w:pos="8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2 - a performance fastback;</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3 - a performance sport utility vehicle;</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4 - a performance sport utility coupe;</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5 - a high performance 4-door grand tourer; and</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6 - a high performance roadster.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PS2 has received numerous accolades and positive reviews since its launch in 2019. The limited-edition higher specification PS2 variants, the BST 270 and BST 230, which sell</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at higher price points have also received favorable reviews from customers and the automotive community. Polestar plans to continue offering higher specification variants, sometimes in limited production runs, for its future models, which it expects will further establish its brand within the premium electric vehicle segment and allow for pricing variability within certain markets. As a premium electric vehicle company, Polestar does not intend to offer models priced below the PS2. Customers’ acceptance and purchase of</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Polestar’s new models are critical components of Polestar’s future growth and financial performance. Polestar’s marketing efforts may not be successful, and newer vehicle models may not ultimately be adopted or utilized by the consumer, which would negatively impact sales volumes and product pricing.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Innovative automotive technologies and design</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5 and PX2 electric powertrain have advanced Polestar’s organic intellectual property. Further, Polestar continues to display ambition to create industry-</w:t>
      </w: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leading technologies through partnerships with Volvo Cars, Geely, Nvidia, Luminar, and Zenseact, Xingji Meizu, and StoreDot,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In the years ended</w:t>
      </w:r>
    </w:p>
    <w:p>
      <w:pPr>
        <w:spacing w:after="0" w:line="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 xml:space="preserve">December 31, 2023, 2022 and 2021, $346.4 million, $306.0 million, and $460.0 million, respectively, were invested in new intellectual property. These investments have primarily impacted Polestar’s results of operations through higher amortization expense. Refer to </w:t>
      </w:r>
      <w:r>
        <w:rPr>
          <w:rFonts w:ascii="Times New Roman" w:cs="Times New Roman" w:eastAsia="Times New Roman" w:hAnsi="Times New Roman"/>
          <w:sz w:val="15"/>
          <w:szCs w:val="15"/>
          <w:i w:val="1"/>
          <w:iCs w:val="1"/>
          <w:color w:val="auto"/>
        </w:rPr>
        <w:t>Note 15 - Intangible assets and goodwill</w:t>
      </w:r>
      <w:r>
        <w:rPr>
          <w:rFonts w:ascii="Times New Roman" w:cs="Times New Roman" w:eastAsia="Times New Roman" w:hAnsi="Times New Roman"/>
          <w:sz w:val="15"/>
          <w:szCs w:val="15"/>
          <w:color w:val="auto"/>
        </w:rPr>
        <w:t xml:space="preserve"> in the Consolidated Financial Statements included elsewhere in this report for more information.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Direct-to-consumer business model</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business model approach has allowed Polestar to achieve rapid expansion in, and capitalization of, the luxury electric vehicle market in Europe, the United States, and Asia with lower overall selling, general, and administrative expenses as compared to a traditional OEM dealer model.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Direct-to-business model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Dealers also diagnose and repair Polestar vehicles at associated service facilities. Vehicles are sold to dealers at wholesale prices and Polestar provides a suggested retail price.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Fleet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to Polestar and its subsidiaries’ direct-to-consumer and direct-to-business models, vehicles are also sold to various fleet customers (e.g., rental car companies and</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corporate fleet managers). As an incentive for high-volume purchases, sales to fleet customers often include discounts in the form of annual rebates based on the number of vehicles ordered during the year.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Importer markets</w:t>
      </w:r>
    </w:p>
    <w:p>
      <w:pPr>
        <w:spacing w:after="0" w:line="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Polestar also sells vehicles to various importers in smaller markets around the globe where it does not have sales units (e.g., Hong Kong, New Zealand, the United Arab Emirates (UAE), Israel, Kuwait and Iceland). Polestar's relationships with importers allow it to create a more diversified global footprint and tap potential opportunities which may lead to increased sales.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to associate</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In China, Polestar sells its vehicles through an associate, Polestar Technology (Shaoxing) Co., Ltd. ("Polestar Technology"). Vehicles are sold to Polestar Technology at wholesale prices and Polestar Technology subsequently sells the vehicles to customers in China. This sales channel is more advantageous to Polestar in capturing the Chinese market.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Earn-out rights and Class C Shares from the reverse recapitalization</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On June 23, 2022, Polestar consummated a capital reorganization via the merger with GGI, a special purpose acquisition company. Polestar subsequently began trading in the U.S. on Nasdaq on June 24, 2022 under the ticker symbol “PSNY.” In addition to providing Polestar with access to new funding sources in the United States capital markets, the merger,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including all related arrangements, raised net cash proceeds of $1,418 million. Gross proceeds of $638.2 million was assumed from GGI, $250 million was sourced from a private placement in public equity (“PIPE”), and $588.8 million was sourced from a preferential share subscription with Volvo Cars. Total transaction costs of $98 million were incurred in connection with the merger, of which $59.1 million had been recognized by GGI and deducted from the gross proceeds raised. The remaining $38.9 million were costs attributable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Former Parent.</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As part of the merger, Polestar exchanged rights and obligations to the public and private warrant instruments of GGI, resulting in the issuance of similar instruments in the form of Class C-1 Shares and Class C-2 Shares, respectively. Polestar also issued certain rights to earn out shares to existing owners. These instruments are accounted for as derivative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liabilities under IAS 32, </w:t>
      </w:r>
      <w:r>
        <w:rPr>
          <w:rFonts w:ascii="Times New Roman" w:cs="Times New Roman" w:eastAsia="Times New Roman" w:hAnsi="Times New Roman"/>
          <w:sz w:val="15"/>
          <w:szCs w:val="15"/>
          <w:i w:val="1"/>
          <w:iCs w:val="1"/>
          <w:color w:val="auto"/>
        </w:rPr>
        <w:t>Financial Instruments: Presentation</w:t>
      </w:r>
      <w:r>
        <w:rPr>
          <w:rFonts w:ascii="Times New Roman" w:cs="Times New Roman" w:eastAsia="Times New Roman" w:hAnsi="Times New Roman"/>
          <w:sz w:val="15"/>
          <w:szCs w:val="15"/>
          <w:color w:val="auto"/>
        </w:rPr>
        <w:t xml:space="preserve"> ("IAS 32"), Financial Instruments: Presentation, and IFRS 9, </w:t>
      </w:r>
      <w:r>
        <w:rPr>
          <w:rFonts w:ascii="Times New Roman" w:cs="Times New Roman" w:eastAsia="Times New Roman" w:hAnsi="Times New Roman"/>
          <w:sz w:val="15"/>
          <w:szCs w:val="15"/>
          <w:i w:val="1"/>
          <w:iCs w:val="1"/>
          <w:color w:val="auto"/>
        </w:rPr>
        <w:t>Financial Instruments</w:t>
      </w:r>
      <w:r>
        <w:rPr>
          <w:rFonts w:ascii="Times New Roman" w:cs="Times New Roman" w:eastAsia="Times New Roman" w:hAnsi="Times New Roman"/>
          <w:sz w:val="15"/>
          <w:szCs w:val="15"/>
          <w:color w:val="auto"/>
        </w:rPr>
        <w:t xml:space="preserve"> ("IFRS 9"), which are carried at fair value with subsequent changes in fair value recognized in the Consolidated Statement of Loss at each reporting date.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 the Class C Shares were valued at $6 million and $28 million, respectively, resulting in an unrealized gain from the fair-value change of $22</w:t>
      </w:r>
    </w:p>
    <w:p>
      <w:pPr>
        <w:spacing w:after="0" w:line="221" w:lineRule="auto"/>
        <w:rPr>
          <w:sz w:val="20"/>
          <w:szCs w:val="20"/>
          <w:color w:val="auto"/>
        </w:rPr>
      </w:pPr>
      <w:r>
        <w:rPr>
          <w:rFonts w:ascii="Times New Roman" w:cs="Times New Roman" w:eastAsia="Times New Roman" w:hAnsi="Times New Roman"/>
          <w:sz w:val="15"/>
          <w:szCs w:val="15"/>
          <w:color w:val="auto"/>
        </w:rPr>
        <w:t xml:space="preserve">million during the year ended December 31, 2023. As of December 31, 2023 and 2022, the earn-out rights were valued at $155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5"/>
          <w:szCs w:val="15"/>
          <w:color w:val="auto"/>
        </w:rPr>
        <w:t xml:space="preserve"> $599 million, respectively, resulting in an</w:t>
      </w:r>
    </w:p>
    <w:p>
      <w:pPr>
        <w:jc w:val="both"/>
        <w:spacing w:after="0" w:line="214" w:lineRule="auto"/>
        <w:rPr>
          <w:sz w:val="20"/>
          <w:szCs w:val="20"/>
          <w:color w:val="auto"/>
        </w:rPr>
      </w:pPr>
      <w:r>
        <w:rPr>
          <w:rFonts w:ascii="Times New Roman" w:cs="Times New Roman" w:eastAsia="Times New Roman" w:hAnsi="Times New Roman"/>
          <w:sz w:val="15"/>
          <w:szCs w:val="15"/>
          <w:color w:val="auto"/>
        </w:rPr>
        <w:t xml:space="preserve">unrealized gain from the fair value change of $443 million during the year ended December 31, 2023. The fair values of these derivative financial instruments are volatile and influenced by changes in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Times New Roman" w:cs="Times New Roman" w:eastAsia="Times New Roman" w:hAnsi="Times New Roman"/>
          <w:sz w:val="15"/>
          <w:szCs w:val="15"/>
          <w:i w:val="1"/>
          <w:iCs w:val="1"/>
          <w:color w:val="auto"/>
        </w:rPr>
        <w:t>Note 2 - Significant accounting policies and judgements</w:t>
      </w:r>
      <w:r>
        <w:rPr>
          <w:rFonts w:ascii="Times New Roman" w:cs="Times New Roman" w:eastAsia="Times New Roman" w:hAnsi="Times New Roman"/>
          <w:sz w:val="15"/>
          <w:szCs w:val="15"/>
          <w:color w:val="auto"/>
        </w:rPr>
        <w:t xml:space="preserve"> included elsewhere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report for more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Impacts of COVID-19, the Russo-Ukrainian War, conflicts in Israel and the Gaza Strip, and conflict in the Red Sea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certain instances, Polestar’s suppliers and business partners have experienced delays or disruptions from COVID-19, resulting in negative impacts to Polestar. Specifically, the</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prolonged government mandated quarantines and lockdowns in eastern China during the year ended December 31, 2022 delayed production and delivery of critical components for the PS2. Polestar continued to feel the effects of COVID-19 early in the year ended December 31, 2023, with the effects losing impact towards the end of the year.</w:t>
      </w:r>
    </w:p>
    <w:p>
      <w:pPr>
        <w:spacing w:after="0" w:line="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While Polestar does not directly conduct any business with suppliers in Russia or Ukraine, there can be no assurance that all parts of the supply chain are devoid of any exposure to disruptions caused by the Russo-Ukrainian War.</w:t>
      </w:r>
    </w:p>
    <w:p>
      <w:pPr>
        <w:spacing w:after="0" w:line="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recent escalation in the conflict between Israel and Hamas and uncertain geopolitical conditions, sanctions, and other potential impacts on the global economic environment may weaken demand for Polestar’s vehicles and impact its ability to access production components, which could make it difficult for Polestar to forecast its financial results and manage its inventory levels. Israel is one of Polestar's importer markets where we have minimal sales. Polestar also has some suppliers with operations in Israel, including Mobileye and</w:t>
      </w: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StoreDot.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and StoreDot.</w:t>
      </w:r>
    </w:p>
    <w:p>
      <w:pPr>
        <w:spacing w:after="0" w:line="5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In addition, further escalation of the conflict in the Red Sea may affect our shipping operations and result in shipping companies rerouting their cargo ships. These potential shipping disruptions may cause additional shipping costs and delays.</w:t>
      </w:r>
    </w:p>
    <w:p>
      <w:pPr>
        <w:spacing w:after="0" w:line="36" w:lineRule="exact"/>
        <w:rPr>
          <w:sz w:val="20"/>
          <w:szCs w:val="20"/>
          <w:color w:val="auto"/>
        </w:rPr>
      </w:pPr>
    </w:p>
    <w:p>
      <w:pPr>
        <w:ind w:right="940"/>
        <w:spacing w:after="0" w:line="349" w:lineRule="auto"/>
        <w:rPr>
          <w:sz w:val="20"/>
          <w:szCs w:val="20"/>
          <w:color w:val="auto"/>
        </w:rPr>
      </w:pPr>
      <w:r>
        <w:rPr>
          <w:rFonts w:ascii="Times New Roman" w:cs="Times New Roman" w:eastAsia="Times New Roman" w:hAnsi="Times New Roman"/>
          <w:sz w:val="15"/>
          <w:szCs w:val="15"/>
          <w:color w:val="auto"/>
        </w:rPr>
        <w:t>Refer to Item 3.D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for information on risks posed by the ongoing conflicts between Russia and Ukraine, in Israel and the Gaza Strip, and in the Red Sea. </w:t>
      </w:r>
      <w:r>
        <w:rPr>
          <w:rFonts w:ascii="Times New Roman" w:cs="Times New Roman" w:eastAsia="Times New Roman" w:hAnsi="Times New Roman"/>
          <w:sz w:val="15"/>
          <w:szCs w:val="15"/>
          <w:i w:val="1"/>
          <w:iCs w:val="1"/>
          <w:color w:val="auto"/>
        </w:rPr>
        <w:t>Inflation</w:t>
      </w:r>
    </w:p>
    <w:p>
      <w:pPr>
        <w:jc w:val="both"/>
        <w:spacing w:after="0" w:line="228" w:lineRule="auto"/>
        <w:rPr>
          <w:sz w:val="20"/>
          <w:szCs w:val="20"/>
          <w:color w:val="auto"/>
        </w:rPr>
      </w:pPr>
      <w:r>
        <w:rPr>
          <w:rFonts w:ascii="Times New Roman" w:cs="Times New Roman" w:eastAsia="Times New Roman" w:hAnsi="Times New Roman"/>
          <w:sz w:val="15"/>
          <w:szCs w:val="15"/>
          <w:color w:val="auto"/>
        </w:rPr>
        <w:t>Global economic conditions have caused rising inflationary pressures on prices of components, materials, labor, and equipment used in the production of Polestar vehicles. Particularly, increases in battery prices due to the increased prices of lithium, cobalt, and nickel have started contributing to increased cost of goods sold and are expected to lead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higher costs of goods sold in the future.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will continue to closely monitor the effects of COVID-19, the Russo-Ukrainian War, the conflicts in Israel and the Gaza Strip, and inflation on its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Additional key factors impacting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continued growth depends on numerous factors and trends, including continued sales of the PS2 and new sales of the PS4 at anticipated volumes while production of the</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PS3 ramps-up. This includes the ramp-up of sales in the US market of these models, particularly the PS3, which is, in part, dependent on the successful ramp-up of production at the facility in Charleston, South Carolina operated by Volvo Cars. Polestar’s regional mix of sales, including higher sales in the US market, and its overall product mix, is important to maintain its gross margins. Ramping-up Polestar’s production at other facilities is also an important factor in the success of Polestar’s future vehicle production and delivery. In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addition to increasing vehicle volume, Polestar is focused on developing additional revenue streams, such as IP licensing, aftermarket revenue, component sales, and/or used car sales. If Polestar’s vehicle sales and additional revenue streams do not develop as anticipated, Polestar may not have the necessary cash flow to operate its business and repay outstanding indebtedness. Furthermore, Polestar’s gross margins are dependent upon Polestar’s current pricing structure, which is subject to a variety of factors, including certain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average selling price assumptions. If Polestar has higher than expected discounting or advertising and promotion costs, its future margins may suffer.</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Polestar’s gross margins are also dependent upon its ability to manage costs, including costs associated with raw materials and key components of production, and to implement cost savings initiatives. Polestar’s future financial performance also requires Polestar to accurately forecast demand for its vehicles. Inaccurate demand forecasts may lead to Polestar</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offering deeper discounts or experiencing greater than expected sales volumes of discounted vehicles. As a result of inaccurate forecasts, Polestar could also experience higher than expected production, operating expense, advertising, sales and promotion costs or may be unable to effectively charge such costs to customers in a targeted manner. This could result in vehicles being sold with fewer options and trim levels, higher than expected sales volumes of lower-priced variants, and/or failure of Polestar to meet its gross margin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profitability expectations.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conducts business under one operating segment with primary commercial operations in North America, Europe, Asia and various importer markets. While Europe and the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U.S. represent Polestar’s primary geographic markets, Polestar’s presence is continuing to expand in Asia. Refer to </w:t>
      </w:r>
      <w:r>
        <w:rPr>
          <w:rFonts w:ascii="Times New Roman" w:cs="Times New Roman" w:eastAsia="Times New Roman" w:hAnsi="Times New Roman"/>
          <w:sz w:val="15"/>
          <w:szCs w:val="15"/>
          <w:i w:val="1"/>
          <w:iCs w:val="1"/>
          <w:color w:val="auto"/>
        </w:rPr>
        <w:t>Note 2 - Significant accounting policies and judgements</w:t>
      </w:r>
      <w:r>
        <w:rPr>
          <w:rFonts w:ascii="Times New Roman" w:cs="Times New Roman" w:eastAsia="Times New Roman" w:hAnsi="Times New Roman"/>
          <w:sz w:val="15"/>
          <w:szCs w:val="15"/>
          <w:color w:val="auto"/>
        </w:rPr>
        <w:t xml:space="preserve"> in Polestar’s Consolidated Financial Statements for more information on the basis of presentation and segment reporting. The following paragraphs describe the key components of revenue, income, and expenses as presented in our Consolidated Statement of Loss.</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While preparing the financial statements for the year ended December 31, 2024, we identified material errors in our financial statements primarily relating to accounting for assets under construction related to the Company's unique tooling which required restatement. As a result, certain prior period amounts have been updated to reflect the correction of the material errors. A reclassification of cash flows between operating and investing activities and other smaller immaterial errors that have been identified will also be corrected as part</w:t>
      </w:r>
    </w:p>
    <w:p>
      <w:pPr>
        <w:spacing w:after="0"/>
        <w:rPr>
          <w:sz w:val="20"/>
          <w:szCs w:val="20"/>
          <w:color w:val="auto"/>
        </w:rPr>
      </w:pPr>
      <w:r>
        <w:rPr>
          <w:rFonts w:ascii="Times New Roman" w:cs="Times New Roman" w:eastAsia="Times New Roman" w:hAnsi="Times New Roman"/>
          <w:sz w:val="15"/>
          <w:szCs w:val="15"/>
          <w:color w:val="auto"/>
        </w:rPr>
        <w:t>of this restatement process.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During the year ended December 31, 2023, we identified immaterial errors in our financial statements primarily relating to (i) accounting for Inventories, including the accounting treatment of certain launch costs, capitalizable expenses into inventory and valuation adjustments for internal use cars, (ii) accounting for accruals and deferrals, (iii) capitalization of</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expenses, (iv) other errors relating to reclassifications between financial statement captions and (v) deferred taxes and income taxes. As a result, certain prior period amounts have been updated to reflect the correction of the immaterial errors.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Note 31 - Restatement of financial statements</w:t>
      </w:r>
      <w:r>
        <w:rPr>
          <w:rFonts w:ascii="Times New Roman" w:cs="Times New Roman" w:eastAsia="Times New Roman" w:hAnsi="Times New Roman"/>
          <w:sz w:val="15"/>
          <w:szCs w:val="15"/>
          <w:color w:val="auto"/>
        </w:rPr>
        <w:t xml:space="preserve"> to our audited consolidated financial statements included in Item 18 of this Report for additional details.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Key operational highlights</w:t>
            </w:r>
          </w:p>
        </w:tc>
        <w:tc>
          <w:tcPr>
            <w:tcW w:w="1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93"/>
        </w:trPr>
        <w:tc>
          <w:tcPr>
            <w:tcW w:w="7480" w:type="dxa"/>
            <w:vAlign w:val="bottom"/>
          </w:tcPr>
          <w:p>
            <w:pPr>
              <w:spacing w:after="0"/>
              <w:rPr>
                <w:sz w:val="8"/>
                <w:szCs w:val="8"/>
                <w:color w:val="auto"/>
              </w:rPr>
            </w:pPr>
          </w:p>
        </w:tc>
        <w:tc>
          <w:tcPr>
            <w:tcW w:w="2980" w:type="dxa"/>
            <w:vAlign w:val="bottom"/>
            <w:gridSpan w:val="2"/>
          </w:tcPr>
          <w:p>
            <w:pPr>
              <w:spacing w:after="0"/>
              <w:rPr>
                <w:sz w:val="8"/>
                <w:szCs w:val="8"/>
                <w:color w:val="auto"/>
              </w:rPr>
            </w:pPr>
          </w:p>
        </w:tc>
        <w:tc>
          <w:tcPr>
            <w:tcW w:w="780" w:type="dxa"/>
            <w:vAlign w:val="bottom"/>
          </w:tcPr>
          <w:p>
            <w:pPr>
              <w:spacing w:after="0"/>
              <w:rPr>
                <w:sz w:val="8"/>
                <w:szCs w:val="8"/>
                <w:color w:val="auto"/>
              </w:rPr>
            </w:pPr>
          </w:p>
        </w:tc>
      </w:tr>
      <w:tr>
        <w:trPr>
          <w:trHeight w:val="197"/>
        </w:trPr>
        <w:tc>
          <w:tcPr>
            <w:tcW w:w="7480" w:type="dxa"/>
            <w:vAlign w:val="bottom"/>
            <w:shd w:val="clear" w:color="auto" w:fill="DBDBDB"/>
          </w:tcPr>
          <w:p>
            <w:pPr>
              <w:spacing w:after="0"/>
              <w:rPr>
                <w:sz w:val="17"/>
                <w:szCs w:val="17"/>
                <w:color w:val="auto"/>
              </w:rPr>
            </w:pPr>
          </w:p>
        </w:tc>
        <w:tc>
          <w:tcPr>
            <w:tcW w:w="29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shd w:val="clear" w:color="auto" w:fill="DBDBDB"/>
          </w:tcPr>
          <w:p>
            <w:pPr>
              <w:spacing w:after="0"/>
              <w:rPr>
                <w:sz w:val="17"/>
                <w:szCs w:val="17"/>
                <w:color w:val="auto"/>
              </w:rPr>
            </w:pPr>
          </w:p>
        </w:tc>
      </w:tr>
      <w:tr>
        <w:trPr>
          <w:trHeight w:val="197"/>
        </w:trPr>
        <w:tc>
          <w:tcPr>
            <w:tcW w:w="74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Key metrics</w:t>
            </w:r>
          </w:p>
        </w:tc>
        <w:tc>
          <w:tcPr>
            <w:tcW w:w="14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2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480" w:type="dxa"/>
            <w:vAlign w:val="bottom"/>
            <w:shd w:val="clear" w:color="auto" w:fill="DBDBDB"/>
          </w:tcPr>
          <w:p>
            <w:pPr>
              <w:spacing w:after="0" w:line="188" w:lineRule="exact"/>
              <w:rPr>
                <w:sz w:val="20"/>
                <w:szCs w:val="20"/>
                <w:color w:val="auto"/>
              </w:rPr>
            </w:pPr>
            <w:r>
              <w:rPr>
                <w:rFonts w:ascii="Times New Roman" w:cs="Times New Roman" w:eastAsia="Times New Roman" w:hAnsi="Times New Roman"/>
                <w:sz w:val="15"/>
                <w:szCs w:val="15"/>
                <w:color w:val="auto"/>
              </w:rPr>
              <w:t xml:space="preserve">Global volumes </w:t>
            </w:r>
            <w:r>
              <w:rPr>
                <w:rFonts w:ascii="Times New Roman" w:cs="Times New Roman" w:eastAsia="Times New Roman" w:hAnsi="Times New Roman"/>
                <w:sz w:val="20"/>
                <w:szCs w:val="20"/>
                <w:color w:val="auto"/>
                <w:vertAlign w:val="superscript"/>
              </w:rPr>
              <w:t>1</w:t>
            </w:r>
          </w:p>
        </w:tc>
        <w:tc>
          <w:tcPr>
            <w:tcW w:w="146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54,626</w:t>
            </w:r>
          </w:p>
        </w:tc>
        <w:tc>
          <w:tcPr>
            <w:tcW w:w="1520" w:type="dxa"/>
            <w:vAlign w:val="bottom"/>
            <w:shd w:val="clear" w:color="auto" w:fill="DBDBDB"/>
          </w:tcPr>
          <w:p>
            <w:pPr>
              <w:jc w:val="right"/>
              <w:ind w:right="463"/>
              <w:spacing w:after="0"/>
              <w:rPr>
                <w:sz w:val="20"/>
                <w:szCs w:val="20"/>
                <w:color w:val="auto"/>
              </w:rPr>
            </w:pPr>
            <w:r>
              <w:rPr>
                <w:rFonts w:ascii="Times New Roman" w:cs="Times New Roman" w:eastAsia="Times New Roman" w:hAnsi="Times New Roman"/>
                <w:sz w:val="15"/>
                <w:szCs w:val="15"/>
                <w:color w:val="auto"/>
              </w:rPr>
              <w:t>51,549</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28,592</w:t>
            </w:r>
          </w:p>
        </w:tc>
      </w:tr>
      <w:tr>
        <w:trPr>
          <w:trHeight w:val="197"/>
        </w:trPr>
        <w:tc>
          <w:tcPr>
            <w:tcW w:w="7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Volume of external vehicles without repurchase obligations</w:t>
            </w: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49,809</w:t>
            </w:r>
          </w:p>
        </w:tc>
        <w:tc>
          <w:tcPr>
            <w:tcW w:w="1520" w:type="dxa"/>
            <w:vAlign w:val="bottom"/>
          </w:tcPr>
          <w:p>
            <w:pPr>
              <w:jc w:val="right"/>
              <w:ind w:right="463"/>
              <w:spacing w:after="0"/>
              <w:rPr>
                <w:sz w:val="20"/>
                <w:szCs w:val="20"/>
                <w:color w:val="auto"/>
              </w:rPr>
            </w:pPr>
            <w:r>
              <w:rPr>
                <w:rFonts w:ascii="Times New Roman" w:cs="Times New Roman" w:eastAsia="Times New Roman" w:hAnsi="Times New Roman"/>
                <w:sz w:val="15"/>
                <w:szCs w:val="15"/>
                <w:color w:val="auto"/>
              </w:rPr>
              <w:t>48,575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23,841</w:t>
            </w:r>
          </w:p>
        </w:tc>
      </w:tr>
      <w:tr>
        <w:trPr>
          <w:trHeight w:val="197"/>
        </w:trPr>
        <w:tc>
          <w:tcPr>
            <w:tcW w:w="74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Volume of external vehicles with repurchase obligations</w:t>
            </w:r>
          </w:p>
        </w:tc>
        <w:tc>
          <w:tcPr>
            <w:tcW w:w="146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2,859</w:t>
            </w:r>
          </w:p>
        </w:tc>
        <w:tc>
          <w:tcPr>
            <w:tcW w:w="1520" w:type="dxa"/>
            <w:vAlign w:val="bottom"/>
            <w:shd w:val="clear" w:color="auto" w:fill="DBDBDB"/>
          </w:tcPr>
          <w:p>
            <w:pPr>
              <w:jc w:val="right"/>
              <w:ind w:right="463"/>
              <w:spacing w:after="0"/>
              <w:rPr>
                <w:sz w:val="20"/>
                <w:szCs w:val="20"/>
                <w:color w:val="auto"/>
              </w:rPr>
            </w:pPr>
            <w:r>
              <w:rPr>
                <w:rFonts w:ascii="Times New Roman" w:cs="Times New Roman" w:eastAsia="Times New Roman" w:hAnsi="Times New Roman"/>
                <w:sz w:val="15"/>
                <w:szCs w:val="15"/>
                <w:color w:val="auto"/>
              </w:rPr>
              <w:t>1,344</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2,836</w:t>
            </w:r>
          </w:p>
        </w:tc>
      </w:tr>
      <w:tr>
        <w:trPr>
          <w:trHeight w:val="197"/>
        </w:trPr>
        <w:tc>
          <w:tcPr>
            <w:tcW w:w="7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Volume of internal vehicles</w:t>
            </w: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1,958</w:t>
            </w:r>
          </w:p>
        </w:tc>
        <w:tc>
          <w:tcPr>
            <w:tcW w:w="1520" w:type="dxa"/>
            <w:vAlign w:val="bottom"/>
          </w:tcPr>
          <w:p>
            <w:pPr>
              <w:jc w:val="right"/>
              <w:ind w:right="463"/>
              <w:spacing w:after="0"/>
              <w:rPr>
                <w:sz w:val="20"/>
                <w:szCs w:val="20"/>
                <w:color w:val="auto"/>
              </w:rPr>
            </w:pPr>
            <w:r>
              <w:rPr>
                <w:rFonts w:ascii="Times New Roman" w:cs="Times New Roman" w:eastAsia="Times New Roman" w:hAnsi="Times New Roman"/>
                <w:sz w:val="15"/>
                <w:szCs w:val="15"/>
                <w:color w:val="auto"/>
              </w:rPr>
              <w:t>1,630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1,915</w:t>
            </w:r>
          </w:p>
        </w:tc>
      </w:tr>
      <w:tr>
        <w:trPr>
          <w:trHeight w:val="220"/>
        </w:trPr>
        <w:tc>
          <w:tcPr>
            <w:tcW w:w="748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Pr>
          <w:p>
            <w:pPr>
              <w:spacing w:after="0"/>
              <w:rPr>
                <w:sz w:val="17"/>
                <w:szCs w:val="17"/>
                <w:color w:val="auto"/>
              </w:rPr>
            </w:pPr>
          </w:p>
        </w:tc>
      </w:tr>
      <w:tr>
        <w:trPr>
          <w:trHeight w:val="197"/>
        </w:trPr>
        <w:tc>
          <w:tcPr>
            <w:tcW w:w="82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680" w:type="dxa"/>
            <w:vAlign w:val="bottom"/>
            <w:shd w:val="clear" w:color="auto" w:fill="DBDBDB"/>
          </w:tcPr>
          <w:p>
            <w:pPr>
              <w:spacing w:after="0"/>
              <w:rPr>
                <w:sz w:val="17"/>
                <w:szCs w:val="17"/>
                <w:color w:val="auto"/>
              </w:rPr>
            </w:pPr>
          </w:p>
        </w:tc>
        <w:tc>
          <w:tcPr>
            <w:tcW w:w="1520" w:type="dxa"/>
            <w:vAlign w:val="bottom"/>
            <w:shd w:val="clear" w:color="auto" w:fill="DBDBDB"/>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80" w:type="dxa"/>
            <w:vAlign w:val="bottom"/>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480" w:type="dxa"/>
            <w:vAlign w:val="bottom"/>
          </w:tcPr>
          <w:p>
            <w:pPr>
              <w:spacing w:after="0" w:line="188" w:lineRule="exact"/>
              <w:rPr>
                <w:sz w:val="20"/>
                <w:szCs w:val="20"/>
                <w:color w:val="auto"/>
              </w:rPr>
            </w:pPr>
            <w:r>
              <w:rPr>
                <w:rFonts w:ascii="Times New Roman" w:cs="Times New Roman" w:eastAsia="Times New Roman" w:hAnsi="Times New Roman"/>
                <w:sz w:val="15"/>
                <w:szCs w:val="15"/>
                <w:color w:val="auto"/>
              </w:rPr>
              <w:t>Markets</w:t>
            </w:r>
            <w:r>
              <w:rPr>
                <w:rFonts w:ascii="Times New Roman" w:cs="Times New Roman" w:eastAsia="Times New Roman" w:hAnsi="Times New Roman"/>
                <w:sz w:val="20"/>
                <w:szCs w:val="20"/>
                <w:color w:val="auto"/>
                <w:vertAlign w:val="superscript"/>
              </w:rPr>
              <w:t>2</w:t>
            </w:r>
          </w:p>
        </w:tc>
        <w:tc>
          <w:tcPr>
            <w:tcW w:w="7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27</w:t>
            </w:r>
          </w:p>
        </w:tc>
        <w:tc>
          <w:tcPr>
            <w:tcW w:w="1520" w:type="dxa"/>
            <w:vAlign w:val="bottom"/>
            <w:tcBorders>
              <w:top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27</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7"/>
        </w:trPr>
        <w:tc>
          <w:tcPr>
            <w:tcW w:w="8260" w:type="dxa"/>
            <w:vAlign w:val="bottom"/>
            <w:gridSpan w:val="2"/>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Locations</w:t>
            </w:r>
            <w:r>
              <w:rPr>
                <w:rFonts w:ascii="Times New Roman" w:cs="Times New Roman" w:eastAsia="Times New Roman" w:hAnsi="Times New Roman"/>
                <w:sz w:val="20"/>
                <w:szCs w:val="20"/>
                <w:color w:val="auto"/>
                <w:vertAlign w:val="superscript"/>
              </w:rPr>
              <w:t>3</w:t>
            </w:r>
          </w:p>
        </w:tc>
        <w:tc>
          <w:tcPr>
            <w:tcW w:w="68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192</w:t>
            </w:r>
          </w:p>
        </w:tc>
        <w:tc>
          <w:tcPr>
            <w:tcW w:w="1520" w:type="dxa"/>
            <w:vAlign w:val="bottom"/>
            <w:shd w:val="clear" w:color="auto" w:fill="DBDBDB"/>
          </w:tcPr>
          <w:p>
            <w:pPr>
              <w:jc w:val="right"/>
              <w:ind w:right="463"/>
              <w:spacing w:after="0"/>
              <w:rPr>
                <w:sz w:val="20"/>
                <w:szCs w:val="20"/>
                <w:color w:val="auto"/>
              </w:rPr>
            </w:pPr>
            <w:r>
              <w:rPr>
                <w:rFonts w:ascii="Times New Roman" w:cs="Times New Roman" w:eastAsia="Times New Roman" w:hAnsi="Times New Roman"/>
                <w:sz w:val="15"/>
                <w:szCs w:val="15"/>
                <w:color w:val="auto"/>
              </w:rPr>
              <w:t>158</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12"/>
        </w:trPr>
        <w:tc>
          <w:tcPr>
            <w:tcW w:w="8260" w:type="dxa"/>
            <w:vAlign w:val="bottom"/>
            <w:gridSpan w:val="2"/>
          </w:tcPr>
          <w:p>
            <w:pPr>
              <w:spacing w:after="0" w:line="211" w:lineRule="exact"/>
              <w:rPr>
                <w:sz w:val="20"/>
                <w:szCs w:val="20"/>
                <w:color w:val="auto"/>
              </w:rPr>
            </w:pPr>
            <w:r>
              <w:rPr>
                <w:rFonts w:ascii="Times New Roman" w:cs="Times New Roman" w:eastAsia="Times New Roman" w:hAnsi="Times New Roman"/>
                <w:sz w:val="15"/>
                <w:szCs w:val="15"/>
                <w:color w:val="auto"/>
              </w:rPr>
              <w:t>Service Points</w:t>
            </w:r>
            <w:r>
              <w:rPr>
                <w:rFonts w:ascii="Times New Roman" w:cs="Times New Roman" w:eastAsia="Times New Roman" w:hAnsi="Times New Roman"/>
                <w:sz w:val="20"/>
                <w:szCs w:val="20"/>
                <w:color w:val="auto"/>
                <w:vertAlign w:val="superscript"/>
              </w:rPr>
              <w:t>4</w:t>
            </w: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1,149</w:t>
            </w:r>
          </w:p>
        </w:tc>
        <w:tc>
          <w:tcPr>
            <w:tcW w:w="1520" w:type="dxa"/>
            <w:vAlign w:val="bottom"/>
          </w:tcPr>
          <w:p>
            <w:pPr>
              <w:jc w:val="right"/>
              <w:ind w:right="463"/>
              <w:spacing w:after="0"/>
              <w:rPr>
                <w:sz w:val="20"/>
                <w:szCs w:val="20"/>
                <w:color w:val="auto"/>
              </w:rPr>
            </w:pPr>
            <w:r>
              <w:rPr>
                <w:rFonts w:ascii="Times New Roman" w:cs="Times New Roman" w:eastAsia="Times New Roman" w:hAnsi="Times New Roman"/>
                <w:sz w:val="15"/>
                <w:szCs w:val="15"/>
                <w:color w:val="auto"/>
              </w:rPr>
              <w:t>1,116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811</w:t>
            </w:r>
          </w:p>
        </w:tc>
      </w:tr>
    </w:tbl>
    <w:p>
      <w:pPr>
        <w:jc w:val="both"/>
        <w:ind w:right="20"/>
        <w:spacing w:after="0" w:line="221" w:lineRule="auto"/>
        <w:rPr>
          <w:sz w:val="20"/>
          <w:szCs w:val="20"/>
          <w:color w:val="auto"/>
        </w:rPr>
      </w:pPr>
      <w:r>
        <w:rPr>
          <w:rFonts w:ascii="Times New Roman" w:cs="Times New Roman" w:eastAsia="Times New Roman" w:hAnsi="Times New Roman"/>
          <w:sz w:val="10"/>
          <w:szCs w:val="10"/>
          <w:color w:val="auto"/>
        </w:rPr>
        <w:t>1 -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Inventories). A vehicle is deemed delivered and included in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0"/>
          <w:szCs w:val="10"/>
          <w:color w:val="auto"/>
        </w:rPr>
        <w:t xml:space="preserve">volume figure for each category once invoiced and registered to the external or internal counterparty, irrespective of revenue recognition. Revenue is recognized in scenarios (a) and (b) in accordance with IFRS 15, </w:t>
      </w:r>
      <w:r>
        <w:rPr>
          <w:rFonts w:ascii="Times New Roman" w:cs="Times New Roman" w:eastAsia="Times New Roman" w:hAnsi="Times New Roman"/>
          <w:sz w:val="10"/>
          <w:szCs w:val="10"/>
          <w:i w:val="1"/>
          <w:iCs w:val="1"/>
          <w:color w:val="auto"/>
        </w:rPr>
        <w:t>Revenue from Contracts with Customers</w:t>
      </w:r>
      <w:r>
        <w:rPr>
          <w:rFonts w:ascii="Times New Roman" w:cs="Times New Roman" w:eastAsia="Times New Roman" w:hAnsi="Times New Roman"/>
          <w:sz w:val="10"/>
          <w:szCs w:val="10"/>
          <w:color w:val="auto"/>
        </w:rPr>
        <w:t xml:space="preserve"> ("IFRS 15"), and IFRS 16, </w:t>
      </w:r>
      <w:r>
        <w:rPr>
          <w:rFonts w:ascii="Times New Roman" w:cs="Times New Roman" w:eastAsia="Times New Roman" w:hAnsi="Times New Roman"/>
          <w:sz w:val="10"/>
          <w:szCs w:val="10"/>
          <w:i w:val="1"/>
          <w:iCs w:val="1"/>
          <w:color w:val="auto"/>
        </w:rPr>
        <w:t>Leases</w:t>
      </w:r>
      <w:r>
        <w:rPr>
          <w:rFonts w:ascii="Times New Roman" w:cs="Times New Roman" w:eastAsia="Times New Roman" w:hAnsi="Times New Roman"/>
          <w:sz w:val="10"/>
          <w:szCs w:val="10"/>
          <w:color w:val="auto"/>
        </w:rPr>
        <w:t xml:space="preserve"> ("IFRS 16")</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0"/>
          <w:szCs w:val="10"/>
          <w:color w:val="auto"/>
        </w:rPr>
        <w:t xml:space="preserve"> respectively. Revenue is not recognized in scenario (c).</w:t>
      </w:r>
    </w:p>
    <w:p>
      <w:pPr>
        <w:spacing w:after="0" w:line="195" w:lineRule="auto"/>
        <w:rPr>
          <w:sz w:val="20"/>
          <w:szCs w:val="20"/>
          <w:color w:val="auto"/>
        </w:rPr>
      </w:pPr>
      <w:r>
        <w:rPr>
          <w:rFonts w:ascii="Times New Roman" w:cs="Times New Roman" w:eastAsia="Times New Roman" w:hAnsi="Times New Roman"/>
          <w:sz w:val="10"/>
          <w:szCs w:val="10"/>
          <w:color w:val="auto"/>
        </w:rPr>
        <w:t>2 - Represents the markets in which Polestar operates.</w:t>
      </w:r>
    </w:p>
    <w:p>
      <w:pPr>
        <w:spacing w:after="0" w:line="217" w:lineRule="auto"/>
        <w:rPr>
          <w:sz w:val="20"/>
          <w:szCs w:val="20"/>
          <w:color w:val="auto"/>
        </w:rPr>
      </w:pPr>
      <w:r>
        <w:rPr>
          <w:rFonts w:ascii="Times New Roman" w:cs="Times New Roman" w:eastAsia="Times New Roman" w:hAnsi="Times New Roman"/>
          <w:sz w:val="10"/>
          <w:szCs w:val="10"/>
          <w:color w:val="auto"/>
        </w:rPr>
        <w:t>3 - Represents Polestar Spaces, Polestar Destinations, and Polestar Test Drive Centers.</w:t>
      </w:r>
    </w:p>
    <w:p>
      <w:pPr>
        <w:spacing w:after="0"/>
        <w:rPr>
          <w:sz w:val="20"/>
          <w:szCs w:val="20"/>
          <w:color w:val="auto"/>
        </w:rPr>
      </w:pPr>
      <w:r>
        <w:rPr>
          <w:rFonts w:ascii="Times New Roman" w:cs="Times New Roman" w:eastAsia="Times New Roman" w:hAnsi="Times New Roman"/>
          <w:sz w:val="10"/>
          <w:szCs w:val="10"/>
          <w:color w:val="auto"/>
        </w:rPr>
        <w:t>4 - Represents Volvo Cars service centers which provide customers access to service points worldwide in support of Polestar’s international expansion.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from sales of the PS2. Polestar’s main customers for electric vehicles consist of private individuals, fleet customers, dealers, importers, and financial service providers. Vehicles are sold to our related parties Volvo Cars</w:t>
      </w:r>
    </w:p>
    <w:p>
      <w:pPr>
        <w:jc w:val="both"/>
        <w:spacing w:after="0" w:line="214" w:lineRule="auto"/>
        <w:rPr>
          <w:sz w:val="20"/>
          <w:szCs w:val="20"/>
          <w:color w:val="auto"/>
        </w:rPr>
      </w:pPr>
      <w:r>
        <w:rPr>
          <w:rFonts w:ascii="Times New Roman" w:cs="Times New Roman" w:eastAsia="Times New Roman" w:hAnsi="Times New Roman"/>
          <w:sz w:val="15"/>
          <w:szCs w:val="15"/>
          <w:color w:val="auto"/>
        </w:rPr>
        <w:t>and Volvo Finans Bank AB.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or related parties. Vehicle leasing revenue is derived from Polestar's operating lease arrangements. Other revenue is derived from sales of automotive research and development services and intellectual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property licensed to Volvo Cars enabling Volvo Cars to source and sell Polestar parts and accessories.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Cost of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sales primarily consists of contract manufacturing costs associated with the production of the PS2 and PS4 which is outsourced to Volvo Cars (previously outsourced to</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Geely) and Geely, respectively. Cost of sales includes depreciation related to Property, plant and equipment ("PPE") and right-of-use (“ROU”) assets, amortization of intangible assets related to manufacturing engineering, warehousing and transportation costs for inventory, customs duties, other manufacturing and overhead. Costs of sales for the year ended December 31, 2021 also includes costs related to direct parts and materials, direct labor, and manufacturing overhead for the PS1, which was manufactured at Polestar’s former</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facility in Chengdu, China. Additionally, as of the fourth quarter of the year ended December 31, 2023, Cost of sales includes the amortization of intellectual property previously used in the PS1 and currently used in the PS2; the intellectual property is capitalized into inventory and then released into Cost of sales when the inventory is sold. Cost of sales also includes the impairment of inventory and the impairment charge for PS2 related PPE, Intangible assets, and Vehicles under operating leases which were impaired.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Selling, general, and administrative expenses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accounting services, as well as expenses for facilities, general software costs and licenses, depreciation, amortization, and travel. Personnel-related expenses consist of salaries, benefits, social security contributions, and incentive programs.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 expenses</w:t>
      </w:r>
    </w:p>
    <w:p>
      <w:pPr>
        <w:spacing w:after="0" w:line="8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5"/>
          <w:szCs w:val="15"/>
          <w:color w:val="auto"/>
        </w:rPr>
        <w:t>Research and development expenses consist of personnel expenses for Polestar’s internal engineering, research, and development functions, amortization of intangible assets related to intellectual property which will be used in future vehicle models, internal development programs, and expenses for direct materials and facilities used by research and development personnel. Until the fourth quarter of 2023, Research and development expenses also included amortization of intellectual property that was considered foundational and previously used in the PS1, currently used in the PS2 and other model vehicles, and expected to be used in future vehicles. However, in the fourth quarter of 2023, there was a change in the way</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this intellectual property was used and the related amortization was instead capitalized into inventory. The cost is released into Cost of sales when the inventory is sold.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that is expected to provide future economic benefit to Polestar.</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 internal research and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operating income and expense</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Other operating income consists of exchange rate differences on operating activities, income generated through the sale of carbon credits, and other income driven by non-revenue generating activities. Other operating expense primarily consists of exchange rate differences on operating activities, non-income tax expense, and other expenses due to activities</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which are not part of Polestar's ordinary course of operations. For the year ended December 31, 2023, other operating expenses related mainly to Polestar providing services to its associate.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Finance income and expense</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Finance income consists of interest income on bank deposits and net foreign exchange rate gains on financial activities. Finance expense is comprised of interest expenses associated with Polestar’s short and long-term financing facilities, including amounts owed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960"/>
        <w:spacing w:after="0" w:line="410" w:lineRule="auto"/>
        <w:rPr>
          <w:sz w:val="20"/>
          <w:szCs w:val="20"/>
          <w:color w:val="auto"/>
        </w:rPr>
      </w:pPr>
      <w:r>
        <w:rPr>
          <w:rFonts w:ascii="Times New Roman" w:cs="Times New Roman" w:eastAsia="Times New Roman" w:hAnsi="Times New Roman"/>
          <w:sz w:val="15"/>
          <w:szCs w:val="15"/>
          <w:color w:val="auto"/>
        </w:rPr>
        <w:t xml:space="preserve">to related parties, net foreign exchange rate losses on financial activities, interest expenses associated with lease liabilities, and credit facility expenses. </w:t>
      </w:r>
      <w:r>
        <w:rPr>
          <w:rFonts w:ascii="Times New Roman" w:cs="Times New Roman" w:eastAsia="Times New Roman" w:hAnsi="Times New Roman"/>
          <w:sz w:val="15"/>
          <w:szCs w:val="15"/>
          <w:b w:val="1"/>
          <w:bCs w:val="1"/>
          <w:color w:val="auto"/>
        </w:rPr>
        <w:t>Fair value change - Earn-out rights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Fair value change in earn-out rights consists of changes in fair value to the contingent right to receive earn-outs of Class A and B Shares that were issued to the Former Parent upon the completion of the Business Combination. The value of the Earn-out liability changes with the Polestar share price and other macroeconomic conditions, creating a fair value gain or loss.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change - Class C shares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Fair value change in Class C Shares consists of changes in fair value to the Class C-1 Shares and Class C-2 Shares that were issued to the Former Parent upon the completion of the Business Combination.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 of losses in associates</w:t>
      </w:r>
    </w:p>
    <w:p>
      <w:pPr>
        <w:spacing w:after="0" w:line="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Share of losses in associates consists of Polestar's proportionate share of it's associate's net income (loss), limited to the carrying value of Polestar's investment in its associates. The carrying value of Polestar's investment in associate will be adjusted equally to Polestar's share of income (loss), not to be adjusted below zero.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 benefit (expenses)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Income tax benefit (expenses) consist of current and deferred income tax benefit (expenses). Current Income tax benefit (expenses) primarily represent income taxes generated on income sourced in multiple foreign jurisdictions. Deferred Income tax benefit (expenses) represent differences generated between book carrying values and the corresponding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basis for assets or liabilities, multiplied by the applicable jurisdiction's income tax 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Comparison of the years ended December 31, 2023, 2022 and 2021</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 xml:space="preserve">The following table summarizes Polestar’s historic Consolidated Statement of Loss for the years ended December 31, 2023, 2022 and 2021. All figures presented in the table below are in thousands of U.S. dollars unless otherwise stated. Additionally, certain figures have been restated. Refer to </w:t>
      </w:r>
      <w:r>
        <w:rPr>
          <w:rFonts w:ascii="Times New Roman" w:cs="Times New Roman" w:eastAsia="Times New Roman" w:hAnsi="Times New Roman"/>
          <w:sz w:val="15"/>
          <w:szCs w:val="15"/>
          <w:i w:val="1"/>
          <w:iCs w:val="1"/>
          <w:color w:val="auto"/>
        </w:rPr>
        <w:t>Note 31 - Restatement of financial statements</w:t>
      </w:r>
      <w:r>
        <w:rPr>
          <w:rFonts w:ascii="Times New Roman" w:cs="Times New Roman" w:eastAsia="Times New Roman" w:hAnsi="Times New Roman"/>
          <w:sz w:val="15"/>
          <w:szCs w:val="15"/>
          <w:color w:val="auto"/>
        </w:rPr>
        <w:t xml:space="preserve"> for details.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3240" w:type="dxa"/>
            <w:vAlign w:val="bottom"/>
            <w:gridSpan w:val="5"/>
            <w:vMerge w:val="restart"/>
            <w:shd w:val="clear" w:color="auto" w:fill="DBDBDB"/>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4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2022 vs 2021</w:t>
            </w:r>
          </w:p>
        </w:tc>
        <w:tc>
          <w:tcPr>
            <w:tcW w:w="5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3240" w:type="dxa"/>
            <w:vAlign w:val="bottom"/>
            <w:tcBorders>
              <w:bottom w:val="single" w:sz="8" w:color="auto"/>
            </w:tcBorders>
            <w:gridSpan w:val="5"/>
            <w:vMerge w:val="continue"/>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Variance</w:t>
            </w:r>
          </w:p>
        </w:tc>
        <w:tc>
          <w:tcPr>
            <w:tcW w:w="4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Variance</w:t>
            </w:r>
          </w:p>
        </w:tc>
        <w:tc>
          <w:tcPr>
            <w:tcW w:w="52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Revenue</w:t>
            </w: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2,368,085</w:t>
            </w:r>
          </w:p>
        </w:tc>
        <w:tc>
          <w:tcPr>
            <w:tcW w:w="24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2,440,818</w:t>
            </w: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1,343,625</w:t>
            </w:r>
          </w:p>
        </w:tc>
        <w:tc>
          <w:tcPr>
            <w:tcW w:w="32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(72,733)</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6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1,097,193</w:t>
            </w:r>
          </w:p>
        </w:tc>
        <w:tc>
          <w:tcPr>
            <w:tcW w:w="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97"/>
        </w:trPr>
        <w:tc>
          <w:tcPr>
            <w:tcW w:w="39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Cost of sales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(2,778,222)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(2,339,696)</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(1,332,569)</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(438,526)</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(1,007,127)</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188"/>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(410,137)</w:t>
            </w:r>
          </w:p>
        </w:tc>
        <w:tc>
          <w:tcPr>
            <w:tcW w:w="24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101,122</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11,056</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(511,259)</w:t>
            </w: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(506)</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90,066</w:t>
            </w:r>
          </w:p>
        </w:tc>
        <w:tc>
          <w:tcPr>
            <w:tcW w:w="5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815</w:t>
            </w:r>
          </w:p>
        </w:tc>
        <w:tc>
          <w:tcPr>
            <w:tcW w:w="0" w:type="dxa"/>
            <w:vAlign w:val="bottom"/>
          </w:tcPr>
          <w:p>
            <w:pPr>
              <w:spacing w:after="0"/>
              <w:rPr>
                <w:sz w:val="1"/>
                <w:szCs w:val="1"/>
                <w:color w:val="auto"/>
              </w:rPr>
            </w:pPr>
          </w:p>
        </w:tc>
      </w:tr>
      <w:tr>
        <w:trPr>
          <w:trHeight w:val="188"/>
        </w:trPr>
        <w:tc>
          <w:tcPr>
            <w:tcW w:w="3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(944,177)</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(840,151)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(686,957)</w:t>
            </w:r>
          </w:p>
        </w:tc>
        <w:tc>
          <w:tcPr>
            <w:tcW w:w="320" w:type="dxa"/>
            <w:vAlign w:val="bottom"/>
          </w:tcPr>
          <w:p>
            <w:pPr>
              <w:spacing w:after="0"/>
              <w:rPr>
                <w:sz w:val="16"/>
                <w:szCs w:val="16"/>
                <w:color w:val="auto"/>
              </w:rPr>
            </w:pPr>
          </w:p>
        </w:tc>
        <w:tc>
          <w:tcPr>
            <w:tcW w:w="112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(104,026)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60" w:type="dxa"/>
            <w:vAlign w:val="bottom"/>
          </w:tcPr>
          <w:p>
            <w:pPr>
              <w:spacing w:after="0"/>
              <w:rPr>
                <w:sz w:val="16"/>
                <w:szCs w:val="16"/>
                <w:color w:val="auto"/>
              </w:rPr>
            </w:pPr>
          </w:p>
        </w:tc>
        <w:tc>
          <w:tcPr>
            <w:tcW w:w="11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(153,194)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97"/>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(157,280)</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(174,916)</w:t>
            </w: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(234,019)</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17,636</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59,103</w:t>
            </w:r>
          </w:p>
        </w:tc>
        <w:tc>
          <w:tcPr>
            <w:tcW w:w="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7"/>
        </w:trPr>
        <w:tc>
          <w:tcPr>
            <w:tcW w:w="3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operating income and expenses,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42,080</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(50,716)</w:t>
            </w:r>
          </w:p>
        </w:tc>
        <w:tc>
          <w:tcPr>
            <w:tcW w:w="320" w:type="dxa"/>
            <w:vAlign w:val="bottom"/>
          </w:tcPr>
          <w:p>
            <w:pPr>
              <w:spacing w:after="0"/>
              <w:rPr>
                <w:sz w:val="17"/>
                <w:szCs w:val="17"/>
                <w:color w:val="auto"/>
              </w:rPr>
            </w:pPr>
          </w:p>
        </w:tc>
        <w:tc>
          <w:tcPr>
            <w:tcW w:w="112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42,385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13,897</w:t>
            </w:r>
          </w:p>
        </w:tc>
        <w:tc>
          <w:tcPr>
            <w:tcW w:w="260" w:type="dxa"/>
            <w:vAlign w:val="bottom"/>
          </w:tcPr>
          <w:p>
            <w:pPr>
              <w:spacing w:after="0"/>
              <w:rPr>
                <w:sz w:val="17"/>
                <w:szCs w:val="17"/>
                <w:color w:val="auto"/>
              </w:rPr>
            </w:pPr>
          </w:p>
        </w:tc>
        <w:tc>
          <w:tcPr>
            <w:tcW w:w="11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50,411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197"/>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Listing expense</w:t>
            </w: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26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color w:val="auto"/>
              </w:rPr>
              <w:t>372,318</w:t>
            </w: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5"/>
                <w:szCs w:val="15"/>
                <w:color w:val="auto"/>
              </w:rPr>
              <w:t>(372,318)</w:t>
            </w:r>
          </w:p>
        </w:tc>
        <w:tc>
          <w:tcPr>
            <w:tcW w:w="5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(1,469,514)</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(1,286,568)</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(960,636)</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(182,946)</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(325,932)</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c>
          <w:tcPr>
            <w:tcW w:w="0" w:type="dxa"/>
            <w:vAlign w:val="bottom"/>
          </w:tcPr>
          <w:p>
            <w:pPr>
              <w:spacing w:after="0"/>
              <w:rPr>
                <w:sz w:val="1"/>
                <w:szCs w:val="1"/>
                <w:color w:val="auto"/>
              </w:rPr>
            </w:pPr>
          </w:p>
        </w:tc>
      </w:tr>
      <w:tr>
        <w:trPr>
          <w:trHeight w:val="188"/>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Finance income</w:t>
            </w: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69,565</w:t>
            </w:r>
          </w:p>
        </w:tc>
        <w:tc>
          <w:tcPr>
            <w:tcW w:w="24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32,970</w:t>
            </w:r>
          </w:p>
        </w:tc>
        <w:tc>
          <w:tcPr>
            <w:tcW w:w="32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61,013</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26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(24,418)</w:t>
            </w:r>
          </w:p>
        </w:tc>
        <w:tc>
          <w:tcPr>
            <w:tcW w:w="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97"/>
        </w:trPr>
        <w:tc>
          <w:tcPr>
            <w:tcW w:w="3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Finance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(213,242)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(108,402)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(45,218)</w:t>
            </w:r>
          </w:p>
        </w:tc>
        <w:tc>
          <w:tcPr>
            <w:tcW w:w="320" w:type="dxa"/>
            <w:vAlign w:val="bottom"/>
          </w:tcPr>
          <w:p>
            <w:pPr>
              <w:spacing w:after="0"/>
              <w:rPr>
                <w:sz w:val="17"/>
                <w:szCs w:val="17"/>
                <w:color w:val="auto"/>
              </w:rPr>
            </w:pPr>
          </w:p>
        </w:tc>
        <w:tc>
          <w:tcPr>
            <w:tcW w:w="112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(104,840)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260" w:type="dxa"/>
            <w:vAlign w:val="bottom"/>
          </w:tcPr>
          <w:p>
            <w:pPr>
              <w:spacing w:after="0"/>
              <w:rPr>
                <w:sz w:val="17"/>
                <w:szCs w:val="17"/>
                <w:color w:val="auto"/>
              </w:rPr>
            </w:pPr>
          </w:p>
        </w:tc>
        <w:tc>
          <w:tcPr>
            <w:tcW w:w="11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(63,184)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197"/>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443,168</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(458,900)</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902,068</w:t>
            </w:r>
          </w:p>
        </w:tc>
        <w:tc>
          <w:tcPr>
            <w:tcW w:w="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97"/>
        </w:trPr>
        <w:tc>
          <w:tcPr>
            <w:tcW w:w="39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22,000</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(13,090)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35,090</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8"/>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Share of losses in associates</w:t>
            </w: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(43,304)</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(43,304)</w:t>
            </w: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(1,191,327)</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(449,260)</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(972,884)</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(742,067)</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523,624</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0" w:type="dxa"/>
            <w:vAlign w:val="bottom"/>
          </w:tcPr>
          <w:p>
            <w:pPr>
              <w:spacing w:after="0"/>
              <w:rPr>
                <w:sz w:val="1"/>
                <w:szCs w:val="1"/>
                <w:color w:val="auto"/>
              </w:rPr>
            </w:pPr>
          </w:p>
        </w:tc>
      </w:tr>
      <w:tr>
        <w:trPr>
          <w:trHeight w:val="188"/>
        </w:trPr>
        <w:tc>
          <w:tcPr>
            <w:tcW w:w="39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9,452</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(29,757)</w:t>
            </w: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3,076</w:t>
            </w:r>
          </w:p>
        </w:tc>
        <w:tc>
          <w:tcPr>
            <w:tcW w:w="32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39,209</w:t>
            </w:r>
          </w:p>
        </w:tc>
        <w:tc>
          <w:tcPr>
            <w:tcW w:w="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26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(32,833)</w:t>
            </w:r>
          </w:p>
        </w:tc>
        <w:tc>
          <w:tcPr>
            <w:tcW w:w="5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0" w:type="dxa"/>
            <w:vAlign w:val="bottom"/>
          </w:tcPr>
          <w:p>
            <w:pPr>
              <w:spacing w:after="0"/>
              <w:rPr>
                <w:sz w:val="1"/>
                <w:szCs w:val="1"/>
                <w:color w:val="auto"/>
              </w:rPr>
            </w:pPr>
          </w:p>
        </w:tc>
      </w:tr>
      <w:tr>
        <w:trPr>
          <w:trHeight w:val="188"/>
        </w:trPr>
        <w:tc>
          <w:tcPr>
            <w:tcW w:w="390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(969,808)</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(702,858)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147</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490,791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Polestar’s Revenue for the year ended December 31, 2023 were $2,368.1 million, a decrease of $72.7 million, or 3% compared to $2,440.8 million for the year ended December 31, 2022. Revenue from related parties for the year ended December 31, 2023 were $138.7 million, an increase of $5.7 million, or 4% compared to $132.9 million for the year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2022</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Polestar’s Revenue for the year ended December 31, 2022 were $2,440.8 million, an increase of $1,097.2 million, or 82% compared to $1,343.6 million for the year ended December 31, 2021. Revenue from related parties for the year ended December 31, 2022 were $132.9 million, a decrease of $2.1 million, or 2% compared to $135.0 million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year ended December 31, 2021.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changes in the components of Revenue and related changes between annual periods. All figures presented in the table below are in thousands of U.S.</w:t>
      </w:r>
    </w:p>
    <w:p>
      <w:pPr>
        <w:spacing w:after="0"/>
        <w:rPr>
          <w:sz w:val="20"/>
          <w:szCs w:val="20"/>
          <w:color w:val="auto"/>
        </w:rPr>
      </w:pPr>
      <w:r>
        <w:rPr>
          <w:rFonts w:ascii="Times New Roman" w:cs="Times New Roman" w:eastAsia="Times New Roman" w:hAnsi="Times New Roman"/>
          <w:sz w:val="15"/>
          <w:szCs w:val="15"/>
          <w:color w:val="auto"/>
        </w:rPr>
        <w:t xml:space="preserve">dollars unless otherwise stated. Additionally, certain figures have been restated. Refer to </w:t>
      </w:r>
      <w:r>
        <w:rPr>
          <w:rFonts w:ascii="Times New Roman" w:cs="Times New Roman" w:eastAsia="Times New Roman" w:hAnsi="Times New Roman"/>
          <w:sz w:val="15"/>
          <w:szCs w:val="15"/>
          <w:i w:val="1"/>
          <w:iCs w:val="1"/>
          <w:color w:val="auto"/>
        </w:rPr>
        <w:t>Note 31 - Restatement of financial statements</w:t>
      </w:r>
      <w:r>
        <w:rPr>
          <w:rFonts w:ascii="Times New Roman" w:cs="Times New Roman" w:eastAsia="Times New Roman" w:hAnsi="Times New Roman"/>
          <w:sz w:val="15"/>
          <w:szCs w:val="15"/>
          <w:color w:val="auto"/>
        </w:rPr>
        <w:t xml:space="preserve"> for details.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4" w:name="page35"/>
    <w:bookmarkEnd w:id="34"/>
    <w:p>
      <w:pPr>
        <w:jc w:val="center"/>
        <w:ind w:righ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40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3420" w:type="dxa"/>
            <w:vAlign w:val="bottom"/>
            <w:gridSpan w:val="5"/>
            <w:vMerge w:val="restart"/>
            <w:shd w:val="clear" w:color="auto" w:fill="DBDBDB"/>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shd w:val="clear" w:color="auto" w:fill="DBDBDB"/>
          </w:tcPr>
          <w:p>
            <w:pPr>
              <w:spacing w:after="0"/>
              <w:rPr>
                <w:sz w:val="15"/>
                <w:szCs w:val="15"/>
                <w:color w:val="auto"/>
              </w:rPr>
            </w:pPr>
          </w:p>
        </w:tc>
        <w:tc>
          <w:tcPr>
            <w:tcW w:w="1080" w:type="dxa"/>
            <w:vAlign w:val="bottom"/>
            <w:shd w:val="clear" w:color="auto" w:fill="DBDBDB"/>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3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2022 vs 2021</w:t>
            </w:r>
          </w:p>
        </w:tc>
        <w:tc>
          <w:tcPr>
            <w:tcW w:w="4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3420" w:type="dxa"/>
            <w:vAlign w:val="bottom"/>
            <w:tcBorders>
              <w:bottom w:val="single" w:sz="8" w:color="auto"/>
            </w:tcBorders>
            <w:gridSpan w:val="5"/>
            <w:vMerge w:val="continue"/>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w w:val="99"/>
              </w:rPr>
              <w:t>Variance</w:t>
            </w:r>
          </w:p>
        </w:tc>
        <w:tc>
          <w:tcPr>
            <w:tcW w:w="38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ind w:left="300"/>
              <w:spacing w:after="0"/>
              <w:rPr>
                <w:sz w:val="20"/>
                <w:szCs w:val="20"/>
                <w:color w:val="auto"/>
              </w:rPr>
            </w:pPr>
            <w:r>
              <w:rPr>
                <w:rFonts w:ascii="Times New Roman" w:cs="Times New Roman" w:eastAsia="Times New Roman" w:hAnsi="Times New Roman"/>
                <w:sz w:val="15"/>
                <w:szCs w:val="15"/>
                <w:b w:val="1"/>
                <w:bCs w:val="1"/>
                <w:color w:val="auto"/>
              </w:rPr>
              <w:t>Variance</w:t>
            </w:r>
          </w:p>
        </w:tc>
        <w:tc>
          <w:tcPr>
            <w:tcW w:w="40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7"/>
        </w:trPr>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3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Sales of vehicles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2,313,124</w:t>
            </w:r>
          </w:p>
        </w:tc>
        <w:tc>
          <w:tcPr>
            <w:tcW w:w="32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2,386,685</w:t>
            </w:r>
          </w:p>
        </w:tc>
        <w:tc>
          <w:tcPr>
            <w:tcW w:w="3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1,298,918</w:t>
            </w:r>
          </w:p>
        </w:tc>
        <w:tc>
          <w:tcPr>
            <w:tcW w:w="320" w:type="dxa"/>
            <w:vAlign w:val="bottom"/>
          </w:tcPr>
          <w:p>
            <w:pPr>
              <w:spacing w:after="0"/>
              <w:rPr>
                <w:sz w:val="17"/>
                <w:szCs w:val="17"/>
                <w:color w:val="auto"/>
              </w:rPr>
            </w:pPr>
          </w:p>
        </w:tc>
        <w:tc>
          <w:tcPr>
            <w:tcW w:w="108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(73,561)</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80" w:type="dxa"/>
            <w:vAlign w:val="bottom"/>
          </w:tcPr>
          <w:p>
            <w:pPr>
              <w:spacing w:after="0"/>
              <w:rPr>
                <w:sz w:val="17"/>
                <w:szCs w:val="17"/>
                <w:color w:val="auto"/>
              </w:rPr>
            </w:pPr>
          </w:p>
        </w:tc>
        <w:tc>
          <w:tcPr>
            <w:tcW w:w="108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1,087,767</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97"/>
        </w:trPr>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Sales of software and performance engineered kits</w:t>
            </w:r>
          </w:p>
        </w:tc>
        <w:tc>
          <w:tcPr>
            <w:tcW w:w="30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18,994</w:t>
            </w:r>
          </w:p>
        </w:tc>
        <w:tc>
          <w:tcPr>
            <w:tcW w:w="32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21,308</w:t>
            </w:r>
          </w:p>
        </w:tc>
        <w:tc>
          <w:tcPr>
            <w:tcW w:w="3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25,881</w:t>
            </w: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(2,314)</w:t>
            </w:r>
          </w:p>
        </w:tc>
        <w:tc>
          <w:tcPr>
            <w:tcW w:w="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(4,573)</w:t>
            </w:r>
          </w:p>
        </w:tc>
        <w:tc>
          <w:tcPr>
            <w:tcW w:w="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7"/>
        </w:trPr>
        <w:tc>
          <w:tcPr>
            <w:tcW w:w="4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Sales of carbon credits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1,452</w:t>
            </w:r>
          </w:p>
        </w:tc>
        <w:tc>
          <w:tcPr>
            <w:tcW w:w="32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10,984</w:t>
            </w:r>
          </w:p>
        </w:tc>
        <w:tc>
          <w:tcPr>
            <w:tcW w:w="3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6,299</w:t>
            </w:r>
          </w:p>
        </w:tc>
        <w:tc>
          <w:tcPr>
            <w:tcW w:w="320" w:type="dxa"/>
            <w:vAlign w:val="bottom"/>
          </w:tcPr>
          <w:p>
            <w:pPr>
              <w:spacing w:after="0"/>
              <w:rPr>
                <w:sz w:val="17"/>
                <w:szCs w:val="17"/>
                <w:color w:val="auto"/>
              </w:rPr>
            </w:pPr>
          </w:p>
        </w:tc>
        <w:tc>
          <w:tcPr>
            <w:tcW w:w="108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(9,532)</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80" w:type="dxa"/>
            <w:vAlign w:val="bottom"/>
          </w:tcPr>
          <w:p>
            <w:pPr>
              <w:spacing w:after="0"/>
              <w:rPr>
                <w:sz w:val="17"/>
                <w:szCs w:val="17"/>
                <w:color w:val="auto"/>
              </w:rPr>
            </w:pPr>
          </w:p>
        </w:tc>
        <w:tc>
          <w:tcPr>
            <w:tcW w:w="108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4,685</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97"/>
        </w:trPr>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Vehicle leasing revenue</w:t>
            </w:r>
          </w:p>
        </w:tc>
        <w:tc>
          <w:tcPr>
            <w:tcW w:w="30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17,421</w:t>
            </w:r>
          </w:p>
        </w:tc>
        <w:tc>
          <w:tcPr>
            <w:tcW w:w="32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16,719</w:t>
            </w:r>
          </w:p>
        </w:tc>
        <w:tc>
          <w:tcPr>
            <w:tcW w:w="32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6,217</w:t>
            </w: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702</w:t>
            </w:r>
          </w:p>
        </w:tc>
        <w:tc>
          <w:tcPr>
            <w:tcW w:w="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10,502</w:t>
            </w:r>
          </w:p>
        </w:tc>
        <w:tc>
          <w:tcPr>
            <w:tcW w:w="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DBDBDB"/>
            </w:tcBorders>
          </w:tcPr>
          <w:p>
            <w:pPr>
              <w:ind w:left="200"/>
              <w:spacing w:after="0"/>
              <w:rPr>
                <w:sz w:val="20"/>
                <w:szCs w:val="20"/>
                <w:color w:val="auto"/>
              </w:rPr>
            </w:pPr>
            <w:r>
              <w:rPr>
                <w:rFonts w:ascii="Times New Roman" w:cs="Times New Roman" w:eastAsia="Times New Roman" w:hAnsi="Times New Roman"/>
                <w:sz w:val="15"/>
                <w:szCs w:val="15"/>
                <w:color w:val="auto"/>
              </w:rPr>
              <w:t>Other revenue</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17,094</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5,122</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6,310</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11,972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(1,188)</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88"/>
        </w:trPr>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2,368,085</w:t>
            </w:r>
          </w:p>
        </w:tc>
        <w:tc>
          <w:tcPr>
            <w:tcW w:w="32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2,440,818</w:t>
            </w:r>
          </w:p>
        </w:tc>
        <w:tc>
          <w:tcPr>
            <w:tcW w:w="32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1,343,625</w:t>
            </w:r>
          </w:p>
        </w:tc>
        <w:tc>
          <w:tcPr>
            <w:tcW w:w="32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(72,733)</w:t>
            </w:r>
          </w:p>
        </w:tc>
        <w:tc>
          <w:tcPr>
            <w:tcW w:w="3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1,097,193</w:t>
            </w:r>
          </w:p>
        </w:tc>
        <w:tc>
          <w:tcPr>
            <w:tcW w:w="4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7"/>
        <w:spacing w:after="0" w:line="222" w:lineRule="auto"/>
        <w:rPr>
          <w:sz w:val="20"/>
          <w:szCs w:val="20"/>
          <w:color w:val="auto"/>
        </w:rPr>
      </w:pPr>
      <w:r>
        <w:rPr>
          <w:rFonts w:ascii="Times New Roman" w:cs="Times New Roman" w:eastAsia="Times New Roman" w:hAnsi="Times New Roman"/>
          <w:sz w:val="15"/>
          <w:szCs w:val="15"/>
          <w:color w:val="auto"/>
        </w:rPr>
        <w:t>Sales of vehicles for the year ended December 31, 2023 were $2,313.1 million, a decrease of $73.6 million, or 3% compared to $2,386.7 million for the year ended December 31, 2022. The decrease was primarily driven by $116.6 million in discounts to fleet customers, offset by an increase in fleet vehicle sales volumes and an increase in per unit price of the PS2 model year 2023 and 2024 vehicles. Sales of vehicles for the year ended December 31, 2022 were $2,386.7 million, an increase of $1,087.8 million, or 84% compared to</w:t>
      </w: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$1,298.9 million for the year ended December 31, 2021. The increase was driven by greater volumes of PS2 sales across major geographic markets such as the United States, the United Kingdom, Germany, Sweden, and South Korea. Revenue per vehicle decreased year-over-year primarily due to model mix and market mix. During the year ended December 31, 2021, the majority of vehicles sold were long-range dual motor variants of the PS2 while the lower priced long-range single motor and standard range motor variants</w:t>
      </w:r>
    </w:p>
    <w:p>
      <w:pPr>
        <w:spacing w:after="0" w:line="2" w:lineRule="exact"/>
        <w:rPr>
          <w:sz w:val="20"/>
          <w:szCs w:val="20"/>
          <w:color w:val="auto"/>
        </w:rPr>
      </w:pPr>
    </w:p>
    <w:p>
      <w:pPr>
        <w:jc w:val="both"/>
        <w:ind w:left="7"/>
        <w:spacing w:after="0" w:line="232" w:lineRule="auto"/>
        <w:rPr>
          <w:sz w:val="20"/>
          <w:szCs w:val="20"/>
          <w:color w:val="auto"/>
        </w:rPr>
      </w:pPr>
      <w:r>
        <w:rPr>
          <w:rFonts w:ascii="Times New Roman" w:cs="Times New Roman" w:eastAsia="Times New Roman" w:hAnsi="Times New Roman"/>
          <w:sz w:val="15"/>
          <w:szCs w:val="15"/>
          <w:color w:val="auto"/>
        </w:rPr>
        <w:t>represented a greater share of revenue for the year ended December 31, 2022. This was partially offset by price increases implemented during the summer that were reflected in selling prices during the latter part of the year.</w:t>
      </w:r>
    </w:p>
    <w:p>
      <w:pPr>
        <w:spacing w:after="0" w:line="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Sales of software and performance engineered kits for the year ended December 31, 2023 were $19 million, a decrease of $2.3 million, or 11% compared to $21.3 million for the year</w:t>
      </w:r>
    </w:p>
    <w:p>
      <w:pPr>
        <w:spacing w:after="0" w:line="6" w:lineRule="exact"/>
        <w:rPr>
          <w:sz w:val="20"/>
          <w:szCs w:val="20"/>
          <w:color w:val="auto"/>
        </w:rPr>
      </w:pPr>
    </w:p>
    <w:p>
      <w:pPr>
        <w:jc w:val="both"/>
        <w:ind w:left="7" w:right="20"/>
        <w:spacing w:after="0" w:line="214" w:lineRule="auto"/>
        <w:rPr>
          <w:sz w:val="20"/>
          <w:szCs w:val="20"/>
          <w:color w:val="auto"/>
        </w:rPr>
      </w:pPr>
      <w:r>
        <w:rPr>
          <w:rFonts w:ascii="Times New Roman" w:cs="Times New Roman" w:eastAsia="Times New Roman" w:hAnsi="Times New Roman"/>
          <w:sz w:val="15"/>
          <w:szCs w:val="15"/>
          <w:color w:val="auto"/>
        </w:rPr>
        <w:t>ended December 31, 2022. The decrease is a result of Polestar's continued emphasis on its own vehicles, coupled with a continued decline in Volvo Car's sales of Polestar's performance engineered kits. Sales of software and performance engineered kits for the year ended December 31, 2022 were $21.3 million, a decrease of $4.6 million, or 18% compared to $25.9 million for the year ended December 31, 2021. The decrease is a result of Polestar’s shifting focus to its own vehicles and a decrease in Volvo Cars’ sales of</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Polestar’s performance engineered kits.</w:t>
      </w:r>
    </w:p>
    <w:p>
      <w:pPr>
        <w:spacing w:after="0" w:line="55" w:lineRule="exact"/>
        <w:rPr>
          <w:sz w:val="20"/>
          <w:szCs w:val="20"/>
          <w:color w:val="auto"/>
        </w:rPr>
      </w:pPr>
    </w:p>
    <w:p>
      <w:pPr>
        <w:jc w:val="both"/>
        <w:ind w:left="7"/>
        <w:spacing w:after="0" w:line="228" w:lineRule="auto"/>
        <w:rPr>
          <w:sz w:val="20"/>
          <w:szCs w:val="20"/>
          <w:color w:val="auto"/>
        </w:rPr>
      </w:pPr>
      <w:r>
        <w:rPr>
          <w:rFonts w:ascii="Times New Roman" w:cs="Times New Roman" w:eastAsia="Times New Roman" w:hAnsi="Times New Roman"/>
          <w:sz w:val="15"/>
          <w:szCs w:val="15"/>
          <w:color w:val="auto"/>
        </w:rPr>
        <w:t>Sales of carbon credits for the year ended December 31, 2023 were $1.5 million, a decrease of $9.5 million, or 87% compared to $11 million for the year ended December 31, 2022. This decrease is due to Polestar entering into fewer contracts to sell its excess carbon credits as compared to the previous year. Sales of carbon credits for the year ended</w:t>
      </w:r>
    </w:p>
    <w:p>
      <w:pPr>
        <w:spacing w:after="0" w:line="1" w:lineRule="exact"/>
        <w:rPr>
          <w:sz w:val="20"/>
          <w:szCs w:val="20"/>
          <w:color w:val="auto"/>
        </w:rPr>
      </w:pPr>
    </w:p>
    <w:p>
      <w:pPr>
        <w:jc w:val="both"/>
        <w:ind w:left="7" w:right="20"/>
        <w:spacing w:after="0" w:line="232" w:lineRule="auto"/>
        <w:rPr>
          <w:sz w:val="20"/>
          <w:szCs w:val="20"/>
          <w:color w:val="auto"/>
        </w:rPr>
      </w:pPr>
      <w:r>
        <w:rPr>
          <w:rFonts w:ascii="Times New Roman" w:cs="Times New Roman" w:eastAsia="Times New Roman" w:hAnsi="Times New Roman"/>
          <w:sz w:val="15"/>
          <w:szCs w:val="15"/>
          <w:color w:val="auto"/>
        </w:rPr>
        <w:t>December 31, 2022 were $11 million, an increase of $4.7 million, or 74% compared to $6.3 million for the year ended December 31, 2021. This increase is due to Polestar entering into a new agreement to sell its excess carbon credits to a third party during the year ended December 31, 2022.</w:t>
      </w:r>
    </w:p>
    <w:p>
      <w:pPr>
        <w:spacing w:after="0" w:line="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Vehicle leasing revenue for the year ended December 31, 2023 was $17.4 million, an increase of $0.7 million, or 4% compared to $16.7 million for the year ended December 31,</w:t>
      </w:r>
    </w:p>
    <w:p>
      <w:pPr>
        <w:spacing w:after="0" w:line="6" w:lineRule="exact"/>
        <w:rPr>
          <w:sz w:val="20"/>
          <w:szCs w:val="20"/>
          <w:color w:val="auto"/>
        </w:rPr>
      </w:pP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2022. This increase is due to Polestar selling more vehicles with repurchase obligations. Vehicle leasing revenue for the year ended December 31, 2022 was $16.7 million, an increase of $10.5 million, or 169% compared to $6.2 million for the year ended December 31, 2021. Polestar began selling vehicles with repurchase obligations during the first half of 2021 and continued to increase the number of vehicles sold with repurchase obligations in the subsequent periods. This resulted in the increase to vehicle leasing revenue during the year</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ended December 31, 2022.</w:t>
      </w:r>
    </w:p>
    <w:p>
      <w:pPr>
        <w:spacing w:after="0" w:line="55" w:lineRule="exact"/>
        <w:rPr>
          <w:sz w:val="20"/>
          <w:szCs w:val="20"/>
          <w:color w:val="auto"/>
        </w:rPr>
      </w:pPr>
    </w:p>
    <w:p>
      <w:pPr>
        <w:jc w:val="both"/>
        <w:ind w:left="7"/>
        <w:spacing w:after="0" w:line="228" w:lineRule="auto"/>
        <w:rPr>
          <w:sz w:val="20"/>
          <w:szCs w:val="20"/>
          <w:color w:val="auto"/>
        </w:rPr>
      </w:pPr>
      <w:r>
        <w:rPr>
          <w:rFonts w:ascii="Times New Roman" w:cs="Times New Roman" w:eastAsia="Times New Roman" w:hAnsi="Times New Roman"/>
          <w:sz w:val="15"/>
          <w:szCs w:val="15"/>
          <w:color w:val="auto"/>
        </w:rPr>
        <w:t>Other revenue for the year ended December 31, 2023 was $17.1 million, an increase of $12.0 million, or 234% compared to $5.1 million for the year ended December 31, 2022. This increase is the result of (1) greater sales of Polestar's research and development services to Volvo Cars, (2) greater sales under Polestar's intellectual property license to Volvo Cars</w:t>
      </w:r>
    </w:p>
    <w:p>
      <w:pPr>
        <w:ind w:left="7"/>
        <w:spacing w:after="0" w:line="210" w:lineRule="auto"/>
        <w:rPr>
          <w:sz w:val="20"/>
          <w:szCs w:val="20"/>
          <w:color w:val="auto"/>
        </w:rPr>
      </w:pPr>
      <w:r>
        <w:rPr>
          <w:rFonts w:ascii="Times New Roman" w:cs="Times New Roman" w:eastAsia="Times New Roman" w:hAnsi="Times New Roman"/>
          <w:sz w:val="15"/>
          <w:szCs w:val="15"/>
          <w:color w:val="auto"/>
        </w:rPr>
        <w:t>which grants Volvo Cars the rights to source and distribute parts and accessories for Polestar's vehicles to customers in exchange for sales-based royalties to us for $8.5 million, and</w:t>
      </w:r>
    </w:p>
    <w:p>
      <w:pPr>
        <w:ind w:left="7" w:hanging="7"/>
        <w:spacing w:after="0" w:line="232" w:lineRule="auto"/>
        <w:tabs>
          <w:tab w:leader="none" w:pos="233"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one-time sale of know-how to Lotus for $4.6 million. Other revenue for the year ended December 31, 2022 was $5.1 million, a decrease of $1.2 million, or 19% compared to $6.3 million for the year ended December 31, 2021.</w:t>
      </w:r>
    </w:p>
    <w:p>
      <w:pPr>
        <w:spacing w:after="0" w:line="1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Cost of sales and Gross (loss) profit</w:t>
      </w:r>
    </w:p>
    <w:p>
      <w:pPr>
        <w:spacing w:after="0" w:line="75" w:lineRule="exact"/>
        <w:rPr>
          <w:sz w:val="20"/>
          <w:szCs w:val="20"/>
          <w:color w:val="auto"/>
        </w:rPr>
      </w:pPr>
    </w:p>
    <w:p>
      <w:pPr>
        <w:jc w:val="both"/>
        <w:ind w:left="7"/>
        <w:spacing w:after="0" w:line="228" w:lineRule="auto"/>
        <w:rPr>
          <w:sz w:val="20"/>
          <w:szCs w:val="20"/>
          <w:color w:val="auto"/>
        </w:rPr>
      </w:pPr>
      <w:r>
        <w:rPr>
          <w:rFonts w:ascii="Times New Roman" w:cs="Times New Roman" w:eastAsia="Times New Roman" w:hAnsi="Times New Roman"/>
          <w:sz w:val="15"/>
          <w:szCs w:val="15"/>
          <w:color w:val="auto"/>
        </w:rPr>
        <w:t>Cost of sales for the year ended December 31, 2023 was $2,778.2 million, an increase of $438.5 million, or 19% compared to $2,339.7 million for the year ended December 31, 2022. This increase was primarily driven by CGU impairment of PS2 related PPE and Vehicles under operating leases of $90.2 million, CGU impairment of PS2 related intangible assets of</w:t>
      </w:r>
    </w:p>
    <w:p>
      <w:pPr>
        <w:spacing w:after="0" w:line="1" w:lineRule="exact"/>
        <w:rPr>
          <w:sz w:val="20"/>
          <w:szCs w:val="20"/>
          <w:color w:val="auto"/>
        </w:rPr>
      </w:pPr>
    </w:p>
    <w:p>
      <w:pPr>
        <w:jc w:val="both"/>
        <w:ind w:left="7" w:right="20"/>
        <w:spacing w:after="0" w:line="224" w:lineRule="auto"/>
        <w:rPr>
          <w:sz w:val="20"/>
          <w:szCs w:val="20"/>
          <w:color w:val="auto"/>
        </w:rPr>
      </w:pPr>
      <w:r>
        <w:rPr>
          <w:rFonts w:ascii="Times New Roman" w:cs="Times New Roman" w:eastAsia="Times New Roman" w:hAnsi="Times New Roman"/>
          <w:sz w:val="15"/>
          <w:szCs w:val="15"/>
          <w:color w:val="auto"/>
        </w:rPr>
        <w:t xml:space="preserve">$249.4 million, increased inventory impairment of $107.2 million, and increased materials cost due to rising raw material costs of $23.1 million. This activity is being partially offset by decreased warranty expenses of $36.3 million, and positive impacts of foreign currency effects due to an improved SEK/CNY foreign exchange rate. For further information, see </w:t>
      </w:r>
      <w:r>
        <w:rPr>
          <w:rFonts w:ascii="Times New Roman" w:cs="Times New Roman" w:eastAsia="Times New Roman" w:hAnsi="Times New Roman"/>
          <w:sz w:val="15"/>
          <w:szCs w:val="15"/>
          <w:i w:val="1"/>
          <w:iCs w:val="1"/>
          <w:color w:val="auto"/>
        </w:rPr>
        <w:t>Note 15 - Intangible assets and goodwill</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Note 16 - Property, plant and equipment </w:t>
      </w:r>
      <w:r>
        <w:rPr>
          <w:rFonts w:ascii="Times New Roman" w:cs="Times New Roman" w:eastAsia="Times New Roman" w:hAnsi="Times New Roman"/>
          <w:sz w:val="15"/>
          <w:szCs w:val="15"/>
          <w:color w:val="auto"/>
        </w:rPr>
        <w:t>and Item 5.F "</w:t>
      </w:r>
      <w:r>
        <w:rPr>
          <w:rFonts w:ascii="Times New Roman" w:cs="Times New Roman" w:eastAsia="Times New Roman" w:hAnsi="Times New Roman"/>
          <w:sz w:val="15"/>
          <w:szCs w:val="15"/>
          <w:i w:val="1"/>
          <w:iCs w:val="1"/>
          <w:color w:val="auto"/>
        </w:rPr>
        <w:t>Critical accounting estimates - impairment testing</w:t>
      </w:r>
      <w:r>
        <w:rPr>
          <w:rFonts w:ascii="Times New Roman" w:cs="Times New Roman" w:eastAsia="Times New Roman" w:hAnsi="Times New Roman"/>
          <w:sz w:val="15"/>
          <w:szCs w:val="15"/>
          <w:color w:val="auto"/>
        </w:rPr>
        <w:t>".</w:t>
      </w:r>
    </w:p>
    <w:p>
      <w:pPr>
        <w:spacing w:after="0" w:line="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Cost of sales for the year ended December 31, 2022 were $2,339.7 million, an increase of $1,007.1 million, or 76% compared to $1,332.6 million for the year ended December 31,</w:t>
      </w:r>
    </w:p>
    <w:p>
      <w:pPr>
        <w:spacing w:after="0" w:line="6" w:lineRule="exact"/>
        <w:rPr>
          <w:sz w:val="20"/>
          <w:szCs w:val="20"/>
          <w:color w:val="auto"/>
        </w:rPr>
      </w:pP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2021. This was primarily due to higher vehicle sales volumes during the year ended December 31, 2022, resulting in increased material costs of $945.1 million, combined with rising raw material costs commencing in the end of 2022. Additionally, increased freight and distribution costs of $72.8 million and increased warranty cost of $34.5 million, respectively, contributed to this overall increase. These higher costs, combined with a deteriorating SEK/CNY foreign exchange rate discussed in the Gross (loss) profit explanation below, have</w:t>
      </w:r>
    </w:p>
    <w:p>
      <w:pPr>
        <w:spacing w:after="0" w:line="2" w:lineRule="exact"/>
        <w:rPr>
          <w:sz w:val="20"/>
          <w:szCs w:val="20"/>
          <w:color w:val="auto"/>
        </w:rPr>
      </w:pPr>
    </w:p>
    <w:p>
      <w:pPr>
        <w:jc w:val="both"/>
        <w:ind w:left="7" w:right="20"/>
        <w:spacing w:after="0" w:line="232" w:lineRule="auto"/>
        <w:rPr>
          <w:sz w:val="20"/>
          <w:szCs w:val="20"/>
          <w:color w:val="auto"/>
        </w:rPr>
      </w:pPr>
      <w:r>
        <w:rPr>
          <w:rFonts w:ascii="Times New Roman" w:cs="Times New Roman" w:eastAsia="Times New Roman" w:hAnsi="Times New Roman"/>
          <w:sz w:val="15"/>
          <w:szCs w:val="15"/>
          <w:color w:val="auto"/>
        </w:rPr>
        <w:t>further contributed to the increase. The activity above was partially offset by decreased manufacturing related costs of $45.2 million primarily due to the conclusion of tooling and machinery depreciation related to PS1 in December 2021.</w:t>
      </w:r>
    </w:p>
    <w:p>
      <w:pPr>
        <w:spacing w:after="0" w:line="3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4"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Gross (loss) profit for the year ended December 31, 2023 was a gross loss of $410.1 million, a decrease in gross result of $511.3 million, or 506% compared to a gross profit of $101.1 million for the year ended December 31, 2022. This decrease is attributed to inventory impairment costs of $146.6 million, net higher material cost of $23.1 million, CGU</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impairment of PS2 related intangible assets of $249.4 million and $90.2 million in cost as a result of the impairment of PS2 related PPE and vehicles under operating leases. The decrease is also attributed to decreased Revenue of $65.5 million as a result of (1) decreased revenue generated through sales of vehicles (2) decreased sales of software and performance engineered kits to Volvo Cars, (3) decreased sales of carbon credits, and (4) greater other revenue, partially offsetting all decreases to the other revenue streams. Refer to</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explanation of the Revenue variances above for greater details. These unfavorable impacts were offset by decreased warranty expenses of $36.3 million and a 7.58% improvement in the SEK/CNY foreign exchange rate enabling greater purchasing power.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Gross (loss) profit for the year ended December 31, 2022 was a gross profit of $101.1 million, an increase of $90.1 million, or 815% compared to a gross profit of $11.1 million for</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 year ended December 31, 2021. This was primarily due to expanded production and commercialization of PS2 vehicles, causing a higher fixed cost absorption when compared to previous periods. Additionally, greater volumes of PS2 sales resulted in greater revenues of $1,097.2 million. This increase was mainly offset by increased materials cost of $945.1 million , and an increase in freight and distribution costs of $72.8 million. The increase is also partially offset by continued deterioration of the SEK/CNY foreign exchange rate.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SEK/CNY foreign exchange rate weakened by approximately 5.7% during the year ended December 31, 2022 from 0.70 on January 1, 2022 to 0.66 by December 31, 2022. During the comparative period, the SEK/CNY foreign exchange rate weakened by approximately 11.4% from 0.79 on January 1, 2021 to 0.70 by December 31, 2021. In total, the SEK/CNY foreign exchange rate has weakened since January 1, 2021. This trend impacts Polestar’s Gross (loss) profit as a transaction effect of contract manufacturing in China when Polestar’s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purchasing entity is denominated in a functional currency that is weaker than CNY.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Selling, general and administrative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Selling, general and administrative expenses for the year ended December 31, 2023 were $944.2 million, an increase of $104.0 million, or 12% compared to $840.2 million for the</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year ended December 31, 2022. This increase was primarily due to higher advertising, sales, and promotion expenses of $67.9 million related to new video productions, marketing, and PR events for the PS3 and PS4 campaigns to expand Polestar's markets related to these vehicles. Additional increases were attributed to higher wages and salaries of $41.9 million, associated with headcount need to meet the demands of Polestar's growing business. Selling, general and administrative expenses for the year ended December 31, 2022 were</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$840.2 million, an increase of $153.2 million, or 22% compared to $687 million for the year ended December 31, 2021. This increase was primarily due to higher administration costs of $139.9 million related to higher wages and salaries associated with scaling headcount across Polestar global operations to meet the demands of the growing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 expenses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Research and development expenses for the year ended December 31, 2023 were $157.3 million, a decrease of $17.6 million, or 10% compared to $174.9 million for the year ended December 31, 2022. This change was mainly driven by a decrease in the amortization costs of $37.7 million due to internal development programs reaching development phase, therefore no longer being expensed. These decrease was partially offset by increased full time personnel cost of $18.3 million and $2.4 million in service purchased from related</w:t>
      </w:r>
    </w:p>
    <w:p>
      <w:pPr>
        <w:jc w:val="both"/>
        <w:spacing w:after="0" w:line="214" w:lineRule="auto"/>
        <w:rPr>
          <w:sz w:val="20"/>
          <w:szCs w:val="20"/>
          <w:color w:val="auto"/>
        </w:rPr>
      </w:pPr>
      <w:r>
        <w:rPr>
          <w:rFonts w:ascii="Times New Roman" w:cs="Times New Roman" w:eastAsia="Times New Roman" w:hAnsi="Times New Roman"/>
          <w:sz w:val="15"/>
          <w:szCs w:val="15"/>
          <w:color w:val="auto"/>
        </w:rPr>
        <w:t>parties. Research and development expenses for the year ended December 31, 2022 were $174.9 million, a decrease of $59.1 million, or 25% compared to $234 million for the year ended December 31, 2021. This decrease was primarily due to a decrease in product development cost of $112.1 million mainly related to the conclusion of PS1 amortization in December 2021. This activity was partially offset by increased R&amp;D personnel costs of $57.5 million related to the development of future vehicles and electronic vehicles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technologies.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operating income (expenses),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operating income (expenses), net for the year ended December 31, 2023 were an income of $42.1 million, an increase of $42.4 million compared to an expense of $0.3 million</w:t>
      </w:r>
    </w:p>
    <w:p>
      <w:pPr>
        <w:spacing w:after="0" w:line="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5"/>
          <w:szCs w:val="15"/>
          <w:color w:val="auto"/>
        </w:rPr>
        <w:t>for the year ended December 31, 2022. This increase was primarily driven by positive foreign exchange effects on working capital of $37.5 million, sales of plant operation services to a related party for $25.2 million, and sales of carbon credits to a related party for $5.6 million. These gains are partially offset by the costs of services provided to Polestar Technology for $27.6 million. Other operating income (expenses), net for the year ended December 31, 2022 was an expense of $0.3 million, an increase of $50.4 million to Other operating income (expenses), net compared to an expense of $50.7 million for the year ended December 31, 2021.This increase was primarily driven by lower negative foreign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effects of $48.6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Finance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Finance income for the year ended December 31, 2023 was $69.6 million, an increase of $61.0 million, or 713% compared to $8.6 million for the year ended December 31, 2022.</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This increase was primarily the result of a positive net foreign exchange effect related to financial items of $37.2 million and increased interest income on bank deposits of $24.6 million due to rising interest rates. Finance income for the year ended December 31, 2022 was $8.6 million, a decrease of $24.4 million or 74% compared to $33 million for the year ended December 31, 2021. This decrease was primarily the result of $31.6 million in negative net foreign exchange effect related to financial items partially offset by an increase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$6.3 million in interest income on bank deposits for the year ended 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Finance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Finance expenses for the year ended December 31, 2023 was $213.2 million, an increase of $104.8 million, or 97% compared to $108.4 million for the year ended December 31,</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2022. This increase was primarily the result of an increase in interest expense on credit facilities and financing obligations and interest expense to related parties totaling $129.4 million and a loss on modification of debt of $7.6 million. These increases are partially offset by a decrease in foreign exchange losses on financial activities of $30.9</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million. Finance expenses for the year ended December 31, 2022 was $108.4 million, an increase of $63.2 million, or 140% compared to $45.2 million for the year ended December 31, 2021. This increase was primarily the result of interest expense associated with financing arrangements, overdue trade payables to Volvo Cars, and net foreign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losses on financial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change - Earn out rights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part of the capital reorganization via the merger with GGI on June 23, 2022, Polestar issued earn-out rights. The gain on Fair value change - Earn-out rights for the year ended</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December 31, 2023 was $443.2 million, a decrease of $458.9 million or 51% compared to $902.1 million for the year ended December 31, 2022. This decrease is primarily attributable to changes in Polestar's share price from $5.31 at the year ended December 31, 2022, compared to $2.26 at the year ended December 31, 2023. Leveraging a benchmark of peers, the implied asset volatility used in the Monte Carlo simulation increased from 75% as of December 31, 2022, to 80% as of December 31, 2023. As the capital reorganization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occurred on June 23, 2022, there is no comparison figure for 2021. The gain on the fair value change of the Earn-out liability for the year ended December 31, 2022, was $902.1 million. These gains are primarily attributable to a decrease in Polestar’s share price from $11.23 on June 23, 2022 (i.e., the closing of the merger with GGI and issuance of the earn-out rights) to $5.31 on December 31, 2022, and increased market volatility. Leveraging on a benchmark of peers, the implied asset volatility used in the Monte Carlo simulation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increased from 60% as of June 23, 2022, to 75% as of 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change - Class C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part of the capital reorganization via the merger with GGI on June 23, 2022, Polestar exchanged rights and obligations to the public and private warrant instruments of GGI. The</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gain on the fair value change of these warrants (i.e, Class C Shares) for the year ended December 31, 2023 was $22 million, a decrease of 13.1 million or 37% compared to $35.1 million for the year ended December 31, 2022. This change is primarily attributable to a change in the price of the Class C-1 Shares and the estimated value of the Class C-2 Shares by $0.88 or from $1.12 for the year ended December 31, 2022, to $0.24 for the year ended December 31, 2023. The gain on the fair value change of these warrants for the year ended</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December 31, 2022, was 35.1 million. These gains are primarily attributable to a decrease in the price of the Class C-1 Shares from $2.52 on June 23, 2022 (i.e., closing of the merger with GGI and exchange of the warrants) to $1.12 on December 31, 2022, and a decrease in the estimated value of the Class C-2 Shares from $2.53 to $1.12 over the same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utilizes a binomial lattice model to calculate the value of the Class C-2 Shares which factors several inputs, including the changes in Polestar’s share price, the implied</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volatility of Class C-1 Shares, and risk-free rate. During the year ended December 31, 2023, Polestar's share price decreased by $3.05, from $5.31 to $2.26, implied volatility of publicly traded Class C-1 Shares decreased from 89% to 88%, and risk-free rate decreased from 4.01% to 3.93% over the same period. During the year ended December 31, 2022, Polestar’s share price decreased by $5.92 from $11.23 to $5.31, implied volatility of publicly traded Class C-1 Shares from 22.5% to 89%, and risk-free rate from 3.12% to 4.01%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over the same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 of losses in associate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year ended December 31, 2023, Polestar invested in Polestar Technology and owns 49% of Polestar Technology's equity. Related to its 49% ownership in Polestar</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Technology, Polestar recognized an expense of $43.3 million. As this was the first year Polestar invested in Polestar Technology, there is no comparable period information. Polestar's carrying value of its investment in Polestar Technology was reduced to zero as a result of its share of Polestar Technology's losses.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 benefit (expense)</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Income tax benefit (expense) for the year ended December 31, 2023 was a benefit of $9.5 million, an increase of $39.2 million, or 132% compared to an expense of $29.8 million for the year ended December 31, 2022. This was primarily driven by a decrease in deferred tax liabilities and an increase in deferred tax assets due to increased deductible temporary differences related to inventory and warranty, resulting in an increase in deferred tax benefit of $46.4 million in the Consolidated Statements of Loss and Comprehensive Loss. The deferred tax benefit for the year ended December 31, 2023 is $38.8 million. The current income tax decreased $7.4 million, resulting in current income tax expenses of $16.1 million in the Consolidated Statements of Loss and Comprehensive Loss. The expenses of foreign taxes increased $14.6 million due to an increase in withholding tax expense on transactions incurred in China, resulting in foreign tax expenses of $15.6 million in the Consolidated Statements of Loss and Comprehensive Loss. Income tax benefit (expense) for the year ended December 31, 2022 was an expense of $29.8 million, a decrease of $32.8 million, or 1067% compared to a benefit of $3.1 million for the year ended December 31, 2021. This change was primarily driven by $18.2 million in increased income tax expenses due to higher earnings in jurisdictions in which we have taxable income and an increase of $16.1 million in income tax expenses related to recognition of deferred tax liabilities on taxable temporary differences. This was partially offset by a decrease in foreign taxes of $1.5 million.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 Liquidity and capital resources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finances its operations primarily through the issuance of equity instruments, various short-term credit facilities, including working capital facilities, medium term loans with credit institutions and related parties, sale leaseback arrangements, inventory finance facilities and extended trade credit with related parties. Polestar anticipates it will continue to</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need to raise funding via these methods to meet the cash requirements to fulfill its obligations. The principal uses for liquidity and capital are funding operations, repayment of debt, market expansion, and investments in Polestar's future vehicles and automotive technologies.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continues to generate negative operating and investing cash flows as a result of scaling up commercialization efforts globally, along with continuing capital expenditures for</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PS2, PS3, PS4, PS5, and PS6. Polestar does not expect to achieve positive cash flow from operations until late 2025. Managing the company’s liquidity profile and funding needs remains one of management’s key priorities. Substantial doubt about Polestar's ability to continue as a going concern persists as timely realization of financing endeavors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5"/>
          <w:szCs w:val="15"/>
          <w:color w:val="auto"/>
        </w:rPr>
        <w:t xml:space="preserve">is necessary to cover forecasted operating and investing cash outflow. Refer to </w:t>
      </w:r>
      <w:r>
        <w:rPr>
          <w:rFonts w:ascii="Times New Roman" w:cs="Times New Roman" w:eastAsia="Times New Roman" w:hAnsi="Times New Roman"/>
          <w:sz w:val="15"/>
          <w:szCs w:val="15"/>
          <w:i w:val="1"/>
          <w:iCs w:val="1"/>
          <w:color w:val="auto"/>
        </w:rPr>
        <w:t>Note 2 - Significant accounting policies and judgements</w:t>
      </w:r>
      <w:r>
        <w:rPr>
          <w:rFonts w:ascii="Times New Roman" w:cs="Times New Roman" w:eastAsia="Times New Roman" w:hAnsi="Times New Roman"/>
          <w:sz w:val="15"/>
          <w:szCs w:val="15"/>
          <w:color w:val="auto"/>
        </w:rPr>
        <w:t xml:space="preserve"> in the accompanying Consolidated Financial Statements.</w:t>
      </w:r>
    </w:p>
    <w:p>
      <w:pPr>
        <w:spacing w:after="0" w:line="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As of December 31, 2023 and 2022, Polestar had Cash and cash equivalents of $768.3 million and $973.9 million, respectively. Cash and cash equivalents consist of cash in banks with an original term of three months or less. As of December 31, 2023, the Group had restricted cash of $1.8 million which is presented as other non-current assets in the Consolidated Statement of Financial Position. As of December 31, 2022, the Group did not have any restricted cash.</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If Polestar’s cash resources are insufficient to finance its future cash requirements, Polestar will need to finance future cash needs through a combination of public and/or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w:t>
      </w:r>
    </w:p>
    <w:p>
      <w:pPr>
        <w:jc w:val="both"/>
        <w:spacing w:after="0" w:line="214" w:lineRule="auto"/>
        <w:rPr>
          <w:sz w:val="20"/>
          <w:szCs w:val="20"/>
          <w:color w:val="auto"/>
        </w:rPr>
      </w:pPr>
      <w:r>
        <w:rPr>
          <w:rFonts w:ascii="Times New Roman" w:cs="Times New Roman" w:eastAsia="Times New Roman" w:hAnsi="Times New Roman"/>
          <w:sz w:val="15"/>
          <w:szCs w:val="15"/>
          <w:color w:val="auto"/>
        </w:rPr>
        <w:t>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cash retention. There can be no assurance Polestar will be able to obtain additional funds. If Polestar is unable to raise additional funds through equity, debt financings, or other means when needed, it may be</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required to delay, limit, reduce, or, in the worst case, discontinue the production and sale of its vehicles as well as research and development and commercialization efforts and may not be able to fund continuing operations, all of which could adversely impact Polestar's financial performance and position.</w:t>
      </w:r>
    </w:p>
    <w:p>
      <w:pPr>
        <w:spacing w:after="0" w:line="4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Polestar intends to continue developing its short and medium term financing relationships with European and Chinese banking partners and Polestar's related parties, including upsizing current facilities where applicable, while also continuing to explore potential equity or debt offerings.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Debt and equity financing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In March 2021, Polestar’s Board of Directors distributed 18,032,787 shares of newly authorized Class B Shares at $30.50 per share for proceeds of $550 million; related issuance costs amounted to $2.8 million. Of the 18,032,787 shares issued, 4,262,295 were issued to Geely. In July 2021, 17,345,079 Class A Shares were converted to Class B Shares.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June 23, 2022, the Former Parent consummated a reverse recapitalization in which Polestar Holding AB and its subsidiaries became wholly owned subsidiaries of Polestar. US</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Merger Sub merged with GGI, pursuant to which the separate corporate existence of US Merger Sub ceased and GGI became a wholly owned subsidiary of Polestar. Convertible notes, different classes of common stock, public warrants, and private warrants were converted into various equity instruments of Polestar. For additional information, see </w:t>
      </w:r>
      <w:r>
        <w:rPr>
          <w:rFonts w:ascii="Times New Roman" w:cs="Times New Roman" w:eastAsia="Times New Roman" w:hAnsi="Times New Roman"/>
          <w:sz w:val="15"/>
          <w:szCs w:val="15"/>
          <w:i w:val="1"/>
          <w:iCs w:val="1"/>
          <w:color w:val="auto"/>
        </w:rPr>
        <w:t>Note 18 -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Reverse recapitalization.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Debt</w:t>
      </w:r>
    </w:p>
    <w:p>
      <w:pPr>
        <w:spacing w:after="0" w:line="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enters into various debt arrangements with European and Chinese banking partners, related parties, and other financial institutions in the form of short-term and long-term funding to meet Polestar's capital needs.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Liabilities to Credit Institutions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During the periods presented in the accompanying Consolidated Financial Statements, Polestar utilized several short-term working capital loans, primarily originating from European and Chinese banking partners. These existing and developing relationships provide Polestar with a reliable source of short-term liquidity. All short-term working capital loans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have come due during the periods presented have been repaid on-time. Short-term working capital loans are primarily used for the purposes of achieving sales volumes.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 xml:space="preserve">Liabilities to credit institutions are in the form of loans from banks, loans from related parties, floor plan facilities, and sale leaseback facilities. As of December 31, 2023, total outstanding Liabilities to credit institutions was $2,026.7 million. Refer to </w:t>
      </w:r>
      <w:r>
        <w:rPr>
          <w:rFonts w:ascii="Times New Roman" w:cs="Times New Roman" w:eastAsia="Times New Roman" w:hAnsi="Times New Roman"/>
          <w:sz w:val="15"/>
          <w:szCs w:val="15"/>
          <w:i w:val="1"/>
          <w:iCs w:val="1"/>
          <w:color w:val="auto"/>
        </w:rPr>
        <w:t>Note 25 - Liabilities to credit institutions</w:t>
      </w:r>
      <w:r>
        <w:rPr>
          <w:rFonts w:ascii="Times New Roman" w:cs="Times New Roman" w:eastAsia="Times New Roman" w:hAnsi="Times New Roman"/>
          <w:sz w:val="15"/>
          <w:szCs w:val="15"/>
          <w:color w:val="auto"/>
        </w:rPr>
        <w:t xml:space="preserve"> for information on Polestar's working capital loans outstanding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December 31, 2023.</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During the year ended December 31, 2023, and 2022, respectively, Polestar had $553 million and $133 million in principal outstanding related to short-term working capital loans secured by our related party, Geely.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27, 2023, Polestar amended it's twelve-month €350 million uncommitted secured green trade finance facility together with an accordion facility of up to €250 million</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originally dated February 28, 2022, with Standard Chartered Bank, Nordea Bank ABP, Citibank Europe PLC and ING Belgium SA/NV to, among other things, extend the facility availability for a further twelve months. On June 1, 2023, Polestar exercised the one-time only accordion option, increasing the available credit under the facility to €600 million. The outstanding principal balance as of December 31, 2023 was $442.8 million. The initial facility carried interest at the three-month Euro Interbank Offering Rate plus 2.1%. Following</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February 2023 amendment, the facility carries interest at three-month Euro Interbank Offering Rate plus 2.3% per annum. The facility has a repayment period of 90 days from drawdown of each loan under the facility.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 respectively, there was outstanding principal of $442.8 million and $288.7 million expiring in February 2024 and February 2023, respectively,</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related to this twelve-month uncommitted secured green trade finance facility. Outstanding principal is 100% secured by the new vehicle inventory financed via this facility in accordance with First-ranking English law.</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Related Party financing</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 July 2021, Geely and two other third-parties invested in non-interest-bearing convertible notes of $35.2 million from Polestar. Of the $35.2 million, $9.5 million is held by Geely. Polestar accounted for the convertible notes as Equity upon issuance and classified them within other contributed capital. As of December 31, 2022, all $35.2 million of the convertible notes have been converted into 4,306,466 Class A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On November 8, 2023, Polestar amended the eighteen-month $800 million term credit facility dated November 3, 2022, with one of its major shareholders, Volvo Cars, to increase the total borrowable amount under the facility to $1,000 million and extend the term until June 30, 2027. Polestar was originally required to repay all draws in full, eighteen months</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from the date of the term facility agreement. The term facility agreement has an interest rate of floating six-month Secured Overnight Financing Rate (“SOFR”) plus 4.97% per annum. The rate of interest on each loan made under the credit facility is the aggregation of the SOFR rate plus 4.97% per annum for the six-month interest period set on the Quotation Day which is defined as two additional business days before the relevant interest period. Under this agreement, if Polestar announces an offering of shares of any class in</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share capital, with a proposed capital raising of at least $350 million, and no fewer than five institutional investors participating in the offering, then Volvo Cars has the right to convert the principal amount of any outstanding loans into equity. As of December 31, 2023, the facility was fully drawn with an outstanding principal balance of $1,000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8, 2023, Polestar entered into an $250 million term facility agreement with Geely. The term facility agreement allows for multiple draws and Polestar is required to</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repay the loans in full on June 30, 2027. The term facility agreement has an interest rate of floating six-month SOFR plus 4.97% per annum. The rate of interest on each loan made under the Credit Facility is the aggregation of the SOFR rate and the 4.97% per annum for the six-month interest period set on the Quotation Day which is defined as two additional business days before the first day of the relevant interest period. Under this agreement, if Polestar announces an offering of shares of any class in the share capital, with a proposed</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capital raising of at least $350 million, and no fewer than five institutional investors participating in the offering, then Geely has the right to convert the principal amount of any outstanding loans into equity. As of December 31, 2023, the facility was fully drawn with an outstanding principal balance of $250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8, 2023, Polestar, Geely, and Volvo Cars entered into agreements where Polestar transferred legal ownership of its unique PS3 tooling and equipment ("PS3 Tooling</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and Equipment") to Geely for subsequent use by Volvo Cars in the manufacturing of the PS3, as governed by the manufacturing agreement between Polestar and Volvo Cars ("PS3 Manufacturing Agreement"). The total amount transferred to Polestar by Geely was $156.1 million (excluding value added tax) which consists of a base price for the transfer of the PS3 Tooling and Equipment (the "Base") and an additional sum for any costs related to future changes and modifications to the assets transferred (the "Cap"). Volvo Cars will pay</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Geely a fee calculated on the Base ("User Right Fee"), and per the terms of the PS3 Manufacturing Agreement Polestar will repay Volvo Cars for the User Right Fee through the piece price of each PS3 purchased. In the event the Cap is used, the amount of the utilization will be added to the Base and therefore equivalently adjust both the User Right Fee and Polestar's piece price per PS3 to Volvo Cars.</w:t>
      </w:r>
    </w:p>
    <w:p>
      <w:pPr>
        <w:spacing w:after="0" w:line="5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Neither the Base nor the Cap carries interest or mark-up. This provides Polestar a benefit as the value of the Base plus Cap that Polestar receives is less than the value of the Base plus Cap Polestar must repay to Geely. For this reason, a portion of the purchase price Polestar received from Geely must be accounted for as a capital contribution. Had Polestar entered into a loan with a bank in China around the same time, a fair market interest rate would have been 5.2%. Therefore, Polestar recognized the present value of total obligation</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as $131.7 million by discounting the consideration received using 5.2%. The $25.6 million difference between the Base plus Cap received and the present value of Polestar's obligation is recognized as a component of Other contributed capital (i.e., a capital contribution from Geely to Polestar).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Floor plan facilities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In the ordinary course of business, Polestar, on a market-by-market basis, enters into multiple low value credit facilities with various financial service providers to fund operations related to vehicle sales. The facilities are partially secured by the underlying assets on a market-by-market basis. As of December 31, 2023 and 2022, the aggregate amount outstanding under these arrangements to external credit institutions was $76.0 million and $5.4 million, respectively. Polestar maintains a similar facility with the related party Volvo</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Cars that is presented separately in Interest bearing current liabilities - related parties within the Consolidated Statement of Financial Position. The aggregated amount outstanding as of December 31, 2023 and 2022 to related parties amounted to $44.9 million and , $17.1 million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 leaseback facilities</w:t>
      </w:r>
    </w:p>
    <w:p>
      <w:pPr>
        <w:spacing w:after="0" w:line="8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Polestar has also entered into contracts to sell vehicles and then lease such vehicles back for a period of up to twelve months. At the end of the lease back period, Polestar is obligated to re-purchase the vehicles. Due to this repurchase obligation, these transactions are accounted for as financial liabilities. As such, consideration received for these transactions was recorded as a financing transaction. As of December 31, 2023 and December 31, 2022, $26.9 million and $21.6 million of this financing obligation was outstanding,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All figures presented in the table below are in thousands of U.S. dollars unless otherwise stated. Additionally, certain figures have been restated. Refer to </w:t>
      </w:r>
      <w:r>
        <w:rPr>
          <w:rFonts w:ascii="Times New Roman" w:cs="Times New Roman" w:eastAsia="Times New Roman" w:hAnsi="Times New Roman"/>
          <w:sz w:val="15"/>
          <w:szCs w:val="15"/>
          <w:i w:val="1"/>
          <w:iCs w:val="1"/>
          <w:color w:val="auto"/>
        </w:rPr>
        <w:t>Note 31 - Restatement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financial statements </w:t>
      </w:r>
      <w:r>
        <w:rPr>
          <w:rFonts w:ascii="Times New Roman" w:cs="Times New Roman" w:eastAsia="Times New Roman" w:hAnsi="Times New Roman"/>
          <w:sz w:val="15"/>
          <w:szCs w:val="15"/>
          <w:color w:val="auto"/>
        </w:rPr>
        <w:t>for details.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00" w:type="dxa"/>
            <w:vAlign w:val="bottom"/>
            <w:shd w:val="clear" w:color="auto" w:fill="DBDBDB"/>
          </w:tcPr>
          <w:p>
            <w:pPr>
              <w:spacing w:after="0"/>
              <w:rPr>
                <w:sz w:val="15"/>
                <w:szCs w:val="15"/>
                <w:color w:val="auto"/>
              </w:rPr>
            </w:pPr>
          </w:p>
        </w:tc>
        <w:tc>
          <w:tcPr>
            <w:tcW w:w="298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5"/>
                <w:szCs w:val="15"/>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14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Cash used for operating activities</w:t>
            </w:r>
          </w:p>
        </w:tc>
        <w:tc>
          <w:tcPr>
            <w:tcW w:w="144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(1,893,841)</w:t>
            </w:r>
          </w:p>
        </w:tc>
        <w:tc>
          <w:tcPr>
            <w:tcW w:w="1540" w:type="dxa"/>
            <w:vAlign w:val="bottom"/>
            <w:shd w:val="clear" w:color="auto" w:fill="DBDBDB"/>
          </w:tcPr>
          <w:p>
            <w:pPr>
              <w:jc w:val="right"/>
              <w:ind w:right="483"/>
              <w:spacing w:after="0"/>
              <w:rPr>
                <w:sz w:val="20"/>
                <w:szCs w:val="20"/>
                <w:color w:val="auto"/>
              </w:rPr>
            </w:pPr>
            <w:r>
              <w:rPr>
                <w:rFonts w:ascii="Times New Roman" w:cs="Times New Roman" w:eastAsia="Times New Roman" w:hAnsi="Times New Roman"/>
                <w:sz w:val="15"/>
                <w:szCs w:val="15"/>
                <w:color w:val="auto"/>
              </w:rPr>
              <w:t>(1,080,951)</w:t>
            </w: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(324,050)</w:t>
            </w:r>
          </w:p>
        </w:tc>
      </w:tr>
      <w:tr>
        <w:trPr>
          <w:trHeight w:val="197"/>
        </w:trPr>
        <w:tc>
          <w:tcPr>
            <w:tcW w:w="7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used for investing activities</w:t>
            </w:r>
          </w:p>
        </w:tc>
        <w:tc>
          <w:tcPr>
            <w:tcW w:w="14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(417,619)</w:t>
            </w:r>
          </w:p>
        </w:tc>
        <w:tc>
          <w:tcPr>
            <w:tcW w:w="15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(709,044)</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(126,937)</w:t>
            </w:r>
          </w:p>
        </w:tc>
      </w:tr>
      <w:tr>
        <w:trPr>
          <w:trHeight w:val="197"/>
        </w:trPr>
        <w:tc>
          <w:tcPr>
            <w:tcW w:w="7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Cash provided by financing activities</w:t>
            </w:r>
          </w:p>
        </w:tc>
        <w:tc>
          <w:tcPr>
            <w:tcW w:w="144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2,104,361</w:t>
            </w:r>
          </w:p>
        </w:tc>
        <w:tc>
          <w:tcPr>
            <w:tcW w:w="1540" w:type="dxa"/>
            <w:vAlign w:val="bottom"/>
            <w:shd w:val="clear" w:color="auto" w:fill="DBDBDB"/>
          </w:tcPr>
          <w:p>
            <w:pPr>
              <w:jc w:val="right"/>
              <w:ind w:right="483"/>
              <w:spacing w:after="0"/>
              <w:rPr>
                <w:sz w:val="20"/>
                <w:szCs w:val="20"/>
                <w:color w:val="auto"/>
              </w:rPr>
            </w:pPr>
            <w:r>
              <w:rPr>
                <w:rFonts w:ascii="Times New Roman" w:cs="Times New Roman" w:eastAsia="Times New Roman" w:hAnsi="Times New Roman"/>
                <w:sz w:val="15"/>
                <w:szCs w:val="15"/>
                <w:color w:val="auto"/>
              </w:rPr>
              <w:t>2,074,161</w:t>
            </w: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918,718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used for operating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used for operating activities for the year ended December 31, 2023 was $1,893.8 million, an increase of $812.9 million compared to $1,081.0 million for the year ended</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December 31, 2022. The change is primarily attributable to net loss adjusted for non-cash expenses as well as negative changes in working capital during the year ended December 31, 2023. Negative changes in working capital which led to operating cash outflows in 2023 are largely attributable to increased Inventories, payments of Trade payables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primarily payments of related party trade payables to Volvo Cars, and higher interest payments related to Liabilities to credit institutions and overdue trade payables with Volvo Cars.</w:t>
      </w:r>
    </w:p>
    <w:p>
      <w:pPr>
        <w:spacing w:after="0"/>
        <w:rPr>
          <w:sz w:val="20"/>
          <w:szCs w:val="20"/>
          <w:color w:val="auto"/>
        </w:rPr>
      </w:pPr>
      <w:r>
        <w:rPr>
          <w:rFonts w:ascii="Times New Roman" w:cs="Times New Roman" w:eastAsia="Times New Roman" w:hAnsi="Times New Roman"/>
          <w:sz w:val="15"/>
          <w:szCs w:val="15"/>
          <w:color w:val="auto"/>
        </w:rPr>
        <w:t>These operating cash outflows were partially offset by operating cash inflows resulting from the collection of Trade receivables.</w:t>
      </w:r>
    </w:p>
    <w:p>
      <w:pPr>
        <w:spacing w:after="0" w:line="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In 2023, cash outflows related to the change in Inventories were $358.4 million, materially as an effect of a build-up in inventory. This is an increase of $172.0 million in cash outflow as compared to a cash outflow of $186.4 million for the year ended December 31,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Compared to 2022 cash used for changes in Trade payables, accrued expenses, and other liabilities for the year ended December 31, 2023 was a cash outflow of $488.8 million, an</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increase of $510.1 million compared to a cash inflow of $21.3 million for the year ended December 31, 2022. This was primarily the result of payments of related party trade payables to Volvo Cars of $595.0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used to pay interest for the year ended December 31, 2023 was $220.1 million, an increase of $152.0 million compared to $68.1 million for the year ended December 31, 2022.</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change is primarily due to $147.4 million and $9.1 million in interest paid to credit institutions related to working capital loans and interest paid to Volvo Cars on past due payables,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used for changes in Trade receivables, prepaid expenses, and other assets for the year ended December 31, 2023 was a cash outflow of $156.9 million, a decrease of</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$57.3 million compared to a cash outflow of $214.2 million for the year ended December 31, 2022. The change is primarily due to a decrease of $114.7 million in Trade receivables as a result of greater cash collections from both third and related parties, offset by an increase in related party trade receivables and accrued income from Volvo Cars of $43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used for operating activities for the year ended December 31, 2022 was $1,081.0 million, an increase of $756.8 million compared to $324.1 million for the year ended</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December 31, 2021. The change is primarily attributable to net loss adjusted for non-cash expenses as well as negative changes in working capital during the year ended December 31, 2022. Negative changes in working capital which led to operating cash outflows in 2022 are largely attributable to increased Trade receivables, increased Inventories, and higher interest payments related to Liabilities to credit institutions and overdue trade payables with Volvo Cars.</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Cash provided by changes in Trade receivables, prepaid expenses, and other assets for the year ended December 31, 2022 was a cash outflow of $214.2 million, a decrease of $274.5 million compared to cash inflow of $60.4 million for the year ended December 31, 2021. The change from a cash inflow to a cash outflow is primarily due to an increase of $86.6 million in third party Trade receivables resulting from higher sales volumes, product mix and market mix, as well as an increase of related party trade receivables and accrued</w:t>
      </w:r>
    </w:p>
    <w:p>
      <w:pPr>
        <w:spacing w:after="0"/>
        <w:rPr>
          <w:sz w:val="20"/>
          <w:szCs w:val="20"/>
          <w:color w:val="auto"/>
        </w:rPr>
      </w:pPr>
      <w:r>
        <w:rPr>
          <w:rFonts w:ascii="Times New Roman" w:cs="Times New Roman" w:eastAsia="Times New Roman" w:hAnsi="Times New Roman"/>
          <w:sz w:val="15"/>
          <w:szCs w:val="15"/>
          <w:color w:val="auto"/>
        </w:rPr>
        <w:t>income from Volvo Cars of $110.3 million.</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In 2022, cash outflows related to the change in Inventories was $186.4 million, as an effect of build-up in inventory following a general ramp up in business and a readiness to deliver on orders in 2023. This is a decrease of $97.4 million in cash outflow as compared to a cash outflow of $283.8 million for the year ended December 31, 2021.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used to pay interest for the year ended December 31, 2022 was $68.1 million, an increase of $55.5 million compared to $12.6 million for the year ended December 31, 2021.</w:t>
      </w:r>
    </w:p>
    <w:p>
      <w:pPr>
        <w:spacing w:after="0"/>
        <w:rPr>
          <w:sz w:val="20"/>
          <w:szCs w:val="20"/>
          <w:color w:val="auto"/>
        </w:rPr>
      </w:pPr>
      <w:r>
        <w:rPr>
          <w:rFonts w:ascii="Times New Roman" w:cs="Times New Roman" w:eastAsia="Times New Roman" w:hAnsi="Times New Roman"/>
          <w:sz w:val="15"/>
          <w:szCs w:val="15"/>
          <w:color w:val="auto"/>
        </w:rPr>
        <w:t>The change is primarily due to $25.4 million and $36.5 million in interest paid to credit institutions related to working capital loans and Volvo Cars on past due payables,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Compared to 2021, cash used for changes in Trade payables, accrued expenses, and other liabilities for the year ended December 31, 2022 was $21.3 million, a decrease of</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$467.9 million compared to $489.2 million for the year ended December 31, 2021, primarily due to lower repayments of trade payables with Volvo Cars during the year ended December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used for investing activities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Cash used for investing activities for the year ended December 31, 2023 was $417.6 million, a decrease of $291.4 million compared to $709 million for the year ended December 31, 2022. The change was primarily the result of less settlements with Volvo Cars and Geely for current and prior period investments in intellectual property related to the Polestar 2, Polestar 3, and Polestar 4, Additionally, in 2023, Polestar received proceeds from the disposal of assets classified as held for sale amounting to $153.6 million. This decrease in</w:t>
      </w:r>
    </w:p>
    <w:p>
      <w:pPr>
        <w:spacing w:after="0"/>
        <w:rPr>
          <w:sz w:val="20"/>
          <w:szCs w:val="20"/>
          <w:color w:val="auto"/>
        </w:rPr>
      </w:pPr>
      <w:r>
        <w:rPr>
          <w:rFonts w:ascii="Times New Roman" w:cs="Times New Roman" w:eastAsia="Times New Roman" w:hAnsi="Times New Roman"/>
          <w:sz w:val="15"/>
          <w:szCs w:val="15"/>
          <w:color w:val="auto"/>
        </w:rPr>
        <w:t>investing cash outflows was partially offset by a cash settlement of $137.4 million related to Property, plant, and equipment purchased mostly in the current year.</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Cash used for investing activities for the year ended December 31, 2022 was $709 million, an increase of $582.1 million compared to $126.9 million for the year ended December 31, 2021. The change was primarily the result of significantly more cash settlements with Volvo Cars and Geely for prior period investments in intellectual property related to the Polestar 2, Polestar 3 and Polestar 4. Polestar also made an investment of $2.5 million in the fast-charging battery technology innovator, StoreDot, during the year ended</w:t>
      </w:r>
    </w:p>
    <w:p>
      <w:pPr>
        <w:spacing w:after="0"/>
        <w:rPr>
          <w:sz w:val="20"/>
          <w:szCs w:val="20"/>
          <w:color w:val="auto"/>
        </w:rPr>
      </w:pPr>
      <w:r>
        <w:rPr>
          <w:rFonts w:ascii="Times New Roman" w:cs="Times New Roman" w:eastAsia="Times New Roman" w:hAnsi="Times New Roman"/>
          <w:sz w:val="15"/>
          <w:szCs w:val="15"/>
          <w:color w:val="auto"/>
        </w:rPr>
        <w:t>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provided by financing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provided by financing activities was $2,104.4 million for the year ended December 31, 2023 and $2,074.2 million for the year ended December 31, 2022. Liquidity provided</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through financing was the result of 15 short-term working capital loans and two long-term related party loans. Polestar’s borrowings provided $4,681.2 million in gross cash proceeds during the period, of which $1,478.9 million was sourced from 14 short-term working capital facilities with Chinese and European banking partners, $1,500.4 million was sourced from a short-term green trade revolving credit facility with a syndicate of European banks, $1,381.7 million was sourced from long-term related party loans with Geely and Volvo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Cars, and $295.0 million was sourced from multiple short-term low-value floorplan and sale-leaseback facilities, including a small credit facility with Volvo Cars. These gross cash proceeds were partially offset by principal repayments of $2,553.0 million during the period, of which $1,004.8 million was used to settle eight short-term working capital facilities with Chinese and European banking partners, $1,354.1 million was used to settle amounts due on the green trade revolving credit facility, and $194.1 million was used to settle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amounts due on the low-value floorplan and sale-leaseback facilities, including the credit facility with Volvo Cars.</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Cash provided by financing activities for the year ended December 31, 2022 was $2,074.2 million, an increase of $1,155.4 million compared to $918.7 million for the year ended December 31, 2021. The change was primarily the result of (1) the merger with GGI</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that occurred on June 23, 2022 resulting in total cash received in the transaction of $1.4 million and (2) increased liquidity provided by eight short-term working capital facilities secured by Polestar during the year ended December 31, 2022. The merger with GGI and related arrangements provided Polestar with gross cash proceeds of $1.4 million, of which</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$0.6 million was provided by Volvo Cars, $0.3 million was provided by PIPE investors, and $0.6 was provided by transfer from GGI to the group at close, less transaction costs of $0.1 million. Polestar’s borrowings provided $2,149.8 million in gross cash proceeds during the period, of which $1,021.9 million was sourced from seven short-term working capital facilities with Chinese banking partners, $966.9 million was sourced from a green trade revolving credit facility with a syndicate of European banks, and $161 million was sourced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from multiple low-value floorplan and sale-leaseback facilities, including a small credit facility with Volvo Cars. These gross cash proceeds were partially offset by principal repayments of $1,426.9 million during the period, of which $604.8 million was used to settle three short-term working capital facilities with Chinese banking partners, $669.6 million was used to settle amounts due on the green trade revolving credit facility, and $152.5 million was used to settle amounts due on the low-value floorplan and sale-leaseback facilities,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including the credit facility with Volvo Cars.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 xml:space="preserve">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w:t>
      </w:r>
      <w:r>
        <w:rPr>
          <w:rFonts w:ascii="Times New Roman" w:cs="Times New Roman" w:eastAsia="Times New Roman" w:hAnsi="Times New Roman"/>
          <w:sz w:val="15"/>
          <w:szCs w:val="15"/>
          <w:i w:val="1"/>
          <w:iCs w:val="1"/>
          <w:color w:val="auto"/>
        </w:rPr>
        <w:t>Note 12 - Leases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Note 25 - Liabilities</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5"/>
          <w:szCs w:val="15"/>
          <w:i w:val="1"/>
          <w:iCs w:val="1"/>
          <w:color w:val="auto"/>
        </w:rPr>
        <w:t>to credit institutions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Note 27 - Related party transactions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Note 29 - Commitments and contingencies </w:t>
      </w:r>
      <w:r>
        <w:rPr>
          <w:rFonts w:ascii="Times New Roman" w:cs="Times New Roman" w:eastAsia="Times New Roman" w:hAnsi="Times New Roman"/>
          <w:sz w:val="15"/>
          <w:szCs w:val="15"/>
          <w:color w:val="auto"/>
        </w:rPr>
        <w:t>in the accompanying Consolidated financial statements for more detail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contractual obligations and commitments.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Polestar’s estimated future cash expenditures related to contractual obligations and commitments as of December 31, 2023. All figures presented in</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the table below are in thousands of U.S. dollars unless otherwise stated. Additionally, certain figures have been restated. The capital and minimum purchase amounts presented within the following table decreased as a result of Management determining that certain previously disclosed contracts contained cancellation terms indicating the Company had no contractual commitment upon signing. Refer to </w:t>
      </w:r>
      <w:r>
        <w:rPr>
          <w:rFonts w:ascii="Times New Roman" w:cs="Times New Roman" w:eastAsia="Times New Roman" w:hAnsi="Times New Roman"/>
          <w:sz w:val="15"/>
          <w:szCs w:val="15"/>
          <w:i w:val="1"/>
          <w:iCs w:val="1"/>
          <w:color w:val="auto"/>
        </w:rPr>
        <w:t>Note 31 - Restatement of financial statements</w:t>
      </w:r>
      <w:r>
        <w:rPr>
          <w:rFonts w:ascii="Times New Roman" w:cs="Times New Roman" w:eastAsia="Times New Roman" w:hAnsi="Times New Roman"/>
          <w:sz w:val="15"/>
          <w:szCs w:val="15"/>
          <w:color w:val="auto"/>
        </w:rPr>
        <w:t xml:space="preserve"> for details of restatement of other Contractual obligations and commitments.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2260" w:type="dxa"/>
            <w:vAlign w:val="bottom"/>
            <w:tcBorders>
              <w:bottom w:val="single" w:sz="8" w:color="auto"/>
            </w:tcBorders>
            <w:gridSpan w:val="3"/>
            <w:shd w:val="clear" w:color="auto" w:fill="DBDBDB"/>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28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spacing w:after="0"/>
              <w:rPr>
                <w:sz w:val="16"/>
                <w:szCs w:val="16"/>
                <w:color w:val="auto"/>
              </w:rPr>
            </w:pPr>
          </w:p>
        </w:tc>
      </w:tr>
      <w:tr>
        <w:trPr>
          <w:trHeight w:val="142"/>
        </w:trPr>
        <w:tc>
          <w:tcPr>
            <w:tcW w:w="6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23"/>
              <w:spacing w:after="0" w:line="142" w:lineRule="exact"/>
              <w:rPr>
                <w:sz w:val="20"/>
                <w:szCs w:val="20"/>
                <w:color w:val="auto"/>
              </w:rPr>
            </w:pPr>
            <w:r>
              <w:rPr>
                <w:rFonts w:ascii="Times New Roman" w:cs="Times New Roman" w:eastAsia="Times New Roman" w:hAnsi="Times New Roman"/>
                <w:sz w:val="15"/>
                <w:szCs w:val="15"/>
                <w:color w:val="auto"/>
              </w:rPr>
              <w:t>Less than</w:t>
            </w:r>
          </w:p>
        </w:tc>
        <w:tc>
          <w:tcPr>
            <w:tcW w:w="260" w:type="dxa"/>
            <w:vAlign w:val="bottom"/>
          </w:tcPr>
          <w:p>
            <w:pPr>
              <w:spacing w:after="0"/>
              <w:rPr>
                <w:sz w:val="12"/>
                <w:szCs w:val="12"/>
                <w:color w:val="auto"/>
              </w:rPr>
            </w:pPr>
          </w:p>
        </w:tc>
        <w:tc>
          <w:tcPr>
            <w:tcW w:w="1000" w:type="dxa"/>
            <w:vAlign w:val="bottom"/>
          </w:tcPr>
          <w:p>
            <w:pPr>
              <w:jc w:val="right"/>
              <w:ind w:right="243"/>
              <w:spacing w:after="0" w:line="142" w:lineRule="exact"/>
              <w:rPr>
                <w:sz w:val="20"/>
                <w:szCs w:val="20"/>
                <w:color w:val="auto"/>
              </w:rPr>
            </w:pPr>
            <w:r>
              <w:rPr>
                <w:rFonts w:ascii="Times New Roman" w:cs="Times New Roman" w:eastAsia="Times New Roman" w:hAnsi="Times New Roman"/>
                <w:sz w:val="15"/>
                <w:szCs w:val="15"/>
                <w:color w:val="auto"/>
              </w:rPr>
              <w:t>Between</w:t>
            </w:r>
          </w:p>
        </w:tc>
        <w:tc>
          <w:tcPr>
            <w:tcW w:w="280" w:type="dxa"/>
            <w:vAlign w:val="bottom"/>
          </w:tcPr>
          <w:p>
            <w:pPr>
              <w:spacing w:after="0"/>
              <w:rPr>
                <w:sz w:val="12"/>
                <w:szCs w:val="12"/>
                <w:color w:val="auto"/>
              </w:rPr>
            </w:pPr>
          </w:p>
        </w:tc>
        <w:tc>
          <w:tcPr>
            <w:tcW w:w="1000" w:type="dxa"/>
            <w:vAlign w:val="bottom"/>
          </w:tcPr>
          <w:p>
            <w:pPr>
              <w:jc w:val="right"/>
              <w:ind w:right="323"/>
              <w:spacing w:after="0" w:line="142" w:lineRule="exact"/>
              <w:rPr>
                <w:sz w:val="20"/>
                <w:szCs w:val="20"/>
                <w:color w:val="auto"/>
              </w:rPr>
            </w:pPr>
            <w:r>
              <w:rPr>
                <w:rFonts w:ascii="Times New Roman" w:cs="Times New Roman" w:eastAsia="Times New Roman" w:hAnsi="Times New Roman"/>
                <w:sz w:val="15"/>
                <w:szCs w:val="15"/>
                <w:color w:val="auto"/>
              </w:rPr>
              <w:t>After 5</w:t>
            </w:r>
          </w:p>
        </w:tc>
      </w:tr>
      <w:tr>
        <w:trPr>
          <w:trHeight w:val="208"/>
        </w:trPr>
        <w:tc>
          <w:tcPr>
            <w:tcW w:w="626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1 year</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1-5 years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years</w:t>
            </w:r>
          </w:p>
        </w:tc>
      </w:tr>
      <w:tr>
        <w:trPr>
          <w:trHeight w:val="177"/>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tc>
        <w:tc>
          <w:tcPr>
            <w:tcW w:w="2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r>
      <w:tr>
        <w:trPr>
          <w:trHeight w:val="197"/>
        </w:trPr>
        <w:tc>
          <w:tcPr>
            <w:tcW w:w="626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Capital commitments</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224,011</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179,514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32,415</w:t>
            </w: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12,082</w:t>
            </w:r>
          </w:p>
        </w:tc>
      </w:tr>
      <w:tr>
        <w:trPr>
          <w:trHeight w:val="197"/>
        </w:trPr>
        <w:tc>
          <w:tcPr>
            <w:tcW w:w="6260" w:type="dxa"/>
            <w:vAlign w:val="bottom"/>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Minimum purchase commitments</w:t>
            </w:r>
            <w:r>
              <w:rPr>
                <w:rFonts w:ascii="Times New Roman" w:cs="Times New Roman" w:eastAsia="Times New Roman" w:hAnsi="Times New Roman"/>
                <w:sz w:val="20"/>
                <w:szCs w:val="20"/>
                <w:color w:val="auto"/>
                <w:vertAlign w:val="superscript"/>
              </w:rPr>
              <w:t>2</w:t>
            </w: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431,385</w:t>
            </w:r>
          </w:p>
        </w:tc>
        <w:tc>
          <w:tcPr>
            <w:tcW w:w="2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150,895</w:t>
            </w:r>
          </w:p>
        </w:tc>
        <w:tc>
          <w:tcPr>
            <w:tcW w:w="2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246,665</w:t>
            </w: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33,825</w:t>
            </w:r>
          </w:p>
        </w:tc>
      </w:tr>
      <w:tr>
        <w:trPr>
          <w:trHeight w:val="197"/>
        </w:trPr>
        <w:tc>
          <w:tcPr>
            <w:tcW w:w="626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Credit facilities, including sale leasebacks and floor plans</w:t>
            </w:r>
            <w:r>
              <w:rPr>
                <w:rFonts w:ascii="Times New Roman" w:cs="Times New Roman" w:eastAsia="Times New Roman" w:hAnsi="Times New Roman"/>
                <w:sz w:val="20"/>
                <w:szCs w:val="20"/>
                <w:color w:val="auto"/>
                <w:vertAlign w:val="superscript"/>
              </w:rPr>
              <w:t>3</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2,024,709</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2,024,709</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260" w:type="dxa"/>
            <w:vAlign w:val="bottom"/>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Other liabilities, including floor plans - related parties</w:t>
            </w:r>
            <w:r>
              <w:rPr>
                <w:rFonts w:ascii="Times New Roman" w:cs="Times New Roman" w:eastAsia="Times New Roman" w:hAnsi="Times New Roman"/>
                <w:sz w:val="20"/>
                <w:szCs w:val="20"/>
                <w:color w:val="auto"/>
                <w:vertAlign w:val="superscript"/>
              </w:rPr>
              <w:t>4</w:t>
            </w: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1,908,346</w:t>
            </w:r>
          </w:p>
        </w:tc>
        <w:tc>
          <w:tcPr>
            <w:tcW w:w="2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175,801</w:t>
            </w:r>
          </w:p>
        </w:tc>
        <w:tc>
          <w:tcPr>
            <w:tcW w:w="2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1,700,769</w:t>
            </w: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31,776</w:t>
            </w:r>
          </w:p>
        </w:tc>
      </w:tr>
      <w:tr>
        <w:trPr>
          <w:trHeight w:val="197"/>
        </w:trPr>
        <w:tc>
          <w:tcPr>
            <w:tcW w:w="6260" w:type="dxa"/>
            <w:vAlign w:val="bottom"/>
            <w:tcBorders>
              <w:bottom w:val="single" w:sz="8" w:color="DBDBDB"/>
            </w:tcBorders>
          </w:tcPr>
          <w:p>
            <w:pPr>
              <w:spacing w:after="0" w:line="197" w:lineRule="exact"/>
              <w:rPr>
                <w:sz w:val="20"/>
                <w:szCs w:val="20"/>
                <w:color w:val="auto"/>
              </w:rPr>
            </w:pPr>
            <w:r>
              <w:rPr>
                <w:rFonts w:ascii="Times New Roman" w:cs="Times New Roman" w:eastAsia="Times New Roman" w:hAnsi="Times New Roman"/>
                <w:sz w:val="15"/>
                <w:szCs w:val="15"/>
                <w:color w:val="auto"/>
              </w:rPr>
              <w:t>Lease obligations including related parties</w:t>
            </w:r>
            <w:r>
              <w:rPr>
                <w:rFonts w:ascii="Times New Roman" w:cs="Times New Roman" w:eastAsia="Times New Roman" w:hAnsi="Times New Roman"/>
                <w:sz w:val="20"/>
                <w:szCs w:val="20"/>
                <w:color w:val="auto"/>
                <w:vertAlign w:val="superscript"/>
              </w:rPr>
              <w:t>5</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139,547</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32,685</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91,404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15,458</w:t>
            </w:r>
          </w:p>
        </w:tc>
      </w:tr>
      <w:tr>
        <w:trPr>
          <w:trHeight w:val="188"/>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4,727,998</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2,563,604</w:t>
            </w: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2,071,253</w:t>
            </w:r>
          </w:p>
        </w:tc>
        <w:tc>
          <w:tcPr>
            <w:tcW w:w="28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93,141</w:t>
            </w:r>
          </w:p>
        </w:tc>
      </w:tr>
    </w:tbl>
    <w:p>
      <w:pPr>
        <w:spacing w:after="0" w:line="38" w:lineRule="exact"/>
        <w:rPr>
          <w:sz w:val="20"/>
          <w:szCs w:val="20"/>
          <w:color w:val="auto"/>
        </w:rPr>
      </w:pPr>
    </w:p>
    <w:p>
      <w:pPr>
        <w:ind w:left="540" w:right="20" w:hanging="270"/>
        <w:spacing w:after="0" w:line="233" w:lineRule="auto"/>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commitments relate to Polestar's investment in PPE and intangible assets for the production of upcoming Polestar 3 models, Polestar 4, Polestar 5 and Polestar 6. Additionally, the remaining capital injections Polestar will provide Polestar Technology are included herein.</w:t>
      </w:r>
    </w:p>
    <w:p>
      <w:pPr>
        <w:ind w:left="540" w:right="120" w:hanging="270"/>
        <w:spacing w:after="0" w:line="214" w:lineRule="auto"/>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Minimum purchase commitments relate to contracts with certain suppliers including a non-cancellable commitment, an agreed minimum purchase volume, or an agreement minimum sales volume. In the event of a shortfall in purchases, a shortfall in sales, or Polestar´s decision to terminate such contracts, these suppliers are entitled to compensation from Polestar. Refer to </w:t>
      </w:r>
      <w:r>
        <w:rPr>
          <w:rFonts w:ascii="Times New Roman" w:cs="Times New Roman" w:eastAsia="Times New Roman" w:hAnsi="Times New Roman"/>
          <w:sz w:val="12"/>
          <w:szCs w:val="12"/>
          <w:i w:val="1"/>
          <w:iCs w:val="1"/>
          <w:color w:val="auto"/>
        </w:rPr>
        <w:t>Note 27 - Related party transactions</w:t>
      </w:r>
      <w:r>
        <w:rPr>
          <w:rFonts w:ascii="Times New Roman" w:cs="Times New Roman" w:eastAsia="Times New Roman" w:hAnsi="Times New Roman"/>
          <w:sz w:val="12"/>
          <w:szCs w:val="12"/>
          <w:color w:val="auto"/>
        </w:rPr>
        <w:t xml:space="preserve"> for further details on Polestar's minimum sales volume commitment.</w:t>
      </w:r>
    </w:p>
    <w:p>
      <w:pPr>
        <w:spacing w:after="0" w:line="1" w:lineRule="exact"/>
        <w:rPr>
          <w:rFonts w:ascii="Times New Roman" w:cs="Times New Roman" w:eastAsia="Times New Roman" w:hAnsi="Times New Roman"/>
          <w:sz w:val="12"/>
          <w:szCs w:val="12"/>
          <w:color w:val="auto"/>
        </w:rPr>
      </w:pPr>
    </w:p>
    <w:p>
      <w:pPr>
        <w:ind w:left="540" w:hanging="270"/>
        <w:spacing w:after="0" w:line="201" w:lineRule="auto"/>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Refer to </w:t>
      </w:r>
      <w:r>
        <w:rPr>
          <w:rFonts w:ascii="Times New Roman" w:cs="Times New Roman" w:eastAsia="Times New Roman" w:hAnsi="Times New Roman"/>
          <w:sz w:val="12"/>
          <w:szCs w:val="12"/>
          <w:i w:val="1"/>
          <w:iCs w:val="1"/>
          <w:color w:val="auto"/>
        </w:rPr>
        <w:t>Note 25 - Liabilities to credit institutions</w:t>
      </w:r>
      <w:r>
        <w:rPr>
          <w:rFonts w:ascii="Times New Roman" w:cs="Times New Roman" w:eastAsia="Times New Roman" w:hAnsi="Times New Roman"/>
          <w:sz w:val="12"/>
          <w:szCs w:val="12"/>
          <w:color w:val="auto"/>
        </w:rPr>
        <w:t xml:space="preserve"> for further details on Polestar's credit facilities including sale leasebacks and floor plans.</w:t>
      </w:r>
    </w:p>
    <w:p>
      <w:pPr>
        <w:ind w:left="540" w:hanging="270"/>
        <w:spacing w:after="0" w:line="221" w:lineRule="auto"/>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Refer to </w:t>
      </w:r>
      <w:r>
        <w:rPr>
          <w:rFonts w:ascii="Times New Roman" w:cs="Times New Roman" w:eastAsia="Times New Roman" w:hAnsi="Times New Roman"/>
          <w:sz w:val="12"/>
          <w:szCs w:val="12"/>
          <w:i w:val="1"/>
          <w:iCs w:val="1"/>
          <w:color w:val="auto"/>
        </w:rPr>
        <w:t>Note 27 - Related party transactions</w:t>
      </w:r>
      <w:r>
        <w:rPr>
          <w:rFonts w:ascii="Times New Roman" w:cs="Times New Roman" w:eastAsia="Times New Roman" w:hAnsi="Times New Roman"/>
          <w:sz w:val="12"/>
          <w:szCs w:val="12"/>
          <w:color w:val="auto"/>
        </w:rPr>
        <w:t xml:space="preserve"> for further details.</w:t>
      </w:r>
    </w:p>
    <w:p>
      <w:pPr>
        <w:ind w:left="540" w:hanging="270"/>
        <w:spacing w:after="0"/>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Refer to </w:t>
      </w:r>
      <w:r>
        <w:rPr>
          <w:rFonts w:ascii="Times New Roman" w:cs="Times New Roman" w:eastAsia="Times New Roman" w:hAnsi="Times New Roman"/>
          <w:sz w:val="12"/>
          <w:szCs w:val="12"/>
          <w:i w:val="1"/>
          <w:iCs w:val="1"/>
          <w:color w:val="auto"/>
        </w:rPr>
        <w:t>Note 12 - Leases</w:t>
      </w:r>
      <w:r>
        <w:rPr>
          <w:rFonts w:ascii="Times New Roman" w:cs="Times New Roman" w:eastAsia="Times New Roman" w:hAnsi="Times New Roman"/>
          <w:sz w:val="12"/>
          <w:szCs w:val="12"/>
          <w:color w:val="auto"/>
        </w:rPr>
        <w:t xml:space="preserve"> for further details.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Other than the capital commitments mentioned in “</w:t>
      </w:r>
      <w:r>
        <w:rPr>
          <w:rFonts w:ascii="Times New Roman" w:cs="Times New Roman" w:eastAsia="Times New Roman" w:hAnsi="Times New Roman"/>
          <w:sz w:val="15"/>
          <w:szCs w:val="15"/>
          <w:i w:val="1"/>
          <w:iCs w:val="1"/>
          <w:color w:val="auto"/>
        </w:rPr>
        <w:t>Contractual obligations and commitments</w:t>
      </w:r>
      <w:r>
        <w:rPr>
          <w:rFonts w:ascii="Times New Roman" w:cs="Times New Roman" w:eastAsia="Times New Roman" w:hAnsi="Times New Roman"/>
          <w:sz w:val="15"/>
          <w:szCs w:val="15"/>
          <w:color w:val="auto"/>
        </w:rPr>
        <w:t>” in this “</w:t>
      </w:r>
      <w:r>
        <w:rPr>
          <w:rFonts w:ascii="Times New Roman" w:cs="Times New Roman" w:eastAsia="Times New Roman" w:hAnsi="Times New Roman"/>
          <w:sz w:val="15"/>
          <w:szCs w:val="15"/>
          <w:i w:val="1"/>
          <w:iCs w:val="1"/>
          <w:color w:val="auto"/>
        </w:rPr>
        <w:t>Operating and Financial Review and Prospectus</w:t>
      </w:r>
      <w:r>
        <w:rPr>
          <w:rFonts w:ascii="Times New Roman" w:cs="Times New Roman" w:eastAsia="Times New Roman" w:hAnsi="Times New Roman"/>
          <w:sz w:val="15"/>
          <w:szCs w:val="15"/>
          <w:color w:val="auto"/>
        </w:rPr>
        <w:t>,” 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Non-GAAP Financial Measures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uses both generally accepted accounting principles (“GAAP,” i.e., IFRS) and non-GAAP (i.e., non-IFRS) financial measures to evaluate operating performance, internal comparisons to historical performance, and other strategic and financial decision-making purposes. Polestar believes non-GAAP financial measures are helpful to investors as they</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non-GAAP measures are presented for supplemental information purposes only and should not be considered a substitute for financial information presented in accordance</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with GAAP. The measures are not presented under a comprehensive set of accounting rules and, therefore, should only be read in conjunction with financial information reported under GAAP when understanding Polestar's operating performance.</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Non-GAAP financial measures include adjusted operating loss, adjusted EBITDA, adjusted net loss, and adjusted free cash flow.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Adjusted Operating Loss</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Adjusted EBITDA</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Adjusted EBITDA is calculated as Net loss, adjusted for listing expense, Fair value change - Earn-out rights, Fair value change - Class C Shares, interest income, interest expense, Income tax benefit (expense), depreciation and amortization, and the impairment of Property, plant and equipment, Vehicles under operating leases, and intangibles assets. Adjusted EBITDA is defined as EBITDA, adjusted for certain income and expenses which are significant in nature and that management considers not reflective of ongoing operational</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activities. This measure is reviewed by management and is a relevant measure for understanding the underlying operating results and trends of the business prior to the impact of any adjusting items.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Adjusted Net Loss</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Adjusted net loss is calculated as Net loss, adjusted to exclude Listing expense, Fair value change - Earn-out rights, Fair value change -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Adjusted Free Cash Flow</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Adjusted 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initiatives.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Reconciliation of GAAP and Non-GAAP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All figures presented in the tables below are in thousands of U.S. dollars unless otherwise stated. Additionally, certain figures have been restated. Refer to </w:t>
      </w:r>
      <w:r>
        <w:rPr>
          <w:rFonts w:ascii="Times New Roman" w:cs="Times New Roman" w:eastAsia="Times New Roman" w:hAnsi="Times New Roman"/>
          <w:sz w:val="15"/>
          <w:szCs w:val="15"/>
          <w:i w:val="1"/>
          <w:iCs w:val="1"/>
          <w:color w:val="auto"/>
        </w:rPr>
        <w:t>Note 31 - Restatement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 xml:space="preserve">financial statements </w:t>
            </w:r>
            <w:r>
              <w:rPr>
                <w:rFonts w:ascii="Times New Roman" w:cs="Times New Roman" w:eastAsia="Times New Roman" w:hAnsi="Times New Roman"/>
                <w:sz w:val="15"/>
                <w:szCs w:val="15"/>
                <w:color w:val="auto"/>
              </w:rPr>
              <w:t>for details.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Adjusted Operating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93"/>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gridSpan w:val="4"/>
          </w:tcPr>
          <w:p>
            <w:pPr>
              <w:spacing w:after="0"/>
              <w:rPr>
                <w:sz w:val="8"/>
                <w:szCs w:val="8"/>
                <w:color w:val="auto"/>
              </w:rPr>
            </w:pPr>
          </w:p>
        </w:tc>
        <w:tc>
          <w:tcPr>
            <w:tcW w:w="780" w:type="dxa"/>
            <w:vAlign w:val="bottom"/>
          </w:tcPr>
          <w:p>
            <w:pPr>
              <w:spacing w:after="0"/>
              <w:rPr>
                <w:sz w:val="8"/>
                <w:szCs w:val="8"/>
                <w:color w:val="auto"/>
              </w:rPr>
            </w:pPr>
          </w:p>
        </w:tc>
      </w:tr>
      <w:tr>
        <w:trPr>
          <w:trHeight w:val="197"/>
        </w:trPr>
        <w:tc>
          <w:tcPr>
            <w:tcW w:w="75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4"/>
            <w:shd w:val="clear" w:color="auto" w:fill="DBDBDB"/>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2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(1,469,514)</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(1,286,568)</w:t>
            </w:r>
          </w:p>
        </w:tc>
        <w:tc>
          <w:tcPr>
            <w:tcW w:w="50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(960,636)</w:t>
            </w:r>
          </w:p>
        </w:tc>
      </w:tr>
      <w:tr>
        <w:trPr>
          <w:trHeight w:val="197"/>
        </w:trPr>
        <w:tc>
          <w:tcPr>
            <w:tcW w:w="7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Adjusted operating loss</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(1,469,514)</w:t>
            </w:r>
          </w:p>
        </w:tc>
        <w:tc>
          <w:tcPr>
            <w:tcW w:w="30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(914,250)</w:t>
            </w:r>
          </w:p>
        </w:tc>
        <w:tc>
          <w:tcPr>
            <w:tcW w:w="50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(960,636)</w:t>
            </w:r>
          </w:p>
        </w:tc>
      </w:tr>
      <w:tr>
        <w:trPr>
          <w:trHeight w:val="339"/>
        </w:trPr>
        <w:tc>
          <w:tcPr>
            <w:tcW w:w="75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Adjusted EBITDA</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3"/>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gridSpan w:val="4"/>
          </w:tcPr>
          <w:p>
            <w:pPr>
              <w:spacing w:after="0"/>
              <w:rPr>
                <w:sz w:val="8"/>
                <w:szCs w:val="8"/>
                <w:color w:val="auto"/>
              </w:rPr>
            </w:pPr>
          </w:p>
        </w:tc>
        <w:tc>
          <w:tcPr>
            <w:tcW w:w="780" w:type="dxa"/>
            <w:vAlign w:val="bottom"/>
          </w:tcPr>
          <w:p>
            <w:pPr>
              <w:spacing w:after="0"/>
              <w:rPr>
                <w:sz w:val="8"/>
                <w:szCs w:val="8"/>
                <w:color w:val="auto"/>
              </w:rPr>
            </w:pPr>
          </w:p>
        </w:tc>
      </w:tr>
      <w:tr>
        <w:trPr>
          <w:trHeight w:val="197"/>
        </w:trPr>
        <w:tc>
          <w:tcPr>
            <w:tcW w:w="75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4"/>
            <w:shd w:val="clear" w:color="auto" w:fill="DBDBDB"/>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(1,181,875)</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(479,017)</w:t>
            </w:r>
          </w:p>
        </w:tc>
        <w:tc>
          <w:tcPr>
            <w:tcW w:w="50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(969,808)</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5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(443,168)</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50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(22,000)</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5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(32,280)</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(7,658)</w:t>
            </w:r>
          </w:p>
        </w:tc>
        <w:tc>
          <w:tcPr>
            <w:tcW w:w="50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(1,396)</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205,678</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77,477</w:t>
            </w:r>
          </w:p>
        </w:tc>
        <w:tc>
          <w:tcPr>
            <w:tcW w:w="5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44,828</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(9,452)</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29,757</w:t>
            </w:r>
          </w:p>
        </w:tc>
        <w:tc>
          <w:tcPr>
            <w:tcW w:w="50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(3,076)</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115,445</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140,806</w:t>
            </w:r>
          </w:p>
        </w:tc>
        <w:tc>
          <w:tcPr>
            <w:tcW w:w="5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211,579</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Impairment of property plant and equipment, vehicles under operating leases, and intangible assets</w:t>
            </w:r>
          </w:p>
        </w:tc>
        <w:tc>
          <w:tcPr>
            <w:tcW w:w="2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339,568</w:t>
            </w:r>
          </w:p>
        </w:tc>
        <w:tc>
          <w:tcPr>
            <w:tcW w:w="3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(1,028,084)</w:t>
            </w:r>
          </w:p>
        </w:tc>
        <w:tc>
          <w:tcPr>
            <w:tcW w:w="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(803,475)</w:t>
            </w:r>
          </w:p>
        </w:tc>
        <w:tc>
          <w:tcPr>
            <w:tcW w:w="5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(717,873)</w:t>
            </w:r>
          </w:p>
        </w:tc>
      </w:tr>
      <w:tr>
        <w:trPr>
          <w:trHeight w:val="431"/>
        </w:trPr>
        <w:tc>
          <w:tcPr>
            <w:tcW w:w="75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Adjusted Net Loss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3"/>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gridSpan w:val="4"/>
          </w:tcPr>
          <w:p>
            <w:pPr>
              <w:spacing w:after="0"/>
              <w:rPr>
                <w:sz w:val="8"/>
                <w:szCs w:val="8"/>
                <w:color w:val="auto"/>
              </w:rPr>
            </w:pPr>
          </w:p>
        </w:tc>
        <w:tc>
          <w:tcPr>
            <w:tcW w:w="780" w:type="dxa"/>
            <w:vAlign w:val="bottom"/>
          </w:tcPr>
          <w:p>
            <w:pPr>
              <w:spacing w:after="0"/>
              <w:rPr>
                <w:sz w:val="8"/>
                <w:szCs w:val="8"/>
                <w:color w:val="auto"/>
              </w:rPr>
            </w:pPr>
          </w:p>
        </w:tc>
      </w:tr>
      <w:tr>
        <w:trPr>
          <w:trHeight w:val="197"/>
        </w:trPr>
        <w:tc>
          <w:tcPr>
            <w:tcW w:w="75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4"/>
            <w:shd w:val="clear" w:color="auto" w:fill="DBDBDB"/>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(1,181,875)</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(479,017)</w:t>
            </w:r>
          </w:p>
        </w:tc>
        <w:tc>
          <w:tcPr>
            <w:tcW w:w="50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(969,808)</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5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(443,168)</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50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752"/>
        </w:trPr>
        <w:tc>
          <w:tcPr>
            <w:tcW w:w="7500" w:type="dxa"/>
            <w:vAlign w:val="bottom"/>
          </w:tcPr>
          <w:p>
            <w:pPr>
              <w:ind w:left="5540"/>
              <w:spacing w:after="0"/>
              <w:rPr>
                <w:sz w:val="20"/>
                <w:szCs w:val="20"/>
                <w:color w:val="auto"/>
              </w:rPr>
            </w:pPr>
            <w:r>
              <w:rPr>
                <w:rFonts w:ascii="Times New Roman" w:cs="Times New Roman" w:eastAsia="Times New Roman" w:hAnsi="Times New Roman"/>
                <w:sz w:val="15"/>
                <w:szCs w:val="15"/>
                <w:color w:val="auto"/>
              </w:rPr>
              <w:t>35</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3"/>
        </w:trPr>
        <w:tc>
          <w:tcPr>
            <w:tcW w:w="75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(22,000)</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Adjusted net loss</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(1,647,043)</w:t>
            </w:r>
          </w:p>
        </w:tc>
        <w:tc>
          <w:tcPr>
            <w:tcW w:w="30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(1,043,857)</w:t>
            </w:r>
          </w:p>
        </w:tc>
        <w:tc>
          <w:tcPr>
            <w:tcW w:w="50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(969,808)</w:t>
            </w:r>
          </w:p>
        </w:tc>
      </w:tr>
      <w:tr>
        <w:trPr>
          <w:trHeight w:val="339"/>
        </w:trPr>
        <w:tc>
          <w:tcPr>
            <w:tcW w:w="75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Adjusted Free Cash Flow</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3"/>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gridSpan w:val="4"/>
          </w:tcPr>
          <w:p>
            <w:pPr>
              <w:spacing w:after="0"/>
              <w:rPr>
                <w:sz w:val="8"/>
                <w:szCs w:val="8"/>
                <w:color w:val="auto"/>
              </w:rPr>
            </w:pPr>
          </w:p>
        </w:tc>
        <w:tc>
          <w:tcPr>
            <w:tcW w:w="780" w:type="dxa"/>
            <w:vAlign w:val="bottom"/>
          </w:tcPr>
          <w:p>
            <w:pPr>
              <w:spacing w:after="0"/>
              <w:rPr>
                <w:sz w:val="8"/>
                <w:szCs w:val="8"/>
                <w:color w:val="auto"/>
              </w:rPr>
            </w:pPr>
          </w:p>
        </w:tc>
      </w:tr>
      <w:tr>
        <w:trPr>
          <w:trHeight w:val="197"/>
        </w:trPr>
        <w:tc>
          <w:tcPr>
            <w:tcW w:w="75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4"/>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188"/>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cash used for operating activities</w:t>
            </w:r>
          </w:p>
        </w:tc>
        <w:tc>
          <w:tcPr>
            <w:tcW w:w="2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(1,893,841)</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(1,080,951)</w:t>
            </w:r>
          </w:p>
        </w:tc>
        <w:tc>
          <w:tcPr>
            <w:tcW w:w="50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(324,050)</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(137,400)</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(32,269)</w:t>
            </w:r>
          </w:p>
        </w:tc>
        <w:tc>
          <w:tcPr>
            <w:tcW w:w="50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(24,701)</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Additions to intangible assets</w:t>
            </w:r>
          </w:p>
        </w:tc>
        <w:tc>
          <w:tcPr>
            <w:tcW w:w="2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(435,584)</w:t>
            </w:r>
          </w:p>
        </w:tc>
        <w:tc>
          <w:tcPr>
            <w:tcW w:w="3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(674,275)</w:t>
            </w:r>
          </w:p>
        </w:tc>
        <w:tc>
          <w:tcPr>
            <w:tcW w:w="5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(102,236)</w:t>
            </w:r>
          </w:p>
        </w:tc>
      </w:tr>
      <w:tr>
        <w:trPr>
          <w:trHeight w:val="188"/>
        </w:trPr>
        <w:tc>
          <w:tcPr>
            <w:tcW w:w="7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free cash flow</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(2,466,825)</w:t>
            </w:r>
          </w:p>
        </w:tc>
        <w:tc>
          <w:tcPr>
            <w:tcW w:w="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(1,787,495)</w:t>
            </w:r>
          </w:p>
        </w:tc>
        <w:tc>
          <w:tcPr>
            <w:tcW w:w="5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(450,987)</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 Research and Development, Patents and Licenses, etc.</w:t>
      </w:r>
    </w:p>
    <w:p>
      <w:pPr>
        <w:spacing w:after="0" w:line="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Full details of our research and development activities and expenditures are given under the description of the “Research and development expenses” in “Results of operations” within this “Operating and Financial Review and Prospects” section.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 Trend information</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Other than what is disclosed elsewhere in this Report, Polestar is not aware of any trends, uncertainties, demands, commitments, or events for the year ended December 31, 2023, that would reasonably be likely to have a material and adverse effect on revenues, income, profitability, liquidity, or capital resources or that would cause the disclosed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to be not necessarily indicative of future operating results or financial condition.</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Please refer to “Key factors affecting operations” within this “Operating and Financial Review and Prospects” section for a discussion of known trends, uncertainties, demands, commitments, or events that are reasonably likely to have a material effect on revenues, income, profitability, liquidity, or capital resources that would cause the disclosed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to be not necessarily indicative of future operating results or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 Critical accounting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prepares its Consolidated Financial Statements in accordance with the IFRS issued by the International Accounting Standards Board (“IASB”). The preparation of our</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assumptions, and judgments which may impact the comparability of Polestar’s Consolidated Financial Statements to those of other companies.</w:t>
      </w:r>
    </w:p>
    <w:p>
      <w:pPr>
        <w:spacing w:after="0" w:line="5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2 - Significant accounting policies and judgements</w:t>
      </w:r>
      <w:r>
        <w:rPr>
          <w:rFonts w:ascii="Times New Roman" w:cs="Times New Roman" w:eastAsia="Times New Roman" w:hAnsi="Times New Roman"/>
          <w:sz w:val="15"/>
          <w:szCs w:val="15"/>
          <w:color w:val="auto"/>
        </w:rPr>
        <w:t xml:space="preserve">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w:t>
      </w:r>
    </w:p>
    <w:p>
      <w:pPr>
        <w:spacing w:after="0"/>
        <w:rPr>
          <w:sz w:val="20"/>
          <w:szCs w:val="20"/>
          <w:color w:val="auto"/>
        </w:rPr>
      </w:pPr>
      <w:r>
        <w:rPr>
          <w:rFonts w:ascii="Times New Roman" w:cs="Times New Roman" w:eastAsia="Times New Roman" w:hAnsi="Times New Roman"/>
          <w:sz w:val="15"/>
          <w:szCs w:val="15"/>
          <w:color w:val="auto"/>
        </w:rPr>
        <w:t>and that require significant, difficult, subjective, or complex judgements.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i w:val="1"/>
          <w:iCs w:val="1"/>
          <w:color w:val="auto"/>
        </w:rPr>
        <w:t>Revenue recognition—determining the transaction price of performance obligations included with sales of vehicles and variable consideration for volume related discounts to fleet customers</w:t>
      </w:r>
    </w:p>
    <w:p>
      <w:pPr>
        <w:spacing w:after="0" w:line="4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Included with the sale of each Polestar vehicle are stand-ready obligations for the provision of certain services and maintenance (e.g., connected services and certified vehicle maintenance). Polestar utilizes an expected cost plus a margin method for estimating the transaction price associated with these services and the price of the vehicle itself. This is determined to be the most suitable method for estimating stand-alone selling price due to the materiality and the nature of the services and goods delivered. The estimated transaction</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price allocated to each stand-ready obligation is recognized over time in accordance with the term of each service while the transaction price allocated to the delivery of the vehicle is recognized at a point in time on the delivery date.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Historically, the Company determined the stand-alone selling price associated with the delivery of the vehicles using the residual method. Effective from the fourth quarter of the year</w:t>
      </w:r>
    </w:p>
    <w:p>
      <w:pPr>
        <w:spacing w:after="0" w:line="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5"/>
          <w:szCs w:val="15"/>
          <w:color w:val="auto"/>
        </w:rPr>
        <w:t xml:space="preserve">ended December 31, 2023, the Company transitioned from the residual method to the expected cost plus a margin method. Polestar transitioned away from the residual method as a result of new information leading to the refining of estimation techniques to provide a more relevant and appropriate estimate. Due to more experience, arising from our four consecutive years of car sales and the availability of more accurate data, we have determined that the expected cost plus a margin method is more suitable. This change has been accounted for prospectively as a change in accounting estimate in accordance with IAS 8, </w:t>
      </w:r>
      <w:r>
        <w:rPr>
          <w:rFonts w:ascii="Times New Roman" w:cs="Times New Roman" w:eastAsia="Times New Roman" w:hAnsi="Times New Roman"/>
          <w:sz w:val="15"/>
          <w:szCs w:val="15"/>
          <w:i w:val="1"/>
          <w:iCs w:val="1"/>
          <w:color w:val="auto"/>
        </w:rPr>
        <w:t>Accounting Policies, Changes in Accounting Estimates and Errors</w:t>
      </w:r>
      <w:r>
        <w:rPr>
          <w:rFonts w:ascii="Times New Roman" w:cs="Times New Roman" w:eastAsia="Times New Roman" w:hAnsi="Times New Roman"/>
          <w:sz w:val="15"/>
          <w:szCs w:val="15"/>
          <w:color w:val="auto"/>
        </w:rPr>
        <w:t xml:space="preserve"> ("IAS 8"). The effect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change in estimate when recalculating revenue and deferred revenue under the new approach is immaterial.</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In determination of which method of estimating variable consideration would be most appropriate for Polestar’s large fleet customers under IFRS 15.53, management determined that the most likely amount method for each contract is the most appropriate by considering the nature of Polestar’s commercial operations during the year ended December 31, 2023. As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Polestar’s commercial operations began in the third quarter of the year ended December 31, 2020, Polestar now has three years’ worth of experience with fleet customers. Polestar estimates Volume Related Bonuses based on historical evidence of the volume of vehicles purchased by large fleet customers. Polestar can reasonably determine the probability of large fleet customers' ability to meet volume tiers set out by terms in their related Customer Relationship Agreements for the Volume Related Bonuses.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Intangible assets—capitalizing internally developed intellectual property and determining the useful lives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conducts various internal development programs for projects such as the PS5, PS6, and the PX2 high-performance electric motor. Programs are divided into the concept</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significant amount of estimation with regards to the future cash benefit expected to flow from such project.</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pressures that influence technological advancements and obsolescence in the electric vehicle industry. The estimation of useful life ultimately impacts the amortization expense associated with intangible assets.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testing</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 conducts routine evaluations of intangible assets and goodwill for evidence of impairment indicators. At least annually and when impairment indicators exist, Polestar conducts impairment tests. Historically, Polestar conducted an impairment evaluation at a single CGU level as the PS1 and PS2 were the only model vehicles on the market and the business was managed as one interdependent operation with all tangible and intangible assets working together to generate cash inflows. With the development of models beyond the</w:t>
      </w: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PS2, the capital intensive assets (i.e., intangible assets and property, plant, and equipment) used to generate future vehicles becomes largely independent, therefore leading to the generation of independent cash flows. As an example, the PS2, PS3, and PS4 are built upon different platforms giving each model its unique software and hardware design. For the purposes of considering corporate assets, Polestar conducts an impairment assessment of the Company as a whole. The recoverable amounts of the CGUs are established through a</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calculation of value in use under a discounted future cash flow model that uses significant estimations regarding future cash flows as seen in the 2024-2028 business plan and an after-tax discount rate of 15.5%.</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In order to measure the recoverability of the assets related to the CGUs, we estimated the value in use of each CGU. As a result of the recoverability analysis, we determined that the net book value of the assets related to PS2 exceeded their recoverable value as of December 31, 2023.</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estimated that the book value of the assets related to CGU PS2 exceeded its recoverable value by $339.6 million. Polestar recognized an impairment loss in the Consolidated Statement of Loss and Comprehensive Loss for the year ended December 31, 2023, recognizing $339.6 million in Cost of sales. The impairment loss was allocated to the assets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PS2 CGU on a pro-rata basis with the total amount of impairment in Cost of sales allocated to PPE, Vehicles under operating lease, and intangible assets.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 the third quarter of the year ended December 31, 2023, the European Union ("EU") Commission initiated discussions related to tariffs on new battery electric vehicles for passengers manufactured in China. Polestar's PS2s and PS4s are currently manufactured in Luqiao, China and Hangzhou Bay, China, respectively. The PS3 is scheduled to begin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manufacturing in Chengdu, China and Charleston, South Carolina during the year ended December 31, 2024. The PS4 is scheduled to begin production in Busan, South Korea in 2025. Polestar recognizes there is uncertainty surrounding the outcome and potential impacts of this anti-subsidy investigation on the business since no formal decisions have been made as of December 31, 2023 by the EU Commission related to such tariffs. For this reason, there is uncertainty surrounding the magnitude of the total impact any final ruling may</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have. For this reason, it is possible the Group may have to recognize additional impairment if the regulation has a negative bearing on cash-flow forecasts under future forecasts and business plans.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 method investment</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applies the equity method of accounting when we have significant influence over an investee. Accordingly, Polestar has an equity method investment in an associate, Polestar Technology, as we own 49% of its equity and 40% of the voting interest.</w:t>
      </w:r>
    </w:p>
    <w:p>
      <w:pPr>
        <w:spacing w:after="0" w:line="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When there is objective evidence that its investment is impaired, or annually, Polestar will conduct an impairment assessment. Polestar will consider factors like financial distress, breach of contract, and other negative factors in its assessment.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of inventory</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conducts routine evaluations of its inventories to ensure that the carrying value of inventories does not exceed net realizable value ("NRV"). NRV is based on the estimated selling price of inventories less, estimated costs of completion. If the carrying value of inventories exceeds NRV, the surplus is recognized within Cost of sales, writing down the</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value of inventories to establish a new cost basis. Polestar conducts routine analyses to determine if estimates (e.g., estimated selling prices and estimated costs) used in the NRV calculation require changes and if additional impairment adjustments to inventories are required.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of loss carry-forwards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w:t>
      </w:r>
    </w:p>
    <w:p>
      <w:pPr>
        <w:spacing w:after="0"/>
        <w:rPr>
          <w:sz w:val="20"/>
          <w:szCs w:val="20"/>
          <w:color w:val="auto"/>
        </w:rPr>
      </w:pPr>
      <w:r>
        <w:rPr>
          <w:rFonts w:ascii="Times New Roman" w:cs="Times New Roman" w:eastAsia="Times New Roman" w:hAnsi="Times New Roman"/>
          <w:sz w:val="15"/>
          <w:szCs w:val="15"/>
          <w:color w:val="auto"/>
        </w:rPr>
        <w:t>they can be used.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Fair value measurement – methodologies for measuring the fair value of the financial liabilities related to the Class C-2 Shares and the contingent earn-out rights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fair value of the financial liability for the Class C-2 Shares is measured using a binomial lattice option pricing model that incorporates a geometric Brownian motion ("GBM") and references the observable price of the Class C-1 Shares. The Class C-1 Shares are almost identical instruments and are publicly traded on the NASDAQ (i.e., an active market).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the 5-year treasury rate),</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resulting in a Level 2 measurement methodology.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fair value of the financial liability for the Earn-out liability is measured using a Monte Carlo simulation. The inputs for this valuation technique include (1) the remaining term of the instrument, (2) the five earn-out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w:t>
      </w:r>
    </w:p>
    <w:p>
      <w:pPr>
        <w:jc w:val="both"/>
        <w:spacing w:after="0" w:line="232" w:lineRule="auto"/>
        <w:rPr>
          <w:sz w:val="20"/>
          <w:szCs w:val="20"/>
          <w:color w:val="auto"/>
        </w:rPr>
      </w:pPr>
      <w:r>
        <w:rPr>
          <w:rFonts w:ascii="Times New Roman" w:cs="Times New Roman" w:eastAsia="Times New Roman" w:hAnsi="Times New Roman"/>
          <w:sz w:val="15"/>
          <w:szCs w:val="15"/>
          <w:color w:val="auto"/>
        </w:rPr>
        <w:t>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Fair value measurement – methodologies for measuring the fair value of RSUs and PSUs granted to employees under the 2022 Omnibus Incentive Plan</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fair value of RSUs is determined by reference to the Group's share price. The fair value of PSUs is determined by calculating the weighted-average fair value of the units linked to market-based vesting conditions and the units linked to non-market based vesting conditions. The units linked to non-market-based vesting conditions are fair valued by reference to the Group’s closing share price and the units linked to market-based vesting conditions are fair valued using a Monte Carlo simulation in a risk-neutral option pricing framework</w:t>
      </w:r>
    </w:p>
    <w:p>
      <w:pPr>
        <w:jc w:val="both"/>
        <w:spacing w:after="0" w:line="214" w:lineRule="auto"/>
        <w:rPr>
          <w:sz w:val="20"/>
          <w:szCs w:val="20"/>
          <w:color w:val="auto"/>
        </w:rPr>
      </w:pPr>
      <w:r>
        <w:rPr>
          <w:rFonts w:ascii="Times New Roman" w:cs="Times New Roman" w:eastAsia="Times New Roman" w:hAnsi="Times New Roman"/>
          <w:sz w:val="15"/>
          <w:szCs w:val="15"/>
          <w:color w:val="auto"/>
        </w:rPr>
        <w:t>whereby the future share prices of Polestar’s Class A Shares and shares of the peer group over the performance period are calculated assuming a GBM. For each simulation path, the payoff amount of the awards is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Inputs related to</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calculation of the fair value of PSUs include leveraging an implied volatility, a peer group historical average volatility, a risk free rate, a simulation term, a dividend yield, and multiple simulation iterations.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Certain new accounting standards and interpretations have been issued by the IASB but are not yet effective for the December 31, 2023 reporting period and have not been early adopted by Polestar. These standards are not expected to have a material impact on Polestar’s Consolidated Financial Statements in current or future reporting periods. Refer to </w:t>
      </w:r>
      <w:r>
        <w:rPr>
          <w:rFonts w:ascii="Times New Roman" w:cs="Times New Roman" w:eastAsia="Times New Roman" w:hAnsi="Times New Roman"/>
          <w:sz w:val="15"/>
          <w:szCs w:val="15"/>
          <w:i w:val="1"/>
          <w:iCs w:val="1"/>
          <w:color w:val="auto"/>
        </w:rPr>
        <w:t>Note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2 - Significant accounting policies and judgements </w:t>
      </w:r>
      <w:r>
        <w:rPr>
          <w:rFonts w:ascii="Times New Roman" w:cs="Times New Roman" w:eastAsia="Times New Roman" w:hAnsi="Times New Roman"/>
          <w:sz w:val="15"/>
          <w:szCs w:val="15"/>
          <w:color w:val="auto"/>
        </w:rPr>
        <w:t>in the accompanying Consolidated Financial Statements for information on the new standards.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is exposed to certain market risks in the ordinary course of business. These risks primarily consist of foreign exchange risk, interest rate risk, credit risk, and liquidity risk.</w:t>
      </w:r>
    </w:p>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3 - Financial risk management</w:t>
      </w:r>
      <w:r>
        <w:rPr>
          <w:rFonts w:ascii="Times New Roman" w:cs="Times New Roman" w:eastAsia="Times New Roman" w:hAnsi="Times New Roman"/>
          <w:sz w:val="15"/>
          <w:szCs w:val="15"/>
          <w:color w:val="auto"/>
        </w:rPr>
        <w:t xml:space="preserve"> in the accompanying Consolidated Financial Statements for detailed discussion of these risks and sensitivity analyses.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risk</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global nature of Polestar’s business exposes cash flows to risks arising from fluctuations in exchange rates. Relative changes in the currency rates have a direct impact on Polestar’s operating income, finance income, finance expense, Consolidated Statement of Financial Position and Consolidated Statement of Cash Flows. The Group performed a</w:t>
      </w:r>
    </w:p>
    <w:p>
      <w:pPr>
        <w:spacing w:after="0" w:line="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5"/>
          <w:szCs w:val="15"/>
          <w:color w:val="auto"/>
        </w:rPr>
        <w:t>sensitivity analysis examining the potential impact of a change in foreign exchange rates on loss before income taxes. The analysis was performed by varying a 10% change in foreign exchange rates as of December 31, 2023. The Group was primarily exposed to changes in EUR/SEK,, GBP/SEK, and CNY/SEK, and CNY/USD foreign exchange rates,</w:t>
      </w:r>
    </w:p>
    <w:p>
      <w:pPr>
        <w:spacing w:after="0" w:line="220" w:lineRule="auto"/>
        <w:rPr>
          <w:sz w:val="20"/>
          <w:szCs w:val="20"/>
          <w:color w:val="auto"/>
        </w:rPr>
      </w:pPr>
      <w:r>
        <w:rPr>
          <w:rFonts w:ascii="Times New Roman" w:cs="Times New Roman" w:eastAsia="Times New Roman" w:hAnsi="Times New Roman"/>
          <w:sz w:val="15"/>
          <w:szCs w:val="15"/>
          <w:color w:val="auto"/>
        </w:rPr>
        <w:t>resulting in exposures to loss before income taxes of $38.5 million</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 xml:space="preserve"> $10.8 million,$9.2 million, and $7.0 million respectively. The Group does not currently utilize hedging</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arrangements to mitigate the impact of currency exchange rate fluctuations for the business operations. Polestar continually assesses its exposure to exchange rate risks and will continue to explore mitigating arrangements.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Translation exposure risk</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Currency translation risk arises from the consolidation of foreign subsidiaries that maintain net assets denominated in functional currencies other than USD (i.e., the functional currency of the Former Parent). At each reporting date, assets and liabilities denominated in a foreign currency are translated to the functional currency using the closing exchange</w:t>
      </w:r>
    </w:p>
    <w:p>
      <w:pPr>
        <w:spacing w:after="0" w:line="210" w:lineRule="auto"/>
        <w:rPr>
          <w:sz w:val="20"/>
          <w:szCs w:val="20"/>
          <w:color w:val="auto"/>
        </w:rPr>
      </w:pPr>
      <w:r>
        <w:rPr>
          <w:rFonts w:ascii="Times New Roman" w:cs="Times New Roman" w:eastAsia="Times New Roman" w:hAnsi="Times New Roman"/>
          <w:sz w:val="15"/>
          <w:szCs w:val="15"/>
          <w:color w:val="auto"/>
        </w:rPr>
        <w:t>rate and items of income and expense are translated at the monthly average exchange rate. Such currency effect is recorded in the Consolidated Statement of Comprehensive Loss.</w:t>
      </w:r>
    </w:p>
    <w:p>
      <w:pPr>
        <w:spacing w:after="0"/>
        <w:rPr>
          <w:sz w:val="20"/>
          <w:szCs w:val="20"/>
          <w:color w:val="auto"/>
        </w:rPr>
      </w:pPr>
      <w:r>
        <w:rPr>
          <w:rFonts w:ascii="Times New Roman" w:cs="Times New Roman" w:eastAsia="Times New Roman" w:hAnsi="Times New Roman"/>
          <w:sz w:val="15"/>
          <w:szCs w:val="15"/>
          <w:color w:val="auto"/>
        </w:rPr>
        <w:t>The Group is primarily exposed to currency translation risk from subsidiaries with functional currencies in the SEK, EUR, CNY, and GBP.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Transaction exposure risk</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CNY/USD, GBP/SEK, and CNY/SEK due to trade receivables, trade payables and short-term credit facilities.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 volatility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is exposed to market volatility risk through the financial liabilities for the Class C Shares and earn-out rights. These instruments are carried at fair value with subsequent</w:t>
      </w:r>
    </w:p>
    <w:p>
      <w:pPr>
        <w:spacing w:after="0" w:line="6"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changes in fair value recognized in the Consolidated Statement of Loss and Comprehensive Loss at each reporting date. The Class C-1 Shares are publicly traded on the Nasdaq. The Class C-2 Shares and earn-out rights are not publicly traded and require Level 2 and Level 3 fair value measurements, respectively. As a result, market volatility has a direct impact on the changes in the fair value of these financial liabilities during each reporting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Polestar’s main interest rate risk arises from short-term Liabilities to credit institutions with variable rates, which exposes Polestar to cash flow interest rate risk. As of December 31, 2023 and 2022, the nominal amount of liabilities to credit institutions with floating interest rates was $1,923.8 million and $1,300.1 million, respectively. Polestar closely monitors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 effects of changes in the interest rates on its interest rate risk exposures. The Group performed a sensitivity analysis examining the effect on profit or loss and equity of a parallel shift of the interest rate curves up or down by one percent on loans without fixed interest rates. The analysis resulted in a fluctuation on profit or loss of 15.9 million as of December 31, 2023. This analysis assumes that all other variables, in particular foreign currency rates, remain constant. The calculation considers the effect of financial instruments with</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variable interest rates, financial instruments at fair value through profit or loss or available for sale with fixed interest rates, and the fixed rate element of interest rate caps. Polestar currently does not take any measures to hedge interest rate risks. Interest rate risk associated with these loans is limited given their short-term duration.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Credit risk</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credit risk</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Financial credit risk on financial transactions is the risk that Polestar will incur losses as a result of non-payment by counterparties related to Polestar’s bank accounts, bank deposits, derivative transactions, and other liquid assets. In order to minimize financial credit risk, Polestar has adopted a policy of dealing with only well-established international banks or</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2023, 2022 and 2021 were in the range of BBB to 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Operational credit risk</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default risk of customers. Polestar evaluates for concentrations of credit risk at the customer level based on the outstanding Trade receivables balance of each respective customer account. As of December 31, 2023, two unrelated parties accounted for $23,635 (13%), and $19.2 million (10%) of the Group's total Trade receivables (i.e., Trade receivables plus Trade receivables - related parties). As of December 31, 2022, an unrelated party accounted for $26.6 million (13%) of Polestar’s total Trade receivables. Historically, Polestar has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incurred any losses from these customers, and it does not have any contractual right to off-set its payables and receivables.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5"/>
          <w:szCs w:val="15"/>
          <w:color w:val="auto"/>
        </w:rPr>
        <w:t>customers, credit risk reviews are performed prior to entering into related sales agreements. Depending on the creditworthiness of its customers, Polestar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has selected a few credible financing providers in each market. Credit risk</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reviews, establishment of credit limits, and selection of credible financial service providers must be strictly followed and monitored, globally. The maximum amount of credit risk exposure is the carrying amount of Trade receivables.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 risk</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Liquidity risk is the risk that Polestar is unable to meet ongoing financial obligations on time. Polestar faces liquidity risk as all loans from financial institutions are short-term in nature, generally with a credit term of one year or less.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Trade payables with related parties represent working capital arrangements under which Polestar’s liquidity needs are highly dependent on the continued flexible payment terms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 xml:space="preserve">offered to Polestar by its related parties. These flexible payment terms are not a contractual right and may be called upon in the future.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in the accompanying Consolidated Financial Statements for additional information on these arrangements.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needs to have adequate cash and highly liquid assets on hand to ensure it can meet its short-term financing obligations and other working capital needs. Polestar manages its</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liquidity by holding adequate volumes of liquid assets such as cash, cash equivalents and accounts receivable, by maintaining credit facilities in addition to the cash inflows generated by its business operations, and through historical capital contributions from private equity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 Polestar held Cash and cash equivalents of $768.3 million and $973.9 million, respectively, that were available for managing liquidity risk.</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Polestar entered into short-term financing arrangements with credit institutions to enhance short term liquidity and financing needs. Refer to </w:t>
      </w:r>
      <w:r>
        <w:rPr>
          <w:rFonts w:ascii="Times New Roman" w:cs="Times New Roman" w:eastAsia="Times New Roman" w:hAnsi="Times New Roman"/>
          <w:sz w:val="15"/>
          <w:szCs w:val="15"/>
          <w:i w:val="1"/>
          <w:iCs w:val="1"/>
          <w:color w:val="auto"/>
        </w:rPr>
        <w:t>Note 25 - Liabilities to credit institutions</w:t>
      </w:r>
      <w:r>
        <w:rPr>
          <w:rFonts w:ascii="Times New Roman" w:cs="Times New Roman" w:eastAsia="Times New Roman" w:hAnsi="Times New Roman"/>
          <w:sz w:val="15"/>
          <w:szCs w:val="15"/>
          <w:color w:val="auto"/>
        </w:rPr>
        <w:t xml:space="preserve"> in the accompanying Consolidated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Financial Statements for further details on short-term borrowings. Polestar’s short-term and mid-term liquidity management takes into account the maturities of financial assets and financial liabilities and estimates of cash flows from business operations.</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DIRECTORS, SENIOR MANAGEMENT AND EMPLOYEES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 Disclosure of a registrant’s action to recover erroneously awarded compensation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was no erroneously awarded compensation that was required to be recovered pursuant to Polestar’s Compensation Clawback Policy during the fiscal year ended December 31,</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2023. The Company’s management, in consultation with the Audit Committee, conducted a recovery analysis pursuant to, and as required by, the Company’s Compensation Clawback Policy (the “Policy”) as well as Rule 10D-1 of the Securities Exchange Act of 1934, as amended, and Nasdaq Rule 5608. The analysis concluded that no recovery was required under the Policy because incentive-based compensation for executives covered by the Policy relating to restated fiscal years 2021, 2022 and 2023 was either: (a) earned and</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received prior October 2, 2023 and thus out of scope of the Policy, or (b) not yet settled or otherwise paid. Therefore, only the restated financial metrics would be used in determining performance at the relevant vesting date.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part of the recovery analysis, it was noted that executives covered by the Policy received under the Company’s bonus program: (i) cash bonuses earned with respect to</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achievement of key performance indicators during fiscal year 2021, which were paid in April 2022, and (ii) cash bonuses earned with respect to achievement of key performance indicators during fiscal year 2022, which were paid in April 2023. No cash bonuses were earned or otherwise paid with respect to performance during fiscal year 2023. The recovery analysis further noted that executives covered by the Policy were granted: 419,563 performance stock units in September 2022 that were subject to achievement of pre-determined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performance goals during the performance period commencing on July 1st, 2022 and ending on December 31st, 2024 and, if applicable, vesting in May 2025 (the “2022 Performance Units”), and 858,151 performance stock units in April 2023 that were subject to achievement of pre-determined performance goals during the performance period commencing on January 1st, 2023 and ending on December 31st, 2025 and, if applicable, vesting in June 2026 (the “2023 Performance Units”). Therefore, no amounts have been settled or otherwise</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paid with respect to the 2022 Performance Units or 2023 Performance Units. Amounts earned, if any, under the 2022 Performance Units and 2023 Performance Units will be paid based on appropriately restated metrics following the conclusion of the respective performance periods.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47" w:name="page48"/>
    <w:bookmarkEnd w:id="47"/>
    <w:p>
      <w:pPr>
        <w:jc w:val="right"/>
        <w:ind w:right="3859"/>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6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17.</w:t>
        <w:tab/>
        <w:t>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elected to provide financial statements pursuant to Item 18.</w:t>
      </w:r>
    </w:p>
    <w:p>
      <w:pPr>
        <w:spacing w:after="0" w:line="1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18.</w:t>
        <w:tab/>
        <w:t>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Polestar's audited consolidated financial statements are included in this Report beginning at page F-1.</w:t>
      </w: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gridSpan w:val="15"/>
          </w:tcPr>
          <w:p>
            <w:pPr>
              <w:jc w:val="center"/>
              <w:ind w:right="26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10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732"/>
        </w:trPr>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99"/>
              </w:rPr>
              <w:t>ITEM 19.</w:t>
            </w:r>
          </w:p>
        </w:tc>
        <w:tc>
          <w:tcPr>
            <w:tcW w:w="4200" w:type="dxa"/>
            <w:vAlign w:val="bottom"/>
            <w:gridSpan w:val="11"/>
          </w:tcPr>
          <w:p>
            <w:pPr>
              <w:ind w:left="20"/>
              <w:spacing w:after="0"/>
              <w:rPr>
                <w:sz w:val="20"/>
                <w:szCs w:val="20"/>
                <w:color w:val="auto"/>
              </w:rPr>
            </w:pPr>
            <w:r>
              <w:rPr>
                <w:rFonts w:ascii="Times New Roman" w:cs="Times New Roman" w:eastAsia="Times New Roman" w:hAnsi="Times New Roman"/>
                <w:sz w:val="15"/>
                <w:szCs w:val="15"/>
                <w:b w:val="1"/>
                <w:bCs w:val="1"/>
                <w:color w:val="auto"/>
              </w:rPr>
              <w:t>EXHIBITS</w:t>
            </w:r>
          </w:p>
        </w:tc>
        <w:tc>
          <w:tcPr>
            <w:tcW w:w="980" w:type="dxa"/>
            <w:vAlign w:val="bottom"/>
            <w:tcBorders>
              <w:top w:val="single" w:sz="8" w:color="0000FF"/>
            </w:tcBorders>
            <w:gridSpan w:val="13"/>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5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1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1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9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r>
      <w:tr>
        <w:trPr>
          <w:trHeight w:val="190"/>
        </w:trPr>
        <w:tc>
          <w:tcPr>
            <w:tcW w:w="760" w:type="dxa"/>
            <w:vAlign w:val="bottom"/>
          </w:tcPr>
          <w:p>
            <w:pPr>
              <w:jc w:val="center"/>
              <w:ind w:left="103"/>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3"/>
          </w:tcPr>
          <w:p>
            <w:pPr>
              <w:jc w:val="center"/>
              <w:ind w:right="843"/>
              <w:spacing w:after="0"/>
              <w:rPr>
                <w:sz w:val="20"/>
                <w:szCs w:val="20"/>
                <w:color w:val="auto"/>
              </w:rPr>
            </w:pPr>
            <w:r>
              <w:rPr>
                <w:rFonts w:ascii="Times New Roman" w:cs="Times New Roman" w:eastAsia="Times New Roman" w:hAnsi="Times New Roman"/>
                <w:sz w:val="15"/>
                <w:szCs w:val="15"/>
                <w:b w:val="1"/>
                <w:bCs w:val="1"/>
                <w:color w:val="auto"/>
              </w:rPr>
              <w:t>Schedule</w:t>
            </w:r>
          </w:p>
        </w:tc>
        <w:tc>
          <w:tcPr>
            <w:tcW w:w="3680" w:type="dxa"/>
            <w:vAlign w:val="bottom"/>
          </w:tcPr>
          <w:p>
            <w:pPr>
              <w:spacing w:after="0"/>
              <w:rPr>
                <w:sz w:val="16"/>
                <w:szCs w:val="16"/>
                <w:color w:val="auto"/>
              </w:rPr>
            </w:pPr>
          </w:p>
        </w:tc>
      </w:tr>
      <w:tr>
        <w:trPr>
          <w:trHeight w:val="203"/>
        </w:trPr>
        <w:tc>
          <w:tcPr>
            <w:tcW w:w="760" w:type="dxa"/>
            <w:vAlign w:val="bottom"/>
          </w:tcPr>
          <w:p>
            <w:pPr>
              <w:jc w:val="center"/>
              <w:ind w:left="103"/>
              <w:spacing w:after="0"/>
              <w:rPr>
                <w:sz w:val="20"/>
                <w:szCs w:val="20"/>
                <w:color w:val="auto"/>
              </w:rPr>
            </w:pPr>
            <w:r>
              <w:rPr>
                <w:rFonts w:ascii="Times New Roman" w:cs="Times New Roman" w:eastAsia="Times New Roman" w:hAnsi="Times New Roman"/>
                <w:sz w:val="15"/>
                <w:szCs w:val="15"/>
                <w:b w:val="1"/>
                <w:bCs w:val="1"/>
                <w:color w:val="auto"/>
                <w:w w:val="99"/>
              </w:rPr>
              <w:t>No.</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40" w:type="dxa"/>
            <w:vAlign w:val="bottom"/>
            <w:gridSpan w:val="20"/>
          </w:tcPr>
          <w:p>
            <w:pPr>
              <w:ind w:left="5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600" w:type="dxa"/>
            <w:vAlign w:val="bottom"/>
            <w:gridSpan w:val="2"/>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Form</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3680" w:type="dxa"/>
            <w:vAlign w:val="bottom"/>
          </w:tcPr>
          <w:p>
            <w:pPr>
              <w:jc w:val="center"/>
              <w:ind w:right="2283"/>
              <w:spacing w:after="0"/>
              <w:rPr>
                <w:sz w:val="20"/>
                <w:szCs w:val="20"/>
                <w:color w:val="auto"/>
              </w:rPr>
            </w:pPr>
            <w:r>
              <w:rPr>
                <w:rFonts w:ascii="Times New Roman" w:cs="Times New Roman" w:eastAsia="Times New Roman" w:hAnsi="Times New Roman"/>
                <w:sz w:val="15"/>
                <w:szCs w:val="15"/>
                <w:b w:val="1"/>
                <w:bCs w:val="1"/>
                <w:color w:val="auto"/>
              </w:rPr>
              <w:t>Filing Date</w:t>
            </w:r>
          </w:p>
        </w:tc>
      </w:tr>
      <w:tr>
        <w:trPr>
          <w:trHeight w:val="278"/>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1.1</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0">
              <w:r>
                <w:rPr>
                  <w:rFonts w:ascii="Times New Roman" w:cs="Times New Roman" w:eastAsia="Times New Roman" w:hAnsi="Times New Roman"/>
                  <w:sz w:val="15"/>
                  <w:szCs w:val="15"/>
                  <w:color w:val="3051F2"/>
                </w:rPr>
                <w:t>Articles of Association of Polestar Automotive Holding UK PLC, as currently</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 Exhibit</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June 27, 2022</w:t>
            </w: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20" w:type="dxa"/>
            <w:vAlign w:val="bottom"/>
            <w:tcBorders>
              <w:top w:val="single" w:sz="8" w:color="3051F2"/>
            </w:tcBorders>
            <w:gridSpan w:val="17"/>
          </w:tcPr>
          <w:p>
            <w:pPr>
              <w:spacing w:after="0" w:line="154" w:lineRule="exact"/>
              <w:rPr>
                <w:rFonts w:ascii="Times New Roman" w:cs="Times New Roman" w:eastAsia="Times New Roman" w:hAnsi="Times New Roman"/>
                <w:sz w:val="15"/>
                <w:szCs w:val="15"/>
                <w:color w:val="3051F2"/>
              </w:rPr>
            </w:pPr>
            <w:hyperlink r:id="rId60">
              <w:r>
                <w:rPr>
                  <w:rFonts w:ascii="Times New Roman" w:cs="Times New Roman" w:eastAsia="Times New Roman" w:hAnsi="Times New Roman"/>
                  <w:sz w:val="15"/>
                  <w:szCs w:val="15"/>
                  <w:color w:val="3051F2"/>
                </w:rPr>
                <w:t>in effect.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color w:val="auto"/>
              </w:rPr>
              <w:t>A</w:t>
            </w:r>
          </w:p>
        </w:tc>
        <w:tc>
          <w:tcPr>
            <w:tcW w:w="368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3051F2"/>
            </w:tcBorders>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2.1</w:t>
            </w:r>
          </w:p>
        </w:tc>
        <w:tc>
          <w:tcPr>
            <w:tcW w:w="180" w:type="dxa"/>
            <w:vAlign w:val="bottom"/>
          </w:tcPr>
          <w:p>
            <w:pPr>
              <w:spacing w:after="0"/>
              <w:rPr>
                <w:sz w:val="24"/>
                <w:szCs w:val="24"/>
                <w:color w:val="auto"/>
              </w:rPr>
            </w:pPr>
          </w:p>
        </w:tc>
        <w:tc>
          <w:tcPr>
            <w:tcW w:w="2620" w:type="dxa"/>
            <w:vAlign w:val="bottom"/>
            <w:tcBorders>
              <w:bottom w:val="single" w:sz="8" w:color="3051F2"/>
            </w:tcBorders>
            <w:gridSpan w:val="4"/>
          </w:tcPr>
          <w:p>
            <w:pPr>
              <w:spacing w:after="0"/>
              <w:rPr>
                <w:rFonts w:ascii="Times New Roman" w:cs="Times New Roman" w:eastAsia="Times New Roman" w:hAnsi="Times New Roman"/>
                <w:sz w:val="15"/>
                <w:szCs w:val="15"/>
                <w:color w:val="3051F2"/>
              </w:rPr>
            </w:pPr>
            <w:hyperlink r:id="rId61">
              <w:r>
                <w:rPr>
                  <w:rFonts w:ascii="Times New Roman" w:cs="Times New Roman" w:eastAsia="Times New Roman" w:hAnsi="Times New Roman"/>
                  <w:sz w:val="15"/>
                  <w:szCs w:val="15"/>
                  <w:color w:val="3051F2"/>
                </w:rPr>
                <w:t>ADS Deposit Agreement—Class A ADSs.</w:t>
              </w:r>
            </w:hyperlink>
          </w:p>
        </w:tc>
        <w:tc>
          <w:tcPr>
            <w:tcW w:w="2380" w:type="dxa"/>
            <w:vAlign w:val="bottom"/>
            <w:gridSpan w:val="19"/>
          </w:tcPr>
          <w:p>
            <w:pPr>
              <w:spacing w:after="0"/>
              <w:rPr>
                <w:sz w:val="24"/>
                <w:szCs w:val="24"/>
                <w:color w:val="auto"/>
              </w:rPr>
            </w:pPr>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F-6EF</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(a)</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August 26, 2022</w:t>
            </w: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2.2</w:t>
            </w:r>
          </w:p>
        </w:tc>
        <w:tc>
          <w:tcPr>
            <w:tcW w:w="180" w:type="dxa"/>
            <w:vAlign w:val="bottom"/>
          </w:tcPr>
          <w:p>
            <w:pPr>
              <w:spacing w:after="0"/>
              <w:rPr>
                <w:sz w:val="24"/>
                <w:szCs w:val="24"/>
                <w:color w:val="auto"/>
              </w:rPr>
            </w:pPr>
          </w:p>
        </w:tc>
        <w:tc>
          <w:tcPr>
            <w:tcW w:w="2920" w:type="dxa"/>
            <w:vAlign w:val="bottom"/>
            <w:tcBorders>
              <w:bottom w:val="single" w:sz="8" w:color="3051F2"/>
            </w:tcBorders>
            <w:gridSpan w:val="7"/>
          </w:tcPr>
          <w:p>
            <w:pPr>
              <w:spacing w:after="0"/>
              <w:rPr>
                <w:rFonts w:ascii="Times New Roman" w:cs="Times New Roman" w:eastAsia="Times New Roman" w:hAnsi="Times New Roman"/>
                <w:sz w:val="15"/>
                <w:szCs w:val="15"/>
                <w:color w:val="3051F2"/>
              </w:rPr>
            </w:pPr>
            <w:hyperlink r:id="rId62">
              <w:r>
                <w:rPr>
                  <w:rFonts w:ascii="Times New Roman" w:cs="Times New Roman" w:eastAsia="Times New Roman" w:hAnsi="Times New Roman"/>
                  <w:sz w:val="15"/>
                  <w:szCs w:val="15"/>
                  <w:color w:val="3051F2"/>
                </w:rPr>
                <w:t>Form of Class A American Depositary Receipt.</w:t>
              </w:r>
            </w:hyperlink>
          </w:p>
        </w:tc>
        <w:tc>
          <w:tcPr>
            <w:tcW w:w="2080" w:type="dxa"/>
            <w:vAlign w:val="bottom"/>
            <w:gridSpan w:val="16"/>
          </w:tcPr>
          <w:p>
            <w:pPr>
              <w:spacing w:after="0"/>
              <w:rPr>
                <w:sz w:val="24"/>
                <w:szCs w:val="24"/>
                <w:color w:val="auto"/>
              </w:rPr>
            </w:pPr>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F-4/A</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May 23, 2022</w:t>
            </w: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2.3</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3">
              <w:r>
                <w:rPr>
                  <w:rFonts w:ascii="Times New Roman" w:cs="Times New Roman" w:eastAsia="Times New Roman" w:hAnsi="Times New Roman"/>
                  <w:sz w:val="15"/>
                  <w:szCs w:val="15"/>
                  <w:color w:val="3051F2"/>
                </w:rPr>
                <w:t>ADS Deposit Agreement—Class C-1 ADSs.</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 Exhibit</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June 27, 2022</w:t>
            </w:r>
          </w:p>
        </w:tc>
      </w:tr>
      <w:tr>
        <w:trPr>
          <w:trHeight w:val="188"/>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3051F2"/>
            </w:tcBorders>
          </w:tcPr>
          <w:p>
            <w:pPr>
              <w:spacing w:after="0"/>
              <w:rPr>
                <w:sz w:val="16"/>
                <w:szCs w:val="16"/>
                <w:color w:val="auto"/>
              </w:rPr>
            </w:pPr>
          </w:p>
        </w:tc>
        <w:tc>
          <w:tcPr>
            <w:tcW w:w="240" w:type="dxa"/>
            <w:vAlign w:val="bottom"/>
            <w:tcBorders>
              <w:top w:val="single" w:sz="8" w:color="3051F2"/>
            </w:tcBorders>
          </w:tcPr>
          <w:p>
            <w:pPr>
              <w:spacing w:after="0"/>
              <w:rPr>
                <w:sz w:val="16"/>
                <w:szCs w:val="16"/>
                <w:color w:val="auto"/>
              </w:rPr>
            </w:pPr>
          </w:p>
        </w:tc>
        <w:tc>
          <w:tcPr>
            <w:tcW w:w="1040" w:type="dxa"/>
            <w:vAlign w:val="bottom"/>
            <w:tcBorders>
              <w:top w:val="single" w:sz="8" w:color="3051F2"/>
            </w:tcBorders>
          </w:tcPr>
          <w:p>
            <w:pPr>
              <w:spacing w:after="0"/>
              <w:rPr>
                <w:sz w:val="16"/>
                <w:szCs w:val="16"/>
                <w:color w:val="auto"/>
              </w:rPr>
            </w:pPr>
          </w:p>
        </w:tc>
        <w:tc>
          <w:tcPr>
            <w:tcW w:w="106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B</w:t>
            </w:r>
          </w:p>
        </w:tc>
        <w:tc>
          <w:tcPr>
            <w:tcW w:w="3680" w:type="dxa"/>
            <w:vAlign w:val="bottom"/>
          </w:tcPr>
          <w:p>
            <w:pPr>
              <w:spacing w:after="0"/>
              <w:rPr>
                <w:sz w:val="16"/>
                <w:szCs w:val="16"/>
                <w:color w:val="auto"/>
              </w:rPr>
            </w:pPr>
          </w:p>
        </w:tc>
      </w:tr>
      <w:tr>
        <w:trPr>
          <w:trHeight w:val="278"/>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2.4</w:t>
            </w:r>
          </w:p>
        </w:tc>
        <w:tc>
          <w:tcPr>
            <w:tcW w:w="180" w:type="dxa"/>
            <w:vAlign w:val="bottom"/>
          </w:tcPr>
          <w:p>
            <w:pPr>
              <w:spacing w:after="0"/>
              <w:rPr>
                <w:sz w:val="24"/>
                <w:szCs w:val="24"/>
                <w:color w:val="auto"/>
              </w:rPr>
            </w:pPr>
          </w:p>
        </w:tc>
        <w:tc>
          <w:tcPr>
            <w:tcW w:w="3040" w:type="dxa"/>
            <w:vAlign w:val="bottom"/>
            <w:tcBorders>
              <w:bottom w:val="single" w:sz="8" w:color="3051F2"/>
            </w:tcBorders>
            <w:gridSpan w:val="8"/>
          </w:tcPr>
          <w:p>
            <w:pPr>
              <w:spacing w:after="0"/>
              <w:rPr>
                <w:rFonts w:ascii="Times New Roman" w:cs="Times New Roman" w:eastAsia="Times New Roman" w:hAnsi="Times New Roman"/>
                <w:sz w:val="15"/>
                <w:szCs w:val="15"/>
                <w:color w:val="3051F2"/>
              </w:rPr>
            </w:pPr>
            <w:hyperlink r:id="rId64">
              <w:r>
                <w:rPr>
                  <w:rFonts w:ascii="Times New Roman" w:cs="Times New Roman" w:eastAsia="Times New Roman" w:hAnsi="Times New Roman"/>
                  <w:sz w:val="15"/>
                  <w:szCs w:val="15"/>
                  <w:color w:val="3051F2"/>
                </w:rPr>
                <w:t>Form of Class C-1 American Depositary Receipt.</w:t>
              </w:r>
            </w:hyperlink>
          </w:p>
        </w:tc>
        <w:tc>
          <w:tcPr>
            <w:tcW w:w="1960" w:type="dxa"/>
            <w:vAlign w:val="bottom"/>
            <w:gridSpan w:val="15"/>
          </w:tcPr>
          <w:p>
            <w:pPr>
              <w:spacing w:after="0"/>
              <w:rPr>
                <w:sz w:val="24"/>
                <w:szCs w:val="24"/>
                <w:color w:val="auto"/>
              </w:rPr>
            </w:pPr>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F-4/A</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4.4</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May 23, 2022</w:t>
            </w: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2.5</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0">
              <w:r>
                <w:rPr>
                  <w:rFonts w:ascii="Times New Roman" w:cs="Times New Roman" w:eastAsia="Times New Roman" w:hAnsi="Times New Roman"/>
                  <w:sz w:val="15"/>
                  <w:szCs w:val="15"/>
                  <w:color w:val="3051F2"/>
                </w:rPr>
                <w:t>ADS Deposit Agreement—Class C-2 ADSs.</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 Exhibit</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June 27, 2022</w:t>
            </w:r>
          </w:p>
        </w:tc>
      </w:tr>
      <w:tr>
        <w:trPr>
          <w:trHeight w:val="188"/>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3051F2"/>
            </w:tcBorders>
          </w:tcPr>
          <w:p>
            <w:pPr>
              <w:spacing w:after="0"/>
              <w:rPr>
                <w:sz w:val="16"/>
                <w:szCs w:val="16"/>
                <w:color w:val="auto"/>
              </w:rPr>
            </w:pPr>
          </w:p>
        </w:tc>
        <w:tc>
          <w:tcPr>
            <w:tcW w:w="240" w:type="dxa"/>
            <w:vAlign w:val="bottom"/>
            <w:tcBorders>
              <w:top w:val="single" w:sz="8" w:color="3051F2"/>
            </w:tcBorders>
          </w:tcPr>
          <w:p>
            <w:pPr>
              <w:spacing w:after="0"/>
              <w:rPr>
                <w:sz w:val="16"/>
                <w:szCs w:val="16"/>
                <w:color w:val="auto"/>
              </w:rPr>
            </w:pPr>
          </w:p>
        </w:tc>
        <w:tc>
          <w:tcPr>
            <w:tcW w:w="1040" w:type="dxa"/>
            <w:vAlign w:val="bottom"/>
            <w:tcBorders>
              <w:top w:val="single" w:sz="8" w:color="3051F2"/>
            </w:tcBorders>
          </w:tcPr>
          <w:p>
            <w:pPr>
              <w:spacing w:after="0"/>
              <w:rPr>
                <w:sz w:val="16"/>
                <w:szCs w:val="16"/>
                <w:color w:val="auto"/>
              </w:rPr>
            </w:pPr>
          </w:p>
        </w:tc>
        <w:tc>
          <w:tcPr>
            <w:tcW w:w="1060" w:type="dxa"/>
            <w:vAlign w:val="bottom"/>
            <w:tcBorders>
              <w:top w:val="single" w:sz="8" w:color="3051F2"/>
            </w:tcBorders>
          </w:tcPr>
          <w:p>
            <w:pPr>
              <w:spacing w:after="0"/>
              <w:rPr>
                <w:sz w:val="16"/>
                <w:szCs w:val="16"/>
                <w:color w:val="auto"/>
              </w:rPr>
            </w:pPr>
          </w:p>
        </w:tc>
        <w:tc>
          <w:tcPr>
            <w:tcW w:w="120" w:type="dxa"/>
            <w:vAlign w:val="bottom"/>
            <w:tcBorders>
              <w:top w:val="single" w:sz="8" w:color="3051F2"/>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B</w:t>
            </w:r>
          </w:p>
        </w:tc>
        <w:tc>
          <w:tcPr>
            <w:tcW w:w="3680" w:type="dxa"/>
            <w:vAlign w:val="bottom"/>
          </w:tcPr>
          <w:p>
            <w:pPr>
              <w:spacing w:after="0"/>
              <w:rPr>
                <w:sz w:val="16"/>
                <w:szCs w:val="16"/>
                <w:color w:val="auto"/>
              </w:rPr>
            </w:pPr>
          </w:p>
        </w:tc>
      </w:tr>
      <w:tr>
        <w:trPr>
          <w:trHeight w:val="278"/>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2.6</w:t>
            </w:r>
          </w:p>
        </w:tc>
        <w:tc>
          <w:tcPr>
            <w:tcW w:w="180" w:type="dxa"/>
            <w:vAlign w:val="bottom"/>
          </w:tcPr>
          <w:p>
            <w:pPr>
              <w:spacing w:after="0"/>
              <w:rPr>
                <w:sz w:val="24"/>
                <w:szCs w:val="24"/>
                <w:color w:val="auto"/>
              </w:rPr>
            </w:pPr>
          </w:p>
        </w:tc>
        <w:tc>
          <w:tcPr>
            <w:tcW w:w="3040" w:type="dxa"/>
            <w:vAlign w:val="bottom"/>
            <w:tcBorders>
              <w:bottom w:val="single" w:sz="8" w:color="3051F2"/>
            </w:tcBorders>
            <w:gridSpan w:val="8"/>
          </w:tcPr>
          <w:p>
            <w:pPr>
              <w:spacing w:after="0"/>
              <w:rPr>
                <w:rFonts w:ascii="Times New Roman" w:cs="Times New Roman" w:eastAsia="Times New Roman" w:hAnsi="Times New Roman"/>
                <w:sz w:val="15"/>
                <w:szCs w:val="15"/>
                <w:color w:val="3051F2"/>
              </w:rPr>
            </w:pPr>
            <w:hyperlink r:id="rId65">
              <w:r>
                <w:rPr>
                  <w:rFonts w:ascii="Times New Roman" w:cs="Times New Roman" w:eastAsia="Times New Roman" w:hAnsi="Times New Roman"/>
                  <w:sz w:val="15"/>
                  <w:szCs w:val="15"/>
                  <w:color w:val="3051F2"/>
                </w:rPr>
                <w:t>Form of Class C-2 American Depositary Receipt.</w:t>
              </w:r>
            </w:hyperlink>
          </w:p>
        </w:tc>
        <w:tc>
          <w:tcPr>
            <w:tcW w:w="1960" w:type="dxa"/>
            <w:vAlign w:val="bottom"/>
            <w:gridSpan w:val="15"/>
          </w:tcPr>
          <w:p>
            <w:pPr>
              <w:spacing w:after="0"/>
              <w:rPr>
                <w:sz w:val="24"/>
                <w:szCs w:val="24"/>
                <w:color w:val="auto"/>
              </w:rPr>
            </w:pPr>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F-4/A</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May 23, 2022</w:t>
            </w: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2.7</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Warrant Agreement, dated March 22, 2021, by and between Gores Guggenheim,</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F-4/A</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20" w:type="dxa"/>
            <w:vAlign w:val="bottom"/>
            <w:tcBorders>
              <w:top w:val="single" w:sz="8" w:color="3051F2"/>
              <w:bottom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Inc., Computershare Inc. and Computershare Trust Company, N.A.</w:t>
              </w:r>
            </w:hyperlink>
          </w:p>
        </w:tc>
        <w:tc>
          <w:tcPr>
            <w:tcW w:w="860" w:type="dxa"/>
            <w:vAlign w:val="bottom"/>
            <w:tcBorders>
              <w:top w:val="single" w:sz="8" w:color="3051F2"/>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0" w:type="dxa"/>
            <w:vAlign w:val="bottom"/>
            <w:gridSpan w:val="23"/>
          </w:tcPr>
          <w:p>
            <w:pPr>
              <w:spacing w:after="0" w:line="154" w:lineRule="exact"/>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(incorporated by reference to Annex C-1 to the proxy statement/prospectus used</w:t>
              </w:r>
            </w:hyperlink>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80" w:type="dxa"/>
            <w:vAlign w:val="bottom"/>
            <w:tcBorders>
              <w:top w:val="single" w:sz="8" w:color="3051F2"/>
              <w:bottom w:val="single" w:sz="8" w:color="3051F2"/>
            </w:tcBorders>
            <w:gridSpan w:val="6"/>
          </w:tcPr>
          <w:p>
            <w:pPr>
              <w:spacing w:after="0" w:line="154" w:lineRule="exact"/>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in connection with the Business Combination).</w:t>
              </w:r>
            </w:hyperlink>
          </w:p>
        </w:tc>
        <w:tc>
          <w:tcPr>
            <w:tcW w:w="2060" w:type="dxa"/>
            <w:vAlign w:val="bottom"/>
            <w:tcBorders>
              <w:top w:val="single" w:sz="8" w:color="3051F2"/>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2.8</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7">
              <w:r>
                <w:rPr>
                  <w:rFonts w:ascii="Times New Roman" w:cs="Times New Roman" w:eastAsia="Times New Roman" w:hAnsi="Times New Roman"/>
                  <w:sz w:val="15"/>
                  <w:szCs w:val="15"/>
                  <w:color w:val="3051F2"/>
                </w:rPr>
                <w:t>Amendment to Warrant Agreement, dated April 7, 2022, by and between Gores</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F-4/A</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80" w:type="dxa"/>
            <w:vAlign w:val="bottom"/>
            <w:tcBorders>
              <w:top w:val="single" w:sz="8" w:color="3051F2"/>
            </w:tcBorders>
            <w:gridSpan w:val="18"/>
          </w:tcPr>
          <w:p>
            <w:pPr>
              <w:spacing w:after="0" w:line="154" w:lineRule="exact"/>
              <w:rPr>
                <w:rFonts w:ascii="Times New Roman" w:cs="Times New Roman" w:eastAsia="Times New Roman" w:hAnsi="Times New Roman"/>
                <w:sz w:val="15"/>
                <w:szCs w:val="15"/>
                <w:color w:val="3051F2"/>
              </w:rPr>
            </w:pPr>
            <w:hyperlink r:id="rId67">
              <w:r>
                <w:rPr>
                  <w:rFonts w:ascii="Times New Roman" w:cs="Times New Roman" w:eastAsia="Times New Roman" w:hAnsi="Times New Roman"/>
                  <w:sz w:val="15"/>
                  <w:szCs w:val="15"/>
                  <w:color w:val="3051F2"/>
                </w:rPr>
                <w:t>Guggenheim, Inc., Computershare Inc. and Computershare Trust Company,</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80" w:type="dxa"/>
            <w:vAlign w:val="bottom"/>
            <w:tcBorders>
              <w:top w:val="single" w:sz="8" w:color="3051F2"/>
              <w:bottom w:val="single" w:sz="8" w:color="3051F2"/>
            </w:tcBorders>
            <w:gridSpan w:val="15"/>
          </w:tcPr>
          <w:p>
            <w:pPr>
              <w:spacing w:after="0" w:line="154" w:lineRule="exact"/>
              <w:rPr>
                <w:rFonts w:ascii="Times New Roman" w:cs="Times New Roman" w:eastAsia="Times New Roman" w:hAnsi="Times New Roman"/>
                <w:sz w:val="15"/>
                <w:szCs w:val="15"/>
                <w:color w:val="3051F2"/>
                <w:w w:val="96"/>
              </w:rPr>
            </w:pPr>
            <w:hyperlink r:id="rId67">
              <w:r>
                <w:rPr>
                  <w:rFonts w:ascii="Times New Roman" w:cs="Times New Roman" w:eastAsia="Times New Roman" w:hAnsi="Times New Roman"/>
                  <w:sz w:val="15"/>
                  <w:szCs w:val="15"/>
                  <w:color w:val="3051F2"/>
                  <w:w w:val="96"/>
                </w:rPr>
                <w:t>N.A. (incorporated by reference to Annex C-2 to the proxy statement/prospectus</w:t>
              </w:r>
            </w:hyperlink>
          </w:p>
        </w:tc>
        <w:tc>
          <w:tcPr>
            <w:tcW w:w="20" w:type="dxa"/>
            <w:vAlign w:val="bottom"/>
            <w:tcBorders>
              <w:bottom w:val="single" w:sz="8" w:color="3051F2"/>
            </w:tcBorders>
          </w:tcPr>
          <w:p>
            <w:pPr>
              <w:spacing w:after="0"/>
              <w:rPr>
                <w:sz w:val="13"/>
                <w:szCs w:val="13"/>
                <w:color w:val="auto"/>
              </w:rPr>
            </w:pPr>
          </w:p>
        </w:tc>
        <w:tc>
          <w:tcPr>
            <w:tcW w:w="200" w:type="dxa"/>
            <w:vAlign w:val="bottom"/>
            <w:tcBorders>
              <w:bottom w:val="single" w:sz="8" w:color="3051F2"/>
            </w:tcBorders>
            <w:gridSpan w:val="3"/>
          </w:tcPr>
          <w:p>
            <w:pPr>
              <w:spacing w:after="0"/>
              <w:rPr>
                <w:sz w:val="13"/>
                <w:szCs w:val="13"/>
                <w:color w:val="auto"/>
              </w:rPr>
            </w:pPr>
          </w:p>
        </w:tc>
        <w:tc>
          <w:tcPr>
            <w:tcW w:w="60" w:type="dxa"/>
            <w:vAlign w:val="bottom"/>
            <w:tcBorders>
              <w:bottom w:val="single" w:sz="8" w:color="3051F2"/>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60" w:type="dxa"/>
            <w:vAlign w:val="bottom"/>
            <w:gridSpan w:val="21"/>
          </w:tcPr>
          <w:p>
            <w:pPr>
              <w:spacing w:after="0" w:line="154" w:lineRule="exact"/>
              <w:rPr>
                <w:rFonts w:ascii="Times New Roman" w:cs="Times New Roman" w:eastAsia="Times New Roman" w:hAnsi="Times New Roman"/>
                <w:sz w:val="15"/>
                <w:szCs w:val="15"/>
                <w:color w:val="3051F2"/>
              </w:rPr>
            </w:pPr>
            <w:hyperlink r:id="rId67">
              <w:r>
                <w:rPr>
                  <w:rFonts w:ascii="Times New Roman" w:cs="Times New Roman" w:eastAsia="Times New Roman" w:hAnsi="Times New Roman"/>
                  <w:sz w:val="15"/>
                  <w:szCs w:val="15"/>
                  <w:color w:val="3051F2"/>
                </w:rPr>
                <w:t>used in connection with the Business Combination).</w:t>
              </w:r>
            </w:hyperlink>
          </w:p>
        </w:tc>
        <w:tc>
          <w:tcPr>
            <w:tcW w:w="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3051F2"/>
            </w:tcBorders>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280" w:type="dxa"/>
            <w:vAlign w:val="bottom"/>
            <w:gridSpan w:val="2"/>
            <w:shd w:val="clear" w:color="auto" w:fill="3051F2"/>
          </w:tcPr>
          <w:p>
            <w:pPr>
              <w:spacing w:after="0" w:line="20" w:lineRule="exact"/>
              <w:rPr>
                <w:sz w:val="1"/>
                <w:szCs w:val="1"/>
                <w:color w:val="auto"/>
              </w:rPr>
            </w:pPr>
          </w:p>
        </w:tc>
        <w:tc>
          <w:tcPr>
            <w:tcW w:w="1640" w:type="dxa"/>
            <w:vAlign w:val="bottom"/>
            <w:gridSpan w:val="6"/>
            <w:shd w:val="clear" w:color="auto" w:fill="3051F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2.9</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Specimen Warrant Certificate (included as Exhibit A to Annex C-1 to the proxy</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F-4/A</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4.11</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0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statement/prospectus) (incorporated by reference to Annex C-1 to the proxy</w:t>
              </w:r>
            </w:hyperlink>
          </w:p>
        </w:tc>
        <w:tc>
          <w:tcPr>
            <w:tcW w:w="100" w:type="dxa"/>
            <w:vAlign w:val="bottom"/>
            <w:gridSpan w:val="4"/>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40" w:type="dxa"/>
            <w:vAlign w:val="bottom"/>
            <w:tcBorders>
              <w:top w:val="single" w:sz="8" w:color="3051F2"/>
              <w:bottom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66">
              <w:r>
                <w:rPr>
                  <w:rFonts w:ascii="Times New Roman" w:cs="Times New Roman" w:eastAsia="Times New Roman" w:hAnsi="Times New Roman"/>
                  <w:sz w:val="15"/>
                  <w:szCs w:val="15"/>
                  <w:color w:val="3051F2"/>
                </w:rPr>
                <w:t>statement/prospectus used in connection with the Business Combination).</w:t>
              </w:r>
            </w:hyperlink>
          </w:p>
        </w:tc>
        <w:tc>
          <w:tcPr>
            <w:tcW w:w="160" w:type="dxa"/>
            <w:vAlign w:val="bottom"/>
            <w:tcBorders>
              <w:top w:val="single" w:sz="8" w:color="3051F2"/>
            </w:tcBorders>
            <w:gridSpan w:val="4"/>
          </w:tcPr>
          <w:p>
            <w:pPr>
              <w:spacing w:after="0"/>
              <w:rPr>
                <w:sz w:val="13"/>
                <w:szCs w:val="13"/>
                <w:color w:val="auto"/>
              </w:rPr>
            </w:pPr>
          </w:p>
        </w:tc>
        <w:tc>
          <w:tcPr>
            <w:tcW w:w="300" w:type="dxa"/>
            <w:vAlign w:val="bottom"/>
            <w:gridSpan w:val="7"/>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93"/>
        </w:trPr>
        <w:tc>
          <w:tcPr>
            <w:tcW w:w="7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8"/>
              </w:rPr>
              <w:t>2.10</w:t>
            </w:r>
          </w:p>
        </w:tc>
        <w:tc>
          <w:tcPr>
            <w:tcW w:w="180" w:type="dxa"/>
            <w:vAlign w:val="bottom"/>
          </w:tcPr>
          <w:p>
            <w:pPr>
              <w:spacing w:after="0"/>
              <w:rPr>
                <w:sz w:val="24"/>
                <w:szCs w:val="24"/>
                <w:color w:val="auto"/>
              </w:rPr>
            </w:pPr>
          </w:p>
        </w:tc>
        <w:tc>
          <w:tcPr>
            <w:tcW w:w="5000" w:type="dxa"/>
            <w:vAlign w:val="bottom"/>
            <w:gridSpan w:val="23"/>
          </w:tcPr>
          <w:p>
            <w:pPr>
              <w:spacing w:after="0"/>
              <w:rPr>
                <w:rFonts w:ascii="Times New Roman" w:cs="Times New Roman" w:eastAsia="Times New Roman" w:hAnsi="Times New Roman"/>
                <w:sz w:val="15"/>
                <w:szCs w:val="15"/>
                <w:color w:val="3051F2"/>
              </w:rPr>
            </w:pPr>
            <w:hyperlink r:id="rId60">
              <w:r>
                <w:rPr>
                  <w:rFonts w:ascii="Times New Roman" w:cs="Times New Roman" w:eastAsia="Times New Roman" w:hAnsi="Times New Roman"/>
                  <w:sz w:val="15"/>
                  <w:szCs w:val="15"/>
                  <w:color w:val="3051F2"/>
                </w:rPr>
                <w:t>Class C Warrant Amendment, dated June 23, 2022, by and between Gores</w:t>
              </w:r>
            </w:hyperlink>
          </w:p>
        </w:tc>
        <w:tc>
          <w:tcPr>
            <w:tcW w:w="60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w:t>
            </w:r>
          </w:p>
        </w:tc>
        <w:tc>
          <w:tcPr>
            <w:tcW w:w="3680" w:type="dxa"/>
            <w:vAlign w:val="bottom"/>
          </w:tcPr>
          <w:p>
            <w:pPr>
              <w:jc w:val="center"/>
              <w:ind w:right="2303"/>
              <w:spacing w:after="0"/>
              <w:rPr>
                <w:sz w:val="20"/>
                <w:szCs w:val="20"/>
                <w:color w:val="auto"/>
              </w:rPr>
            </w:pPr>
            <w:r>
              <w:rPr>
                <w:rFonts w:ascii="Times New Roman" w:cs="Times New Roman" w:eastAsia="Times New Roman" w:hAnsi="Times New Roman"/>
                <w:sz w:val="15"/>
                <w:szCs w:val="15"/>
                <w:color w:val="auto"/>
              </w:rPr>
              <w:t>June 27, 2022</w:t>
            </w: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60" w:type="dxa"/>
            <w:vAlign w:val="bottom"/>
            <w:tcBorders>
              <w:top w:val="single" w:sz="8" w:color="3051F2"/>
              <w:bottom w:val="single" w:sz="8" w:color="3051F2"/>
            </w:tcBorders>
            <w:gridSpan w:val="13"/>
          </w:tcPr>
          <w:p>
            <w:pPr>
              <w:spacing w:after="0" w:line="154" w:lineRule="exact"/>
              <w:rPr>
                <w:rFonts w:ascii="Times New Roman" w:cs="Times New Roman" w:eastAsia="Times New Roman" w:hAnsi="Times New Roman"/>
                <w:sz w:val="15"/>
                <w:szCs w:val="15"/>
                <w:color w:val="3051F2"/>
                <w:w w:val="99"/>
              </w:rPr>
            </w:pPr>
            <w:hyperlink r:id="rId60">
              <w:r>
                <w:rPr>
                  <w:rFonts w:ascii="Times New Roman" w:cs="Times New Roman" w:eastAsia="Times New Roman" w:hAnsi="Times New Roman"/>
                  <w:sz w:val="15"/>
                  <w:szCs w:val="15"/>
                  <w:color w:val="3051F2"/>
                  <w:w w:val="99"/>
                </w:rPr>
                <w:t>Guggenheim, Inc., Computershare Inc. and Computershare Trust Company,</w:t>
              </w:r>
            </w:hyperlink>
          </w:p>
        </w:tc>
        <w:tc>
          <w:tcPr>
            <w:tcW w:w="100" w:type="dxa"/>
            <w:vAlign w:val="bottom"/>
            <w:tcBorders>
              <w:bottom w:val="single" w:sz="8" w:color="3051F2"/>
            </w:tcBorders>
          </w:tcPr>
          <w:p>
            <w:pPr>
              <w:spacing w:after="0"/>
              <w:rPr>
                <w:sz w:val="13"/>
                <w:szCs w:val="13"/>
                <w:color w:val="auto"/>
              </w:rPr>
            </w:pPr>
          </w:p>
        </w:tc>
        <w:tc>
          <w:tcPr>
            <w:tcW w:w="340" w:type="dxa"/>
            <w:vAlign w:val="bottom"/>
            <w:gridSpan w:val="9"/>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154"/>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60" w:type="dxa"/>
            <w:vAlign w:val="bottom"/>
            <w:gridSpan w:val="14"/>
          </w:tcPr>
          <w:p>
            <w:pPr>
              <w:spacing w:after="0" w:line="154" w:lineRule="exact"/>
              <w:rPr>
                <w:rFonts w:ascii="Times New Roman" w:cs="Times New Roman" w:eastAsia="Times New Roman" w:hAnsi="Times New Roman"/>
                <w:sz w:val="15"/>
                <w:szCs w:val="15"/>
                <w:color w:val="3051F2"/>
              </w:rPr>
            </w:pPr>
            <w:hyperlink r:id="rId60">
              <w:r>
                <w:rPr>
                  <w:rFonts w:ascii="Times New Roman" w:cs="Times New Roman" w:eastAsia="Times New Roman" w:hAnsi="Times New Roman"/>
                  <w:sz w:val="15"/>
                  <w:szCs w:val="15"/>
                  <w:color w:val="3051F2"/>
                </w:rPr>
                <w:t>N.A.</w:t>
              </w:r>
            </w:hyperlink>
          </w:p>
        </w:tc>
        <w:tc>
          <w:tcPr>
            <w:tcW w:w="340" w:type="dxa"/>
            <w:vAlign w:val="bottom"/>
            <w:gridSpan w:val="9"/>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3051F2"/>
            </w:tcBorders>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40" w:type="dxa"/>
            <w:vAlign w:val="bottom"/>
            <w:gridSpan w:val="2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46"/>
        </w:trPr>
        <w:tc>
          <w:tcPr>
            <w:tcW w:w="7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2.11*</w:t>
            </w:r>
          </w:p>
        </w:tc>
        <w:tc>
          <w:tcPr>
            <w:tcW w:w="180" w:type="dxa"/>
            <w:vAlign w:val="bottom"/>
          </w:tcPr>
          <w:p>
            <w:pPr>
              <w:spacing w:after="0"/>
              <w:rPr>
                <w:sz w:val="21"/>
                <w:szCs w:val="21"/>
                <w:color w:val="auto"/>
              </w:rPr>
            </w:pPr>
          </w:p>
        </w:tc>
        <w:tc>
          <w:tcPr>
            <w:tcW w:w="5000" w:type="dxa"/>
            <w:vAlign w:val="bottom"/>
            <w:gridSpan w:val="23"/>
          </w:tcPr>
          <w:p>
            <w:pPr>
              <w:spacing w:after="0"/>
              <w:rPr>
                <w:rFonts w:ascii="Times New Roman" w:cs="Times New Roman" w:eastAsia="Times New Roman" w:hAnsi="Times New Roman"/>
                <w:sz w:val="15"/>
                <w:szCs w:val="15"/>
                <w:color w:val="0000FF"/>
              </w:rPr>
            </w:pPr>
            <w:hyperlink r:id="rId68">
              <w:r>
                <w:rPr>
                  <w:rFonts w:ascii="Times New Roman" w:cs="Times New Roman" w:eastAsia="Times New Roman" w:hAnsi="Times New Roman"/>
                  <w:sz w:val="15"/>
                  <w:szCs w:val="15"/>
                  <w:color w:val="0000FF"/>
                </w:rPr>
                <w:t>Description of Securities.</w:t>
              </w:r>
            </w:hyperlink>
          </w:p>
        </w:tc>
        <w:tc>
          <w:tcPr>
            <w:tcW w:w="600" w:type="dxa"/>
            <w:vAlign w:val="bottom"/>
            <w:gridSpan w:val="2"/>
          </w:tcPr>
          <w:p>
            <w:pPr>
              <w:jc w:val="center"/>
              <w:ind w:left="63"/>
              <w:spacing w:after="0"/>
              <w:rPr>
                <w:sz w:val="20"/>
                <w:szCs w:val="20"/>
                <w:color w:val="auto"/>
              </w:rPr>
            </w:pPr>
            <w:r>
              <w:rPr>
                <w:rFonts w:ascii="Times New Roman" w:cs="Times New Roman" w:eastAsia="Times New Roman" w:hAnsi="Times New Roman"/>
                <w:sz w:val="15"/>
                <w:szCs w:val="15"/>
                <w:color w:val="auto"/>
              </w:rPr>
              <w:t>20-F</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2.11</w:t>
            </w:r>
          </w:p>
        </w:tc>
        <w:tc>
          <w:tcPr>
            <w:tcW w:w="3680" w:type="dxa"/>
            <w:vAlign w:val="bottom"/>
          </w:tcPr>
          <w:p>
            <w:pPr>
              <w:jc w:val="center"/>
              <w:ind w:right="226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73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Borders>
              <w:top w:val="single" w:sz="8" w:color="0000FF"/>
            </w:tcBorders>
            <w:gridSpan w:val="3"/>
          </w:tcPr>
          <w:p>
            <w:pPr>
              <w:spacing w:after="0"/>
              <w:rPr>
                <w:sz w:val="24"/>
                <w:szCs w:val="24"/>
                <w:color w:val="auto"/>
              </w:rPr>
            </w:pPr>
          </w:p>
        </w:tc>
        <w:tc>
          <w:tcPr>
            <w:tcW w:w="3260" w:type="dxa"/>
            <w:vAlign w:val="bottom"/>
            <w:gridSpan w:val="14"/>
          </w:tcPr>
          <w:p>
            <w:pPr>
              <w:jc w:val="center"/>
              <w:ind w:left="2903"/>
              <w:spacing w:after="0"/>
              <w:rPr>
                <w:sz w:val="20"/>
                <w:szCs w:val="20"/>
                <w:color w:val="auto"/>
              </w:rPr>
            </w:pPr>
            <w:r>
              <w:rPr>
                <w:rFonts w:ascii="Times New Roman" w:cs="Times New Roman" w:eastAsia="Times New Roman" w:hAnsi="Times New Roman"/>
                <w:sz w:val="15"/>
                <w:szCs w:val="15"/>
                <w:color w:val="auto"/>
              </w:rPr>
              <w:t>42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73"/>
        </w:trPr>
        <w:tc>
          <w:tcPr>
            <w:tcW w:w="7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6"/>
          </w:tcPr>
          <w:p>
            <w:pPr>
              <w:jc w:val="center"/>
              <w:ind w:right="44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70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559"/>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w:t>
            </w:r>
          </w:p>
        </w:tc>
        <w:tc>
          <w:tcPr>
            <w:tcW w:w="4640" w:type="dxa"/>
            <w:vAlign w:val="bottom"/>
            <w:tcBorders>
              <w:bottom w:val="single" w:sz="8" w:color="3051F2"/>
            </w:tcBorders>
            <w:gridSpan w:val="14"/>
          </w:tcPr>
          <w:p>
            <w:pPr>
              <w:spacing w:after="0"/>
              <w:rPr>
                <w:rFonts w:ascii="Times New Roman" w:cs="Times New Roman" w:eastAsia="Times New Roman" w:hAnsi="Times New Roman"/>
                <w:sz w:val="15"/>
                <w:szCs w:val="15"/>
                <w:color w:val="3051F2"/>
              </w:rPr>
            </w:pPr>
            <w:hyperlink r:id="rId71">
              <w:r>
                <w:rPr>
                  <w:rFonts w:ascii="Times New Roman" w:cs="Times New Roman" w:eastAsia="Times New Roman" w:hAnsi="Times New Roman"/>
                  <w:sz w:val="15"/>
                  <w:szCs w:val="15"/>
                  <w:color w:val="3051F2"/>
                </w:rPr>
                <w:t>Business Combination Agreement, dated as of September 27, 2021, by and</w:t>
              </w:r>
            </w:hyperlink>
          </w:p>
        </w:tc>
        <w:tc>
          <w:tcPr>
            <w:tcW w:w="440" w:type="dxa"/>
            <w:vAlign w:val="bottom"/>
            <w:gridSpan w:val="16"/>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F-4/A</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71">
              <w:r>
                <w:rPr>
                  <w:rFonts w:ascii="Times New Roman" w:cs="Times New Roman" w:eastAsia="Times New Roman" w:hAnsi="Times New Roman"/>
                  <w:sz w:val="15"/>
                  <w:szCs w:val="15"/>
                  <w:color w:val="3051F2"/>
                </w:rPr>
                <w:t>among Gores Guggenheim, Inc., Polestar Automotive Holding Limited, Polestar</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40" w:type="dxa"/>
            <w:vAlign w:val="bottom"/>
            <w:tcBorders>
              <w:top w:val="single" w:sz="8" w:color="3051F2"/>
              <w:bottom w:val="single" w:sz="8" w:color="3051F2"/>
            </w:tcBorders>
            <w:gridSpan w:val="9"/>
          </w:tcPr>
          <w:p>
            <w:pPr>
              <w:spacing w:after="0" w:line="154" w:lineRule="exact"/>
              <w:rPr>
                <w:rFonts w:ascii="Times New Roman" w:cs="Times New Roman" w:eastAsia="Times New Roman" w:hAnsi="Times New Roman"/>
                <w:sz w:val="15"/>
                <w:szCs w:val="15"/>
                <w:color w:val="3051F2"/>
              </w:rPr>
            </w:pPr>
            <w:hyperlink r:id="rId71">
              <w:r>
                <w:rPr>
                  <w:rFonts w:ascii="Times New Roman" w:cs="Times New Roman" w:eastAsia="Times New Roman" w:hAnsi="Times New Roman"/>
                  <w:sz w:val="15"/>
                  <w:szCs w:val="15"/>
                  <w:color w:val="3051F2"/>
                </w:rPr>
                <w:t>Automotive (Singapore) Pte. Ltd., Polestar Holding AB, Inc., Polestar</w:t>
              </w:r>
            </w:hyperlink>
          </w:p>
        </w:tc>
        <w:tc>
          <w:tcPr>
            <w:tcW w:w="700" w:type="dxa"/>
            <w:vAlign w:val="bottom"/>
            <w:tcBorders>
              <w:top w:val="single" w:sz="8" w:color="3051F2"/>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71">
              <w:r>
                <w:rPr>
                  <w:rFonts w:ascii="Times New Roman" w:cs="Times New Roman" w:eastAsia="Times New Roman" w:hAnsi="Times New Roman"/>
                  <w:sz w:val="15"/>
                  <w:szCs w:val="15"/>
                  <w:color w:val="3051F2"/>
                </w:rPr>
                <w:t>Automotive Holding UK Limited and PAH UK Merger Sub Inc. (incorporated</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bottom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71">
              <w:r>
                <w:rPr>
                  <w:rFonts w:ascii="Times New Roman" w:cs="Times New Roman" w:eastAsia="Times New Roman" w:hAnsi="Times New Roman"/>
                  <w:sz w:val="15"/>
                  <w:szCs w:val="15"/>
                  <w:color w:val="3051F2"/>
                </w:rPr>
                <w:t>by reference to Annex A-1 to the proxy statement/prospectus used in connection</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20" w:type="dxa"/>
            <w:vAlign w:val="bottom"/>
            <w:gridSpan w:val="28"/>
          </w:tcPr>
          <w:p>
            <w:pPr>
              <w:spacing w:after="0" w:line="154" w:lineRule="exact"/>
              <w:rPr>
                <w:rFonts w:ascii="Times New Roman" w:cs="Times New Roman" w:eastAsia="Times New Roman" w:hAnsi="Times New Roman"/>
                <w:sz w:val="15"/>
                <w:szCs w:val="15"/>
                <w:color w:val="3051F2"/>
              </w:rPr>
            </w:pPr>
            <w:hyperlink r:id="rId71">
              <w:r>
                <w:rPr>
                  <w:rFonts w:ascii="Times New Roman" w:cs="Times New Roman" w:eastAsia="Times New Roman" w:hAnsi="Times New Roman"/>
                  <w:sz w:val="15"/>
                  <w:szCs w:val="15"/>
                  <w:color w:val="3051F2"/>
                </w:rPr>
                <w:t>with the Business Combination).</w:t>
              </w:r>
            </w:hyperlink>
          </w:p>
        </w:tc>
        <w:tc>
          <w:tcPr>
            <w:tcW w:w="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6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Amendment No. 1 to the Business Combination Agreement, dated as of</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3840" w:type="dxa"/>
            <w:vAlign w:val="bottom"/>
          </w:tcPr>
          <w:p>
            <w:pPr>
              <w:jc w:val="center"/>
              <w:ind w:right="2123"/>
              <w:spacing w:after="0"/>
              <w:rPr>
                <w:sz w:val="20"/>
                <w:szCs w:val="20"/>
                <w:color w:val="auto"/>
              </w:rPr>
            </w:pPr>
            <w:r>
              <w:rPr>
                <w:rFonts w:ascii="Times New Roman" w:cs="Times New Roman" w:eastAsia="Times New Roman" w:hAnsi="Times New Roman"/>
                <w:sz w:val="15"/>
                <w:szCs w:val="15"/>
                <w:color w:val="auto"/>
              </w:rPr>
              <w:t>December 17, 2021</w:t>
            </w:r>
          </w:p>
        </w:tc>
      </w:tr>
      <w:tr>
        <w:trPr>
          <w:trHeight w:val="154"/>
        </w:trPr>
        <w:tc>
          <w:tcPr>
            <w:tcW w:w="920" w:type="dxa"/>
            <w:vAlign w:val="bottom"/>
          </w:tcPr>
          <w:p>
            <w:pPr>
              <w:spacing w:after="0"/>
              <w:rPr>
                <w:sz w:val="13"/>
                <w:szCs w:val="13"/>
                <w:color w:val="auto"/>
              </w:rPr>
            </w:pPr>
          </w:p>
        </w:tc>
        <w:tc>
          <w:tcPr>
            <w:tcW w:w="4440" w:type="dxa"/>
            <w:vAlign w:val="bottom"/>
            <w:tcBorders>
              <w:top w:val="single" w:sz="8" w:color="3051F2"/>
            </w:tcBorders>
            <w:gridSpan w:val="10"/>
          </w:tcPr>
          <w:p>
            <w:pPr>
              <w:spacing w:after="0" w:line="154" w:lineRule="exact"/>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December 17, 2021, by and among Gores Guggenheim, Inc., Polestar</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00" w:type="dxa"/>
            <w:vAlign w:val="bottom"/>
            <w:tcBorders>
              <w:top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Automotive Holding Limited, Polestar Automotive (Singapore) Pte.</w:t>
              </w:r>
            </w:hyperlink>
          </w:p>
        </w:tc>
        <w:tc>
          <w:tcPr>
            <w:tcW w:w="780" w:type="dxa"/>
            <w:vAlign w:val="bottom"/>
            <w:gridSpan w:val="23"/>
          </w:tcPr>
          <w:p>
            <w:pPr>
              <w:spacing w:after="0" w:line="154" w:lineRule="exact"/>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Ltd.,</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540" w:type="dxa"/>
            <w:vAlign w:val="bottom"/>
            <w:tcBorders>
              <w:top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Polestar Holding AB, Inc., Polestar Automotive Holding UK Limited and</w:t>
              </w:r>
            </w:hyperlink>
          </w:p>
        </w:tc>
        <w:tc>
          <w:tcPr>
            <w:tcW w:w="20" w:type="dxa"/>
            <w:vAlign w:val="bottom"/>
          </w:tcPr>
          <w:p>
            <w:pPr>
              <w:spacing w:after="0"/>
              <w:rPr>
                <w:sz w:val="13"/>
                <w:szCs w:val="13"/>
                <w:color w:val="auto"/>
              </w:rPr>
            </w:pPr>
          </w:p>
        </w:tc>
        <w:tc>
          <w:tcPr>
            <w:tcW w:w="520" w:type="dxa"/>
            <w:vAlign w:val="bottom"/>
            <w:gridSpan w:val="17"/>
          </w:tcPr>
          <w:p>
            <w:pPr>
              <w:ind w:left="40"/>
              <w:spacing w:after="0" w:line="154" w:lineRule="exact"/>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PAH</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00" w:type="dxa"/>
            <w:vAlign w:val="bottom"/>
            <w:tcBorders>
              <w:top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72">
              <w:r>
                <w:rPr>
                  <w:rFonts w:ascii="Times New Roman" w:cs="Times New Roman" w:eastAsia="Times New Roman" w:hAnsi="Times New Roman"/>
                  <w:sz w:val="15"/>
                  <w:szCs w:val="15"/>
                  <w:color w:val="3051F2"/>
                </w:rPr>
                <w:t>UK Merger Sub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6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4.3##</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Amendment No. 2 to the Business Combination Agreement, dated as of March</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March 25, 2022</w:t>
            </w:r>
          </w:p>
        </w:tc>
      </w:tr>
      <w:tr>
        <w:trPr>
          <w:trHeight w:val="154"/>
        </w:trPr>
        <w:tc>
          <w:tcPr>
            <w:tcW w:w="920" w:type="dxa"/>
            <w:vAlign w:val="bottom"/>
          </w:tcPr>
          <w:p>
            <w:pPr>
              <w:spacing w:after="0"/>
              <w:rPr>
                <w:sz w:val="13"/>
                <w:szCs w:val="13"/>
                <w:color w:val="auto"/>
              </w:rPr>
            </w:pPr>
          </w:p>
        </w:tc>
        <w:tc>
          <w:tcPr>
            <w:tcW w:w="4880" w:type="dxa"/>
            <w:vAlign w:val="bottom"/>
            <w:tcBorders>
              <w:top w:val="single" w:sz="8" w:color="3051F2"/>
              <w:bottom w:val="single" w:sz="8" w:color="3051F2"/>
            </w:tcBorders>
            <w:gridSpan w:val="21"/>
          </w:tcPr>
          <w:p>
            <w:pPr>
              <w:spacing w:after="0" w:line="154" w:lineRule="exact"/>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24, 2022, by and among Gores Guggenheim, Inc., Polestar Automotive Holding</w:t>
              </w:r>
            </w:hyperlink>
          </w:p>
        </w:tc>
        <w:tc>
          <w:tcPr>
            <w:tcW w:w="40" w:type="dxa"/>
            <w:vAlign w:val="bottom"/>
            <w:tcBorders>
              <w:bottom w:val="single" w:sz="8" w:color="3051F2"/>
            </w:tcBorders>
            <w:gridSpan w:val="2"/>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80" w:type="dxa"/>
            <w:vAlign w:val="bottom"/>
            <w:gridSpan w:val="26"/>
          </w:tcPr>
          <w:p>
            <w:pPr>
              <w:spacing w:after="0" w:line="154" w:lineRule="exact"/>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Limited, Polestar Automotive (Singapore) Pte. Ltd., Polestar Holding AB, Inc.,</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Polestar Automotive Holding UK Limited and PAH UK Merger Sub Inc.</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3051F2"/>
          </w:tcPr>
          <w:p>
            <w:pPr>
              <w:spacing w:after="0" w:line="20" w:lineRule="exact"/>
              <w:rPr>
                <w:sz w:val="1"/>
                <w:szCs w:val="1"/>
                <w:color w:val="auto"/>
              </w:rPr>
            </w:pPr>
          </w:p>
        </w:tc>
        <w:tc>
          <w:tcPr>
            <w:tcW w:w="1660" w:type="dxa"/>
            <w:vAlign w:val="bottom"/>
            <w:gridSpan w:val="2"/>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440" w:type="dxa"/>
            <w:vAlign w:val="bottom"/>
            <w:gridSpan w:val="3"/>
            <w:shd w:val="clear" w:color="auto" w:fill="3051F2"/>
          </w:tcPr>
          <w:p>
            <w:pPr>
              <w:spacing w:after="0" w:line="20" w:lineRule="exact"/>
              <w:rPr>
                <w:sz w:val="1"/>
                <w:szCs w:val="1"/>
                <w:color w:val="auto"/>
              </w:rPr>
            </w:pPr>
          </w:p>
        </w:tc>
        <w:tc>
          <w:tcPr>
            <w:tcW w:w="180" w:type="dxa"/>
            <w:vAlign w:val="bottom"/>
            <w:gridSpan w:val="3"/>
            <w:shd w:val="clear" w:color="auto" w:fill="3051F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4.4</w:t>
            </w:r>
          </w:p>
        </w:tc>
        <w:tc>
          <w:tcPr>
            <w:tcW w:w="4800" w:type="dxa"/>
            <w:vAlign w:val="bottom"/>
            <w:tcBorders>
              <w:bottom w:val="single" w:sz="8" w:color="3051F2"/>
            </w:tcBorders>
            <w:gridSpan w:val="18"/>
          </w:tcPr>
          <w:p>
            <w:pPr>
              <w:spacing w:after="0"/>
              <w:rPr>
                <w:rFonts w:ascii="Times New Roman" w:cs="Times New Roman" w:eastAsia="Times New Roman" w:hAnsi="Times New Roman"/>
                <w:sz w:val="15"/>
                <w:szCs w:val="15"/>
                <w:color w:val="3051F2"/>
              </w:rPr>
            </w:pPr>
            <w:hyperlink r:id="rId74">
              <w:r>
                <w:rPr>
                  <w:rFonts w:ascii="Times New Roman" w:cs="Times New Roman" w:eastAsia="Times New Roman" w:hAnsi="Times New Roman"/>
                  <w:sz w:val="15"/>
                  <w:szCs w:val="15"/>
                  <w:color w:val="3051F2"/>
                </w:rPr>
                <w:t>Amendment No. 3 to the Business Combination Agreement, dated as of April</w:t>
              </w:r>
            </w:hyperlink>
          </w:p>
        </w:tc>
        <w:tc>
          <w:tcPr>
            <w:tcW w:w="280" w:type="dxa"/>
            <w:vAlign w:val="bottom"/>
            <w:gridSpan w:val="12"/>
          </w:tcPr>
          <w:p>
            <w:pPr>
              <w:spacing w:after="0"/>
              <w:rPr>
                <w:sz w:val="17"/>
                <w:szCs w:val="17"/>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April 21, 2022</w:t>
            </w: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74">
              <w:r>
                <w:rPr>
                  <w:rFonts w:ascii="Times New Roman" w:cs="Times New Roman" w:eastAsia="Times New Roman" w:hAnsi="Times New Roman"/>
                  <w:sz w:val="15"/>
                  <w:szCs w:val="15"/>
                  <w:color w:val="3051F2"/>
                </w:rPr>
                <w:t>21, 2022, by and among Gores Guggenheim, Inc., Polestar Automotive Holding</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80" w:type="dxa"/>
            <w:vAlign w:val="bottom"/>
            <w:tcBorders>
              <w:top w:val="single" w:sz="8" w:color="3051F2"/>
            </w:tcBorders>
            <w:gridSpan w:val="26"/>
          </w:tcPr>
          <w:p>
            <w:pPr>
              <w:spacing w:after="0" w:line="154" w:lineRule="exact"/>
              <w:rPr>
                <w:rFonts w:ascii="Times New Roman" w:cs="Times New Roman" w:eastAsia="Times New Roman" w:hAnsi="Times New Roman"/>
                <w:sz w:val="15"/>
                <w:szCs w:val="15"/>
                <w:color w:val="3051F2"/>
              </w:rPr>
            </w:pPr>
            <w:hyperlink r:id="rId74">
              <w:r>
                <w:rPr>
                  <w:rFonts w:ascii="Times New Roman" w:cs="Times New Roman" w:eastAsia="Times New Roman" w:hAnsi="Times New Roman"/>
                  <w:sz w:val="15"/>
                  <w:szCs w:val="15"/>
                  <w:color w:val="3051F2"/>
                </w:rPr>
                <w:t>Limited, Polestar Automotive (Singapore) Pte. Ltd., Polestar Holding AB, Inc.,</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74">
              <w:r>
                <w:rPr>
                  <w:rFonts w:ascii="Times New Roman" w:cs="Times New Roman" w:eastAsia="Times New Roman" w:hAnsi="Times New Roman"/>
                  <w:sz w:val="15"/>
                  <w:szCs w:val="15"/>
                  <w:color w:val="3051F2"/>
                </w:rPr>
                <w:t>Polestar Automotive Holding UK Limited and PAH UK Merger Sub Inc.</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3051F2"/>
          </w:tcPr>
          <w:p>
            <w:pPr>
              <w:spacing w:after="0" w:line="20" w:lineRule="exact"/>
              <w:rPr>
                <w:sz w:val="1"/>
                <w:szCs w:val="1"/>
                <w:color w:val="auto"/>
              </w:rPr>
            </w:pPr>
          </w:p>
        </w:tc>
        <w:tc>
          <w:tcPr>
            <w:tcW w:w="1660" w:type="dxa"/>
            <w:vAlign w:val="bottom"/>
            <w:gridSpan w:val="2"/>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440" w:type="dxa"/>
            <w:vAlign w:val="bottom"/>
            <w:gridSpan w:val="3"/>
            <w:shd w:val="clear" w:color="auto" w:fill="3051F2"/>
          </w:tcPr>
          <w:p>
            <w:pPr>
              <w:spacing w:after="0" w:line="20" w:lineRule="exact"/>
              <w:rPr>
                <w:sz w:val="1"/>
                <w:szCs w:val="1"/>
                <w:color w:val="auto"/>
              </w:rPr>
            </w:pPr>
          </w:p>
        </w:tc>
        <w:tc>
          <w:tcPr>
            <w:tcW w:w="180" w:type="dxa"/>
            <w:vAlign w:val="bottom"/>
            <w:gridSpan w:val="3"/>
            <w:shd w:val="clear" w:color="auto" w:fill="3051F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4.5</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75">
              <w:r>
                <w:rPr>
                  <w:rFonts w:ascii="Times New Roman" w:cs="Times New Roman" w:eastAsia="Times New Roman" w:hAnsi="Times New Roman"/>
                  <w:sz w:val="15"/>
                  <w:szCs w:val="15"/>
                  <w:color w:val="3051F2"/>
                </w:rPr>
                <w:t>Form of Subscription Agreement (incorporated by reference to Annex F to the</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F-4/A</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40" w:type="dxa"/>
            <w:vAlign w:val="bottom"/>
            <w:tcBorders>
              <w:top w:val="single" w:sz="8" w:color="3051F2"/>
              <w:bottom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75">
              <w:r>
                <w:rPr>
                  <w:rFonts w:ascii="Times New Roman" w:cs="Times New Roman" w:eastAsia="Times New Roman" w:hAnsi="Times New Roman"/>
                  <w:sz w:val="15"/>
                  <w:szCs w:val="15"/>
                  <w:color w:val="3051F2"/>
                </w:rPr>
                <w:t>proxy statement/prospectus used in connection with the Business Combination)</w:t>
              </w:r>
            </w:hyperlink>
          </w:p>
        </w:tc>
        <w:tc>
          <w:tcPr>
            <w:tcW w:w="160" w:type="dxa"/>
            <w:vAlign w:val="bottom"/>
            <w:tcBorders>
              <w:bottom w:val="single" w:sz="8" w:color="3051F2"/>
            </w:tcBorders>
            <w:gridSpan w:val="8"/>
          </w:tcPr>
          <w:p>
            <w:pPr>
              <w:jc w:val="right"/>
              <w:ind w:right="40"/>
              <w:spacing w:after="0" w:line="154" w:lineRule="exact"/>
              <w:rPr>
                <w:rFonts w:ascii="Times New Roman" w:cs="Times New Roman" w:eastAsia="Times New Roman" w:hAnsi="Times New Roman"/>
                <w:sz w:val="15"/>
                <w:szCs w:val="15"/>
                <w:color w:val="3051F2"/>
              </w:rPr>
            </w:pPr>
            <w:hyperlink r:id="rId75">
              <w:r>
                <w:rPr>
                  <w:rFonts w:ascii="Times New Roman" w:cs="Times New Roman" w:eastAsia="Times New Roman" w:hAnsi="Times New Roman"/>
                  <w:sz w:val="15"/>
                  <w:szCs w:val="15"/>
                  <w:color w:val="3051F2"/>
                </w:rPr>
                <w:t>.</w:t>
              </w:r>
            </w:hyperlink>
          </w:p>
        </w:tc>
        <w:tc>
          <w:tcPr>
            <w:tcW w:w="8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4.6</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76">
              <w:r>
                <w:rPr>
                  <w:rFonts w:ascii="Times New Roman" w:cs="Times New Roman" w:eastAsia="Times New Roman" w:hAnsi="Times New Roman"/>
                  <w:sz w:val="15"/>
                  <w:szCs w:val="15"/>
                  <w:color w:val="3051F2"/>
                </w:rPr>
                <w:t>Registration Rights Agreement, dated as of September 27, 2021, by and among</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F-4/A</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10.4</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940" w:type="dxa"/>
            <w:vAlign w:val="bottom"/>
            <w:tcBorders>
              <w:top w:val="single" w:sz="8" w:color="3051F2"/>
            </w:tcBorders>
            <w:gridSpan w:val="24"/>
          </w:tcPr>
          <w:p>
            <w:pPr>
              <w:spacing w:after="0" w:line="154" w:lineRule="exact"/>
              <w:rPr>
                <w:rFonts w:ascii="Times New Roman" w:cs="Times New Roman" w:eastAsia="Times New Roman" w:hAnsi="Times New Roman"/>
                <w:sz w:val="15"/>
                <w:szCs w:val="15"/>
                <w:color w:val="3051F2"/>
              </w:rPr>
            </w:pPr>
            <w:hyperlink r:id="rId76">
              <w:r>
                <w:rPr>
                  <w:rFonts w:ascii="Times New Roman" w:cs="Times New Roman" w:eastAsia="Times New Roman" w:hAnsi="Times New Roman"/>
                  <w:sz w:val="15"/>
                  <w:szCs w:val="15"/>
                  <w:color w:val="3051F2"/>
                </w:rPr>
                <w:t>Polestar Automotive Holding UK Limited, Gores Guggenheim Sponsor LLC,</w:t>
              </w:r>
            </w:hyperlink>
          </w:p>
        </w:tc>
        <w:tc>
          <w:tcPr>
            <w:tcW w:w="140" w:type="dxa"/>
            <w:vAlign w:val="bottom"/>
            <w:gridSpan w:val="6"/>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00" w:type="dxa"/>
            <w:vAlign w:val="bottom"/>
            <w:tcBorders>
              <w:top w:val="single" w:sz="8" w:color="3051F2"/>
            </w:tcBorders>
            <w:gridSpan w:val="18"/>
          </w:tcPr>
          <w:p>
            <w:pPr>
              <w:spacing w:after="0" w:line="154" w:lineRule="exact"/>
              <w:rPr>
                <w:rFonts w:ascii="Times New Roman" w:cs="Times New Roman" w:eastAsia="Times New Roman" w:hAnsi="Times New Roman"/>
                <w:sz w:val="15"/>
                <w:szCs w:val="15"/>
                <w:color w:val="3051F2"/>
              </w:rPr>
            </w:pPr>
            <w:hyperlink r:id="rId76">
              <w:r>
                <w:rPr>
                  <w:rFonts w:ascii="Times New Roman" w:cs="Times New Roman" w:eastAsia="Times New Roman" w:hAnsi="Times New Roman"/>
                  <w:sz w:val="15"/>
                  <w:szCs w:val="15"/>
                  <w:color w:val="3051F2"/>
                </w:rPr>
                <w:t>Randall Bort, Elizabeth Marcellino and Nancy Tellem, Polestar Automotive</w:t>
              </w:r>
            </w:hyperlink>
          </w:p>
        </w:tc>
        <w:tc>
          <w:tcPr>
            <w:tcW w:w="120" w:type="dxa"/>
            <w:vAlign w:val="bottom"/>
            <w:gridSpan w:val="5"/>
          </w:tcPr>
          <w:p>
            <w:pPr>
              <w:spacing w:after="0"/>
              <w:rPr>
                <w:sz w:val="13"/>
                <w:szCs w:val="13"/>
                <w:color w:val="auto"/>
              </w:rPr>
            </w:pPr>
          </w:p>
        </w:tc>
        <w:tc>
          <w:tcPr>
            <w:tcW w:w="160" w:type="dxa"/>
            <w:vAlign w:val="bottom"/>
            <w:gridSpan w:val="7"/>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3051F2"/>
          </w:tcPr>
          <w:p>
            <w:pPr>
              <w:spacing w:after="0" w:line="20" w:lineRule="exact"/>
              <w:rPr>
                <w:sz w:val="1"/>
                <w:szCs w:val="1"/>
                <w:color w:val="auto"/>
              </w:rPr>
            </w:pPr>
          </w:p>
        </w:tc>
        <w:tc>
          <w:tcPr>
            <w:tcW w:w="1660" w:type="dxa"/>
            <w:vAlign w:val="bottom"/>
            <w:gridSpan w:val="2"/>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440" w:type="dxa"/>
            <w:vAlign w:val="bottom"/>
            <w:gridSpan w:val="3"/>
            <w:shd w:val="clear" w:color="auto" w:fill="3051F2"/>
          </w:tcPr>
          <w:p>
            <w:pPr>
              <w:spacing w:after="0" w:line="20" w:lineRule="exact"/>
              <w:rPr>
                <w:sz w:val="1"/>
                <w:szCs w:val="1"/>
                <w:color w:val="auto"/>
              </w:rPr>
            </w:pPr>
          </w:p>
        </w:tc>
        <w:tc>
          <w:tcPr>
            <w:tcW w:w="240" w:type="dxa"/>
            <w:vAlign w:val="bottom"/>
            <w:gridSpan w:val="5"/>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76">
              <w:r>
                <w:rPr>
                  <w:rFonts w:ascii="Times New Roman" w:cs="Times New Roman" w:eastAsia="Times New Roman" w:hAnsi="Times New Roman"/>
                  <w:sz w:val="15"/>
                  <w:szCs w:val="15"/>
                  <w:color w:val="3051F2"/>
                </w:rPr>
                <w:t>Holding Limited and certain of its shareholders (incorporated by reference to</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80" w:type="dxa"/>
            <w:vAlign w:val="bottom"/>
            <w:tcBorders>
              <w:top w:val="single" w:sz="8" w:color="3051F2"/>
            </w:tcBorders>
            <w:gridSpan w:val="17"/>
          </w:tcPr>
          <w:p>
            <w:pPr>
              <w:spacing w:after="0" w:line="154" w:lineRule="exact"/>
              <w:rPr>
                <w:rFonts w:ascii="Times New Roman" w:cs="Times New Roman" w:eastAsia="Times New Roman" w:hAnsi="Times New Roman"/>
                <w:sz w:val="15"/>
                <w:szCs w:val="15"/>
                <w:color w:val="3051F2"/>
              </w:rPr>
            </w:pPr>
            <w:hyperlink r:id="rId76">
              <w:r>
                <w:rPr>
                  <w:rFonts w:ascii="Times New Roman" w:cs="Times New Roman" w:eastAsia="Times New Roman" w:hAnsi="Times New Roman"/>
                  <w:sz w:val="15"/>
                  <w:szCs w:val="15"/>
                  <w:color w:val="3051F2"/>
                </w:rPr>
                <w:t>Annex G-1 to the proxy statement/prospectus used in connection with the</w:t>
              </w:r>
            </w:hyperlink>
          </w:p>
        </w:tc>
        <w:tc>
          <w:tcPr>
            <w:tcW w:w="140" w:type="dxa"/>
            <w:vAlign w:val="bottom"/>
            <w:gridSpan w:val="6"/>
          </w:tcPr>
          <w:p>
            <w:pPr>
              <w:spacing w:after="0"/>
              <w:rPr>
                <w:sz w:val="13"/>
                <w:szCs w:val="13"/>
                <w:color w:val="auto"/>
              </w:rPr>
            </w:pPr>
          </w:p>
        </w:tc>
        <w:tc>
          <w:tcPr>
            <w:tcW w:w="160" w:type="dxa"/>
            <w:vAlign w:val="bottom"/>
            <w:gridSpan w:val="7"/>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560" w:type="dxa"/>
            <w:vAlign w:val="bottom"/>
            <w:tcBorders>
              <w:top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76">
              <w:r>
                <w:rPr>
                  <w:rFonts w:ascii="Times New Roman" w:cs="Times New Roman" w:eastAsia="Times New Roman" w:hAnsi="Times New Roman"/>
                  <w:sz w:val="15"/>
                  <w:szCs w:val="15"/>
                  <w:color w:val="3051F2"/>
                </w:rPr>
                <w:t>Business Combination).</w:t>
              </w:r>
            </w:hyperlink>
          </w:p>
        </w:tc>
        <w:tc>
          <w:tcPr>
            <w:tcW w:w="200" w:type="dxa"/>
            <w:vAlign w:val="bottom"/>
            <w:gridSpan w:val="3"/>
          </w:tcPr>
          <w:p>
            <w:pPr>
              <w:spacing w:after="0"/>
              <w:rPr>
                <w:sz w:val="13"/>
                <w:szCs w:val="13"/>
                <w:color w:val="auto"/>
              </w:rPr>
            </w:pPr>
          </w:p>
        </w:tc>
        <w:tc>
          <w:tcPr>
            <w:tcW w:w="160" w:type="dxa"/>
            <w:vAlign w:val="bottom"/>
            <w:gridSpan w:val="7"/>
          </w:tcPr>
          <w:p>
            <w:pPr>
              <w:spacing w:after="0"/>
              <w:rPr>
                <w:sz w:val="13"/>
                <w:szCs w:val="13"/>
                <w:color w:val="auto"/>
              </w:rPr>
            </w:pPr>
          </w:p>
        </w:tc>
        <w:tc>
          <w:tcPr>
            <w:tcW w:w="160" w:type="dxa"/>
            <w:vAlign w:val="bottom"/>
            <w:gridSpan w:val="7"/>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3051F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3140" w:type="dxa"/>
            <w:vAlign w:val="bottom"/>
            <w:tcBorders>
              <w:bottom w:val="single" w:sz="8" w:color="3051F2"/>
            </w:tcBorders>
            <w:gridSpan w:val="4"/>
          </w:tcPr>
          <w:p>
            <w:pPr>
              <w:spacing w:after="0"/>
              <w:rPr>
                <w:rFonts w:ascii="Times New Roman" w:cs="Times New Roman" w:eastAsia="Times New Roman" w:hAnsi="Times New Roman"/>
                <w:sz w:val="15"/>
                <w:szCs w:val="15"/>
                <w:color w:val="3051F2"/>
              </w:rPr>
            </w:pPr>
            <w:hyperlink r:id="rId77">
              <w:r>
                <w:rPr>
                  <w:rFonts w:ascii="Times New Roman" w:cs="Times New Roman" w:eastAsia="Times New Roman" w:hAnsi="Times New Roman"/>
                  <w:sz w:val="15"/>
                  <w:szCs w:val="15"/>
                  <w:color w:val="3051F2"/>
                </w:rPr>
                <w:t>Form of Director &amp; Officer Indemnity Agreement.</w:t>
              </w:r>
            </w:hyperlink>
          </w:p>
        </w:tc>
        <w:tc>
          <w:tcPr>
            <w:tcW w:w="1940" w:type="dxa"/>
            <w:vAlign w:val="bottom"/>
            <w:gridSpan w:val="26"/>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F-4/A</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10.5</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May 23, 2022</w:t>
            </w: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4320" w:type="dxa"/>
            <w:vAlign w:val="bottom"/>
            <w:tcBorders>
              <w:bottom w:val="single" w:sz="8" w:color="3051F2"/>
            </w:tcBorders>
            <w:gridSpan w:val="8"/>
          </w:tcPr>
          <w:p>
            <w:pPr>
              <w:spacing w:after="0"/>
              <w:rPr>
                <w:rFonts w:ascii="Times New Roman" w:cs="Times New Roman" w:eastAsia="Times New Roman" w:hAnsi="Times New Roman"/>
                <w:sz w:val="15"/>
                <w:szCs w:val="15"/>
                <w:color w:val="3051F2"/>
              </w:rPr>
            </w:pPr>
            <w:hyperlink r:id="rId78">
              <w:r>
                <w:rPr>
                  <w:rFonts w:ascii="Times New Roman" w:cs="Times New Roman" w:eastAsia="Times New Roman" w:hAnsi="Times New Roman"/>
                  <w:sz w:val="15"/>
                  <w:szCs w:val="15"/>
                  <w:color w:val="3051F2"/>
                </w:rPr>
                <w:t>Polestar Automotive Holding UK PLC 2022 Omnibus Incentive Plan.</w:t>
              </w:r>
            </w:hyperlink>
          </w:p>
        </w:tc>
        <w:tc>
          <w:tcPr>
            <w:tcW w:w="760" w:type="dxa"/>
            <w:vAlign w:val="bottom"/>
            <w:gridSpan w:val="22"/>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S-8</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99.1</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29, 2022</w:t>
            </w: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4760" w:type="dxa"/>
            <w:vAlign w:val="bottom"/>
            <w:tcBorders>
              <w:bottom w:val="single" w:sz="8" w:color="3051F2"/>
            </w:tcBorders>
            <w:gridSpan w:val="16"/>
          </w:tcPr>
          <w:p>
            <w:pPr>
              <w:spacing w:after="0"/>
              <w:rPr>
                <w:rFonts w:ascii="Times New Roman" w:cs="Times New Roman" w:eastAsia="Times New Roman" w:hAnsi="Times New Roman"/>
                <w:sz w:val="15"/>
                <w:szCs w:val="15"/>
                <w:color w:val="3051F2"/>
              </w:rPr>
            </w:pPr>
            <w:hyperlink r:id="rId79">
              <w:r>
                <w:rPr>
                  <w:rFonts w:ascii="Times New Roman" w:cs="Times New Roman" w:eastAsia="Times New Roman" w:hAnsi="Times New Roman"/>
                  <w:sz w:val="15"/>
                  <w:szCs w:val="15"/>
                  <w:color w:val="3051F2"/>
                </w:rPr>
                <w:t>Polestar Automotive Holding UK PLC 2022 Employee Stock Purchase Plan.</w:t>
              </w:r>
            </w:hyperlink>
          </w:p>
        </w:tc>
        <w:tc>
          <w:tcPr>
            <w:tcW w:w="320" w:type="dxa"/>
            <w:vAlign w:val="bottom"/>
            <w:gridSpan w:val="14"/>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5"/>
              </w:rPr>
              <w:t>S-8</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99.2</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29, 2022</w:t>
            </w: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4.10</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80">
              <w:r>
                <w:rPr>
                  <w:rFonts w:ascii="Times New Roman" w:cs="Times New Roman" w:eastAsia="Times New Roman" w:hAnsi="Times New Roman"/>
                  <w:sz w:val="15"/>
                  <w:szCs w:val="15"/>
                  <w:color w:val="3051F2"/>
                </w:rPr>
                <w:t>Framework Assignment and License Agreement, dated as of October 31, 2018,</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F-4/A</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w:t>
            </w:r>
          </w:p>
        </w:tc>
        <w:tc>
          <w:tcPr>
            <w:tcW w:w="384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92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80">
              <w:r>
                <w:rPr>
                  <w:rFonts w:ascii="Times New Roman" w:cs="Times New Roman" w:eastAsia="Times New Roman" w:hAnsi="Times New Roman"/>
                  <w:sz w:val="15"/>
                  <w:szCs w:val="15"/>
                  <w:color w:val="3051F2"/>
                </w:rPr>
                <w:t>between Volvo Car Corporation and Polestar Performance AB.</w:t>
              </w:r>
            </w:hyperlink>
          </w:p>
        </w:tc>
        <w:tc>
          <w:tcPr>
            <w:tcW w:w="160" w:type="dxa"/>
            <w:vAlign w:val="bottom"/>
            <w:gridSpan w:val="7"/>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778"/>
        </w:trPr>
        <w:tc>
          <w:tcPr>
            <w:tcW w:w="920" w:type="dxa"/>
            <w:vAlign w:val="bottom"/>
          </w:tcPr>
          <w:p>
            <w:pPr>
              <w:spacing w:after="0"/>
              <w:rPr>
                <w:sz w:val="24"/>
                <w:szCs w:val="24"/>
                <w:color w:val="auto"/>
              </w:rPr>
            </w:pPr>
          </w:p>
        </w:tc>
        <w:tc>
          <w:tcPr>
            <w:tcW w:w="3880" w:type="dxa"/>
            <w:vAlign w:val="bottom"/>
            <w:tcBorders>
              <w:top w:val="single" w:sz="8" w:color="3051F2"/>
            </w:tcBorders>
            <w:gridSpan w:val="5"/>
          </w:tcPr>
          <w:p>
            <w:pPr>
              <w:spacing w:after="0"/>
              <w:rPr>
                <w:sz w:val="24"/>
                <w:szCs w:val="24"/>
                <w:color w:val="auto"/>
              </w:rPr>
            </w:pPr>
          </w:p>
        </w:tc>
        <w:tc>
          <w:tcPr>
            <w:tcW w:w="920" w:type="dxa"/>
            <w:vAlign w:val="bottom"/>
            <w:gridSpan w:val="13"/>
          </w:tcPr>
          <w:p>
            <w:pPr>
              <w:jc w:val="right"/>
              <w:ind w:right="20"/>
              <w:spacing w:after="0"/>
              <w:rPr>
                <w:sz w:val="20"/>
                <w:szCs w:val="20"/>
                <w:color w:val="auto"/>
              </w:rPr>
            </w:pPr>
            <w:r>
              <w:rPr>
                <w:rFonts w:ascii="Times New Roman" w:cs="Times New Roman" w:eastAsia="Times New Roman" w:hAnsi="Times New Roman"/>
                <w:sz w:val="15"/>
                <w:szCs w:val="15"/>
                <w:color w:val="auto"/>
              </w:rPr>
              <w:t>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gridSpan w:val="29"/>
          </w:tcPr>
          <w:p>
            <w:pPr>
              <w:jc w:val="center"/>
              <w:ind w:right="42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84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559"/>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4.11†</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Car Model Assignment and License Agreement, dated as of October 31, 2018,</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10.9</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80" w:type="dxa"/>
            <w:vAlign w:val="bottom"/>
            <w:tcBorders>
              <w:top w:val="single" w:sz="8" w:color="3051F2"/>
              <w:bottom w:val="single" w:sz="8" w:color="3051F2"/>
            </w:tcBorders>
            <w:gridSpan w:val="26"/>
          </w:tcPr>
          <w:p>
            <w:pPr>
              <w:spacing w:after="0" w:line="154" w:lineRule="exact"/>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between Volvo Car Corporation and Polestar Performance AB, as supplemented</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220" w:type="dxa"/>
            <w:vAlign w:val="bottom"/>
            <w:tcBorders>
              <w:bottom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by the Side Letter, dated as of October 31, 2018, between Volvo Car</w:t>
              </w:r>
            </w:hyperlink>
          </w:p>
        </w:tc>
        <w:tc>
          <w:tcPr>
            <w:tcW w:w="780" w:type="dxa"/>
            <w:vAlign w:val="bottom"/>
            <w:gridSpan w:val="25"/>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60" w:type="dxa"/>
            <w:vAlign w:val="bottom"/>
            <w:gridSpan w:val="33"/>
          </w:tcPr>
          <w:p>
            <w:pPr>
              <w:spacing w:after="0" w:line="154" w:lineRule="exact"/>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Corporation, Polestar Performance AB and Polestar New Energy Vehicle Co.</w:t>
              </w:r>
            </w:hyperlink>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60" w:type="dxa"/>
            <w:vAlign w:val="bottom"/>
            <w:tcBorders>
              <w:top w:val="single" w:sz="8" w:color="3051F2"/>
              <w:bottom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Ltd., as amended by the Amendment Agreement to the Car Model Assignment</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40" w:type="dxa"/>
            <w:vAlign w:val="bottom"/>
            <w:tcBorders>
              <w:bottom w:val="single" w:sz="8" w:color="3051F2"/>
            </w:tcBorders>
            <w:gridSpan w:val="2"/>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20" w:type="dxa"/>
            <w:vAlign w:val="bottom"/>
            <w:gridSpan w:val="28"/>
          </w:tcPr>
          <w:p>
            <w:pPr>
              <w:spacing w:after="0" w:line="154" w:lineRule="exact"/>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and License Agreement, dated as of May 5, 2021, between Volvo Car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00" w:type="dxa"/>
            <w:vAlign w:val="bottom"/>
            <w:tcBorders>
              <w:top w:val="single" w:sz="8" w:color="3051F2"/>
            </w:tcBorders>
            <w:gridSpan w:val="8"/>
          </w:tcPr>
          <w:p>
            <w:pPr>
              <w:spacing w:after="0" w:line="154" w:lineRule="exact"/>
              <w:rPr>
                <w:rFonts w:ascii="Times New Roman" w:cs="Times New Roman" w:eastAsia="Times New Roman" w:hAnsi="Times New Roman"/>
                <w:sz w:val="15"/>
                <w:szCs w:val="15"/>
                <w:color w:val="3051F2"/>
              </w:rPr>
            </w:pPr>
            <w:hyperlink r:id="rId83">
              <w:r>
                <w:rPr>
                  <w:rFonts w:ascii="Times New Roman" w:cs="Times New Roman" w:eastAsia="Times New Roman" w:hAnsi="Times New Roman"/>
                  <w:sz w:val="15"/>
                  <w:szCs w:val="15"/>
                  <w:color w:val="3051F2"/>
                </w:rPr>
                <w:t>Corporation and Polestar Performance AB.</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81"/>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4.12†</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84">
              <w:r>
                <w:rPr>
                  <w:rFonts w:ascii="Times New Roman" w:cs="Times New Roman" w:eastAsia="Times New Roman" w:hAnsi="Times New Roman"/>
                  <w:sz w:val="15"/>
                  <w:szCs w:val="15"/>
                  <w:color w:val="3051F2"/>
                </w:rPr>
                <w:t>Settlement Agreement, dated as of December 23, 2020, between Volvo Car</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10.10</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40" w:type="dxa"/>
            <w:vAlign w:val="bottom"/>
            <w:tcBorders>
              <w:top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84">
              <w:r>
                <w:rPr>
                  <w:rFonts w:ascii="Times New Roman" w:cs="Times New Roman" w:eastAsia="Times New Roman" w:hAnsi="Times New Roman"/>
                  <w:sz w:val="15"/>
                  <w:szCs w:val="15"/>
                  <w:color w:val="3051F2"/>
                </w:rPr>
                <w:t>Corporation and Polestar Performance AB.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4.13</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85">
              <w:r>
                <w:rPr>
                  <w:rFonts w:ascii="Times New Roman" w:cs="Times New Roman" w:eastAsia="Times New Roman" w:hAnsi="Times New Roman"/>
                  <w:sz w:val="15"/>
                  <w:szCs w:val="15"/>
                  <w:color w:val="3051F2"/>
                </w:rPr>
                <w:t>Framework Assignment and License Agreement, dated as of October 31, 2018,</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10.11</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940" w:type="dxa"/>
            <w:vAlign w:val="bottom"/>
            <w:tcBorders>
              <w:top w:val="single" w:sz="8" w:color="3051F2"/>
            </w:tcBorders>
            <w:gridSpan w:val="29"/>
          </w:tcPr>
          <w:p>
            <w:pPr>
              <w:spacing w:after="0" w:line="154" w:lineRule="exact"/>
              <w:rPr>
                <w:rFonts w:ascii="Times New Roman" w:cs="Times New Roman" w:eastAsia="Times New Roman" w:hAnsi="Times New Roman"/>
                <w:sz w:val="15"/>
                <w:szCs w:val="15"/>
                <w:color w:val="3051F2"/>
              </w:rPr>
            </w:pPr>
            <w:hyperlink r:id="rId85">
              <w:r>
                <w:rPr>
                  <w:rFonts w:ascii="Times New Roman" w:cs="Times New Roman" w:eastAsia="Times New Roman" w:hAnsi="Times New Roman"/>
                  <w:sz w:val="15"/>
                  <w:szCs w:val="15"/>
                  <w:color w:val="3051F2"/>
                </w:rPr>
                <w:t>between Volvo Car Corporation and Polestar New Energy Vehicle Co.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880" w:type="dxa"/>
            <w:vAlign w:val="bottom"/>
            <w:gridSpan w:val="4"/>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4.14†</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Car Model Assignment and License Agreement, dated as of October 31, 2018,</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10.12</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between Volvo Car Corporation and Polestar New Energy Vehicle Co. Ltd, as</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00" w:type="dxa"/>
            <w:vAlign w:val="bottom"/>
            <w:tcBorders>
              <w:top w:val="single" w:sz="8" w:color="3051F2"/>
              <w:bottom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supplemented by the Side Letter, dated as of October 31, 2018, between Volvo</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60" w:type="dxa"/>
            <w:vAlign w:val="bottom"/>
            <w:tcBorders>
              <w:bottom w:val="single" w:sz="8" w:color="3051F2"/>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00" w:type="dxa"/>
            <w:vAlign w:val="bottom"/>
            <w:gridSpan w:val="27"/>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Car Corporation, Polestar Performance AB and Polestar New Energy Vehicle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80" w:type="dxa"/>
            <w:vAlign w:val="bottom"/>
            <w:tcBorders>
              <w:top w:val="single" w:sz="8" w:color="3051F2"/>
            </w:tcBorders>
            <w:gridSpan w:val="21"/>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Co. Ltd., as supplemented by the Supplement to Car Model Assignment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4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License Agreement, dated as of September 23, 2019, between Volvo Car</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480" w:type="dxa"/>
            <w:vAlign w:val="bottom"/>
            <w:tcBorders>
              <w:top w:val="single" w:sz="8" w:color="3051F2"/>
            </w:tcBorders>
            <w:gridSpan w:val="10"/>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Corporation and Polestar New Energy Vehicle Co. Ltd., as amended by</w:t>
              </w:r>
            </w:hyperlink>
          </w:p>
        </w:tc>
        <w:tc>
          <w:tcPr>
            <w:tcW w:w="580" w:type="dxa"/>
            <w:vAlign w:val="bottom"/>
            <w:gridSpan w:val="23"/>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the</w:t>
              </w:r>
            </w:hyperlink>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880" w:type="dxa"/>
            <w:vAlign w:val="bottom"/>
            <w:gridSpan w:val="4"/>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42"/>
        </w:trPr>
        <w:tc>
          <w:tcPr>
            <w:tcW w:w="920" w:type="dxa"/>
            <w:vAlign w:val="bottom"/>
          </w:tcPr>
          <w:p>
            <w:pPr>
              <w:spacing w:after="0"/>
              <w:rPr>
                <w:sz w:val="12"/>
                <w:szCs w:val="12"/>
                <w:color w:val="auto"/>
              </w:rPr>
            </w:pPr>
          </w:p>
        </w:tc>
        <w:tc>
          <w:tcPr>
            <w:tcW w:w="5060" w:type="dxa"/>
            <w:vAlign w:val="bottom"/>
            <w:gridSpan w:val="33"/>
          </w:tcPr>
          <w:p>
            <w:pPr>
              <w:spacing w:after="0" w:line="142"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Amendment Agreement to the Car Model Assignment and License Agreement,</w:t>
              </w:r>
            </w:hyperlink>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20" w:type="dxa"/>
            <w:vAlign w:val="bottom"/>
          </w:tcPr>
          <w:p>
            <w:pPr>
              <w:spacing w:after="0"/>
              <w:rPr>
                <w:sz w:val="12"/>
                <w:szCs w:val="12"/>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30"/>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dated as of June 2020, between Volvo Car Corporation and Polestar New</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500" w:type="dxa"/>
            <w:vAlign w:val="bottom"/>
            <w:tcBorders>
              <w:top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Energy Vehicle Co. Ltd., as amended by the Novation Agreement, dated</w:t>
              </w:r>
            </w:hyperlink>
          </w:p>
        </w:tc>
        <w:tc>
          <w:tcPr>
            <w:tcW w:w="560" w:type="dxa"/>
            <w:vAlign w:val="bottom"/>
            <w:gridSpan w:val="22"/>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as of</w:t>
              </w:r>
            </w:hyperlink>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2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December 8, 2020, by and among Polestar New Energy Vehicle Co., Ltd.,</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880" w:type="dxa"/>
            <w:vAlign w:val="bottom"/>
            <w:gridSpan w:val="4"/>
            <w:shd w:val="clear" w:color="auto" w:fill="3051F2"/>
          </w:tcPr>
          <w:p>
            <w:pPr>
              <w:spacing w:after="0" w:line="20" w:lineRule="exact"/>
              <w:rPr>
                <w:sz w:val="1"/>
                <w:szCs w:val="1"/>
                <w:color w:val="auto"/>
              </w:rPr>
            </w:pPr>
          </w:p>
        </w:tc>
        <w:tc>
          <w:tcPr>
            <w:tcW w:w="240" w:type="dxa"/>
            <w:vAlign w:val="bottom"/>
            <w:gridSpan w:val="3"/>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4840" w:type="dxa"/>
            <w:vAlign w:val="bottom"/>
            <w:tcBorders>
              <w:bottom w:val="single" w:sz="8" w:color="3051F2"/>
            </w:tcBorders>
            <w:gridSpan w:val="24"/>
          </w:tcPr>
          <w:p>
            <w:pPr>
              <w:spacing w:after="0" w:line="154" w:lineRule="exact"/>
              <w:rPr>
                <w:rFonts w:ascii="Times New Roman" w:cs="Times New Roman" w:eastAsia="Times New Roman" w:hAnsi="Times New Roman"/>
                <w:sz w:val="15"/>
                <w:szCs w:val="15"/>
                <w:color w:val="3051F2"/>
              </w:rPr>
            </w:pPr>
            <w:hyperlink r:id="rId86">
              <w:r>
                <w:rPr>
                  <w:rFonts w:ascii="Times New Roman" w:cs="Times New Roman" w:eastAsia="Times New Roman" w:hAnsi="Times New Roman"/>
                  <w:sz w:val="15"/>
                  <w:szCs w:val="15"/>
                  <w:color w:val="3051F2"/>
                </w:rPr>
                <w:t>Polestar Automotive China Distribution Co., Ltd. and Volvo Car Corporation.</w:t>
              </w:r>
            </w:hyperlink>
          </w:p>
        </w:tc>
        <w:tc>
          <w:tcPr>
            <w:tcW w:w="220" w:type="dxa"/>
            <w:vAlign w:val="bottom"/>
            <w:gridSpan w:val="9"/>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4.15†</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87">
              <w:r>
                <w:rPr>
                  <w:rFonts w:ascii="Times New Roman" w:cs="Times New Roman" w:eastAsia="Times New Roman" w:hAnsi="Times New Roman"/>
                  <w:sz w:val="15"/>
                  <w:szCs w:val="15"/>
                  <w:color w:val="3051F2"/>
                </w:rPr>
                <w:t>Settlement Agreement, dated as of December 23, 2020, between Volvo Car</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10.13</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40" w:type="dxa"/>
            <w:vAlign w:val="bottom"/>
            <w:tcBorders>
              <w:top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87">
              <w:r>
                <w:rPr>
                  <w:rFonts w:ascii="Times New Roman" w:cs="Times New Roman" w:eastAsia="Times New Roman" w:hAnsi="Times New Roman"/>
                  <w:sz w:val="15"/>
                  <w:szCs w:val="15"/>
                  <w:color w:val="3051F2"/>
                </w:rPr>
                <w:t>Corporation and Polestar New Energy Vehicle Co.,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4.16†</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88">
              <w:r>
                <w:rPr>
                  <w:rFonts w:ascii="Times New Roman" w:cs="Times New Roman" w:eastAsia="Times New Roman" w:hAnsi="Times New Roman"/>
                  <w:sz w:val="15"/>
                  <w:szCs w:val="15"/>
                  <w:color w:val="3051F2"/>
                </w:rPr>
                <w:t>PHEV IP Sub-License Agreement, dated as of September 4, 2018, between</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10.14</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60" w:type="dxa"/>
            <w:vAlign w:val="bottom"/>
            <w:tcBorders>
              <w:top w:val="single" w:sz="8" w:color="3051F2"/>
            </w:tcBorders>
            <w:gridSpan w:val="15"/>
          </w:tcPr>
          <w:p>
            <w:pPr>
              <w:spacing w:after="0" w:line="154" w:lineRule="exact"/>
              <w:rPr>
                <w:rFonts w:ascii="Times New Roman" w:cs="Times New Roman" w:eastAsia="Times New Roman" w:hAnsi="Times New Roman"/>
                <w:sz w:val="15"/>
                <w:szCs w:val="15"/>
                <w:color w:val="3051F2"/>
              </w:rPr>
            </w:pPr>
            <w:hyperlink r:id="rId88">
              <w:r>
                <w:rPr>
                  <w:rFonts w:ascii="Times New Roman" w:cs="Times New Roman" w:eastAsia="Times New Roman" w:hAnsi="Times New Roman"/>
                  <w:sz w:val="15"/>
                  <w:szCs w:val="15"/>
                  <w:color w:val="3051F2"/>
                </w:rPr>
                <w:t>Volvo Car Corporation and Polestar Performance AB.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00"/>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4.17†</w:t>
            </w:r>
          </w:p>
        </w:tc>
        <w:tc>
          <w:tcPr>
            <w:tcW w:w="4680" w:type="dxa"/>
            <w:vAlign w:val="bottom"/>
            <w:tcBorders>
              <w:bottom w:val="single" w:sz="8" w:color="3051F2"/>
            </w:tcBorders>
            <w:gridSpan w:val="16"/>
          </w:tcPr>
          <w:p>
            <w:pPr>
              <w:spacing w:after="0"/>
              <w:rPr>
                <w:rFonts w:ascii="Times New Roman" w:cs="Times New Roman" w:eastAsia="Times New Roman" w:hAnsi="Times New Roman"/>
                <w:sz w:val="15"/>
                <w:szCs w:val="15"/>
                <w:color w:val="3051F2"/>
              </w:rPr>
            </w:pPr>
            <w:hyperlink r:id="rId89">
              <w:r>
                <w:rPr>
                  <w:rFonts w:ascii="Times New Roman" w:cs="Times New Roman" w:eastAsia="Times New Roman" w:hAnsi="Times New Roman"/>
                  <w:sz w:val="15"/>
                  <w:szCs w:val="15"/>
                  <w:color w:val="3051F2"/>
                </w:rPr>
                <w:t>PHEV IP Sub-License Agreement, dated as of September 7, 2018, between</w:t>
              </w:r>
            </w:hyperlink>
          </w:p>
        </w:tc>
        <w:tc>
          <w:tcPr>
            <w:tcW w:w="380" w:type="dxa"/>
            <w:vAlign w:val="bottom"/>
            <w:gridSpan w:val="17"/>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10.15</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60" w:type="dxa"/>
            <w:vAlign w:val="bottom"/>
            <w:gridSpan w:val="33"/>
          </w:tcPr>
          <w:p>
            <w:pPr>
              <w:spacing w:after="0" w:line="154" w:lineRule="exact"/>
              <w:rPr>
                <w:rFonts w:ascii="Times New Roman" w:cs="Times New Roman" w:eastAsia="Times New Roman" w:hAnsi="Times New Roman"/>
                <w:sz w:val="15"/>
                <w:szCs w:val="15"/>
                <w:color w:val="3051F2"/>
              </w:rPr>
            </w:pPr>
            <w:hyperlink r:id="rId89">
              <w:r>
                <w:rPr>
                  <w:rFonts w:ascii="Times New Roman" w:cs="Times New Roman" w:eastAsia="Times New Roman" w:hAnsi="Times New Roman"/>
                  <w:sz w:val="15"/>
                  <w:szCs w:val="15"/>
                  <w:color w:val="3051F2"/>
                </w:rPr>
                <w:t>Volvo Car Corporation and Polestar New Energy Vehicle Co. Ltd, as amended</w:t>
              </w:r>
            </w:hyperlink>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20" w:type="dxa"/>
            <w:vAlign w:val="bottom"/>
            <w:tcBorders>
              <w:top w:val="single" w:sz="8" w:color="3051F2"/>
              <w:bottom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89">
              <w:r>
                <w:rPr>
                  <w:rFonts w:ascii="Times New Roman" w:cs="Times New Roman" w:eastAsia="Times New Roman" w:hAnsi="Times New Roman"/>
                  <w:sz w:val="15"/>
                  <w:szCs w:val="15"/>
                  <w:color w:val="3051F2"/>
                </w:rPr>
                <w:t>by the Novation Agreement, dated as of December 8, 2020, by and among</w:t>
              </w:r>
            </w:hyperlink>
          </w:p>
        </w:tc>
        <w:tc>
          <w:tcPr>
            <w:tcW w:w="220" w:type="dxa"/>
            <w:vAlign w:val="bottom"/>
            <w:tcBorders>
              <w:top w:val="single" w:sz="8" w:color="3051F2"/>
            </w:tcBorders>
            <w:gridSpan w:val="11"/>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60" w:type="dxa"/>
            <w:vAlign w:val="bottom"/>
            <w:gridSpan w:val="33"/>
          </w:tcPr>
          <w:p>
            <w:pPr>
              <w:spacing w:after="0" w:line="154" w:lineRule="exact"/>
              <w:rPr>
                <w:rFonts w:ascii="Times New Roman" w:cs="Times New Roman" w:eastAsia="Times New Roman" w:hAnsi="Times New Roman"/>
                <w:sz w:val="15"/>
                <w:szCs w:val="15"/>
                <w:color w:val="3051F2"/>
              </w:rPr>
            </w:pPr>
            <w:hyperlink r:id="rId89">
              <w:r>
                <w:rPr>
                  <w:rFonts w:ascii="Times New Roman" w:cs="Times New Roman" w:eastAsia="Times New Roman" w:hAnsi="Times New Roman"/>
                  <w:sz w:val="15"/>
                  <w:szCs w:val="15"/>
                  <w:color w:val="3051F2"/>
                </w:rPr>
                <w:t>Polestar New Energy Vehicle Co., Ltd., Polestar Automotive China Distribution</w:t>
              </w:r>
            </w:hyperlink>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80" w:type="dxa"/>
            <w:vAlign w:val="bottom"/>
            <w:tcBorders>
              <w:top w:val="single" w:sz="8" w:color="3051F2"/>
            </w:tcBorders>
            <w:gridSpan w:val="31"/>
          </w:tcPr>
          <w:p>
            <w:pPr>
              <w:spacing w:after="0" w:line="154" w:lineRule="exact"/>
              <w:rPr>
                <w:rFonts w:ascii="Times New Roman" w:cs="Times New Roman" w:eastAsia="Times New Roman" w:hAnsi="Times New Roman"/>
                <w:sz w:val="15"/>
                <w:szCs w:val="15"/>
                <w:color w:val="3051F2"/>
              </w:rPr>
            </w:pPr>
            <w:hyperlink r:id="rId89">
              <w:r>
                <w:rPr>
                  <w:rFonts w:ascii="Times New Roman" w:cs="Times New Roman" w:eastAsia="Times New Roman" w:hAnsi="Times New Roman"/>
                  <w:sz w:val="15"/>
                  <w:szCs w:val="15"/>
                  <w:color w:val="3051F2"/>
                </w:rPr>
                <w:t>Co., Ltd. and Volvo Car Corporation.</w:t>
              </w:r>
            </w:hyperlink>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4.18†</w:t>
            </w:r>
          </w:p>
        </w:tc>
        <w:tc>
          <w:tcPr>
            <w:tcW w:w="5060" w:type="dxa"/>
            <w:vAlign w:val="bottom"/>
            <w:gridSpan w:val="33"/>
          </w:tcPr>
          <w:p>
            <w:pPr>
              <w:spacing w:after="0"/>
              <w:rPr>
                <w:rFonts w:ascii="Times New Roman" w:cs="Times New Roman" w:eastAsia="Times New Roman" w:hAnsi="Times New Roman"/>
                <w:sz w:val="15"/>
                <w:szCs w:val="15"/>
                <w:color w:val="3051F2"/>
              </w:rPr>
            </w:pPr>
            <w:hyperlink r:id="rId90">
              <w:r>
                <w:rPr>
                  <w:rFonts w:ascii="Times New Roman" w:cs="Times New Roman" w:eastAsia="Times New Roman" w:hAnsi="Times New Roman"/>
                  <w:sz w:val="15"/>
                  <w:szCs w:val="15"/>
                  <w:color w:val="3051F2"/>
                </w:rPr>
                <w:t>Change Management Agreement, dated as of June 12, 2020, between Volvo Car</w:t>
              </w:r>
            </w:hyperlink>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10.16</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00" w:type="dxa"/>
            <w:vAlign w:val="bottom"/>
            <w:tcBorders>
              <w:top w:val="single" w:sz="8" w:color="3051F2"/>
            </w:tcBorders>
            <w:gridSpan w:val="32"/>
          </w:tcPr>
          <w:p>
            <w:pPr>
              <w:spacing w:after="0" w:line="154" w:lineRule="exact"/>
              <w:rPr>
                <w:rFonts w:ascii="Times New Roman" w:cs="Times New Roman" w:eastAsia="Times New Roman" w:hAnsi="Times New Roman"/>
                <w:sz w:val="15"/>
                <w:szCs w:val="15"/>
                <w:color w:val="3051F2"/>
              </w:rPr>
            </w:pPr>
            <w:hyperlink r:id="rId90">
              <w:r>
                <w:rPr>
                  <w:rFonts w:ascii="Times New Roman" w:cs="Times New Roman" w:eastAsia="Times New Roman" w:hAnsi="Times New Roman"/>
                  <w:sz w:val="15"/>
                  <w:szCs w:val="15"/>
                  <w:color w:val="3051F2"/>
                </w:rPr>
                <w:t>Corporation and Polestar Performance AB.</w:t>
              </w:r>
            </w:hyperlink>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3051F2"/>
          </w:tcPr>
          <w:p>
            <w:pPr>
              <w:spacing w:after="0" w:line="20" w:lineRule="exact"/>
              <w:rPr>
                <w:sz w:val="1"/>
                <w:szCs w:val="1"/>
                <w:color w:val="auto"/>
              </w:rPr>
            </w:pPr>
          </w:p>
        </w:tc>
        <w:tc>
          <w:tcPr>
            <w:tcW w:w="660" w:type="dxa"/>
            <w:vAlign w:val="bottom"/>
            <w:gridSpan w:val="2"/>
            <w:shd w:val="clear" w:color="auto" w:fill="3051F2"/>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4.19†</w:t>
            </w:r>
          </w:p>
        </w:tc>
        <w:tc>
          <w:tcPr>
            <w:tcW w:w="4320" w:type="dxa"/>
            <w:vAlign w:val="bottom"/>
            <w:tcBorders>
              <w:bottom w:val="single" w:sz="8" w:color="3051F2"/>
            </w:tcBorders>
            <w:gridSpan w:val="9"/>
          </w:tcPr>
          <w:p>
            <w:pPr>
              <w:spacing w:after="0"/>
              <w:rPr>
                <w:rFonts w:ascii="Times New Roman" w:cs="Times New Roman" w:eastAsia="Times New Roman" w:hAnsi="Times New Roman"/>
                <w:sz w:val="15"/>
                <w:szCs w:val="15"/>
                <w:color w:val="3051F2"/>
              </w:rPr>
            </w:pPr>
            <w:hyperlink r:id="rId91">
              <w:r>
                <w:rPr>
                  <w:rFonts w:ascii="Times New Roman" w:cs="Times New Roman" w:eastAsia="Times New Roman" w:hAnsi="Times New Roman"/>
                  <w:sz w:val="15"/>
                  <w:szCs w:val="15"/>
                  <w:color w:val="3051F2"/>
                </w:rPr>
                <w:t>Service Agreement, dated as of October 31, 2018, between Volvo Car</w:t>
              </w:r>
            </w:hyperlink>
          </w:p>
        </w:tc>
        <w:tc>
          <w:tcPr>
            <w:tcW w:w="740" w:type="dxa"/>
            <w:vAlign w:val="bottom"/>
            <w:gridSpan w:val="24"/>
          </w:tcPr>
          <w:p>
            <w:pPr>
              <w:spacing w:after="0"/>
              <w:rPr>
                <w:sz w:val="24"/>
                <w:szCs w:val="24"/>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10.17</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60" w:type="dxa"/>
            <w:vAlign w:val="bottom"/>
            <w:gridSpan w:val="33"/>
          </w:tcPr>
          <w:p>
            <w:pPr>
              <w:spacing w:after="0" w:line="154" w:lineRule="exact"/>
              <w:rPr>
                <w:rFonts w:ascii="Times New Roman" w:cs="Times New Roman" w:eastAsia="Times New Roman" w:hAnsi="Times New Roman"/>
                <w:sz w:val="15"/>
                <w:szCs w:val="15"/>
                <w:color w:val="3051F2"/>
              </w:rPr>
            </w:pPr>
            <w:hyperlink r:id="rId91">
              <w:r>
                <w:rPr>
                  <w:rFonts w:ascii="Times New Roman" w:cs="Times New Roman" w:eastAsia="Times New Roman" w:hAnsi="Times New Roman"/>
                  <w:sz w:val="15"/>
                  <w:szCs w:val="15"/>
                  <w:color w:val="3051F2"/>
                </w:rPr>
                <w:t>Corporation and Polestar New Energy Vehicle Co. Ltd., as amended by the</w:t>
              </w:r>
            </w:hyperlink>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20" w:type="dxa"/>
            <w:vAlign w:val="bottom"/>
            <w:tcBorders>
              <w:top w:val="single" w:sz="8" w:color="3051F2"/>
              <w:bottom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91">
              <w:r>
                <w:rPr>
                  <w:rFonts w:ascii="Times New Roman" w:cs="Times New Roman" w:eastAsia="Times New Roman" w:hAnsi="Times New Roman"/>
                  <w:sz w:val="15"/>
                  <w:szCs w:val="15"/>
                  <w:color w:val="3051F2"/>
                </w:rPr>
                <w:t>Novation Agreement, dated as of December 8, 2020, by and among Polestar</w:t>
              </w:r>
            </w:hyperlink>
          </w:p>
        </w:tc>
        <w:tc>
          <w:tcPr>
            <w:tcW w:w="80" w:type="dxa"/>
            <w:vAlign w:val="bottom"/>
            <w:tcBorders>
              <w:bottom w:val="single" w:sz="8" w:color="3051F2"/>
            </w:tcBorders>
            <w:gridSpan w:val="4"/>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340" w:type="dxa"/>
            <w:vAlign w:val="bottom"/>
            <w:gridSpan w:val="15"/>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20" w:type="dxa"/>
            <w:vAlign w:val="bottom"/>
            <w:gridSpan w:val="18"/>
          </w:tcPr>
          <w:p>
            <w:pPr>
              <w:spacing w:after="0" w:line="154" w:lineRule="exact"/>
              <w:rPr>
                <w:rFonts w:ascii="Times New Roman" w:cs="Times New Roman" w:eastAsia="Times New Roman" w:hAnsi="Times New Roman"/>
                <w:sz w:val="15"/>
                <w:szCs w:val="15"/>
                <w:color w:val="3051F2"/>
              </w:rPr>
            </w:pPr>
            <w:hyperlink r:id="rId91">
              <w:r>
                <w:rPr>
                  <w:rFonts w:ascii="Times New Roman" w:cs="Times New Roman" w:eastAsia="Times New Roman" w:hAnsi="Times New Roman"/>
                  <w:sz w:val="15"/>
                  <w:szCs w:val="15"/>
                  <w:color w:val="3051F2"/>
                </w:rPr>
                <w:t>New Energy Vehicle Co., Ltd., Polestar Automotive China Distribution Co.,</w:t>
              </w:r>
            </w:hyperlink>
          </w:p>
        </w:tc>
        <w:tc>
          <w:tcPr>
            <w:tcW w:w="340" w:type="dxa"/>
            <w:vAlign w:val="bottom"/>
            <w:gridSpan w:val="15"/>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00" w:type="dxa"/>
            <w:vAlign w:val="bottom"/>
            <w:tcBorders>
              <w:top w:val="single" w:sz="8" w:color="3051F2"/>
            </w:tcBorders>
            <w:gridSpan w:val="17"/>
          </w:tcPr>
          <w:p>
            <w:pPr>
              <w:spacing w:after="0" w:line="154" w:lineRule="exact"/>
              <w:rPr>
                <w:rFonts w:ascii="Times New Roman" w:cs="Times New Roman" w:eastAsia="Times New Roman" w:hAnsi="Times New Roman"/>
                <w:sz w:val="15"/>
                <w:szCs w:val="15"/>
                <w:color w:val="3051F2"/>
              </w:rPr>
            </w:pPr>
            <w:hyperlink r:id="rId91">
              <w:r>
                <w:rPr>
                  <w:rFonts w:ascii="Times New Roman" w:cs="Times New Roman" w:eastAsia="Times New Roman" w:hAnsi="Times New Roman"/>
                  <w:sz w:val="15"/>
                  <w:szCs w:val="15"/>
                  <w:color w:val="3051F2"/>
                </w:rPr>
                <w:t>Ltd. and Volvo Car Corporation.</w:t>
              </w:r>
            </w:hyperlink>
          </w:p>
        </w:tc>
        <w:tc>
          <w:tcPr>
            <w:tcW w:w="360" w:type="dxa"/>
            <w:vAlign w:val="bottom"/>
            <w:gridSpan w:val="16"/>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778"/>
        </w:trPr>
        <w:tc>
          <w:tcPr>
            <w:tcW w:w="920" w:type="dxa"/>
            <w:vAlign w:val="bottom"/>
          </w:tcPr>
          <w:p>
            <w:pPr>
              <w:spacing w:after="0"/>
              <w:rPr>
                <w:sz w:val="24"/>
                <w:szCs w:val="24"/>
                <w:color w:val="auto"/>
              </w:rPr>
            </w:pPr>
          </w:p>
        </w:tc>
        <w:tc>
          <w:tcPr>
            <w:tcW w:w="2000" w:type="dxa"/>
            <w:vAlign w:val="bottom"/>
            <w:tcBorders>
              <w:top w:val="single" w:sz="8" w:color="3051F2"/>
            </w:tcBorders>
          </w:tcPr>
          <w:p>
            <w:pPr>
              <w:spacing w:after="0"/>
              <w:rPr>
                <w:sz w:val="24"/>
                <w:szCs w:val="24"/>
                <w:color w:val="auto"/>
              </w:rPr>
            </w:pPr>
          </w:p>
        </w:tc>
        <w:tc>
          <w:tcPr>
            <w:tcW w:w="2800" w:type="dxa"/>
            <w:vAlign w:val="bottom"/>
            <w:gridSpan w:val="21"/>
          </w:tcPr>
          <w:p>
            <w:pPr>
              <w:jc w:val="right"/>
              <w:ind w:right="20"/>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84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559"/>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4.20†</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94">
              <w:r>
                <w:rPr>
                  <w:rFonts w:ascii="Times New Roman" w:cs="Times New Roman" w:eastAsia="Times New Roman" w:hAnsi="Times New Roman"/>
                  <w:sz w:val="15"/>
                  <w:szCs w:val="15"/>
                  <w:color w:val="3051F2"/>
                </w:rPr>
                <w:t>Service Agreement, dated as of November 17, 2020, between Volvo Cars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10.18</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520" w:type="dxa"/>
            <w:vAlign w:val="bottom"/>
            <w:tcBorders>
              <w:top w:val="single" w:sz="8" w:color="3051F2"/>
              <w:bottom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94">
              <w:r>
                <w:rPr>
                  <w:rFonts w:ascii="Times New Roman" w:cs="Times New Roman" w:eastAsia="Times New Roman" w:hAnsi="Times New Roman"/>
                  <w:sz w:val="15"/>
                  <w:szCs w:val="15"/>
                  <w:color w:val="3051F2"/>
                </w:rPr>
                <w:t>Technology (Shanghai) Co., Ltd. and Polestar New Energy Vehicle Co.,</w:t>
              </w:r>
            </w:hyperlink>
          </w:p>
        </w:tc>
        <w:tc>
          <w:tcPr>
            <w:tcW w:w="220" w:type="dxa"/>
            <w:vAlign w:val="bottom"/>
            <w:tcBorders>
              <w:bottom w:val="single" w:sz="8" w:color="3051F2"/>
            </w:tcBorders>
            <w:gridSpan w:val="7"/>
          </w:tcPr>
          <w:p>
            <w:pPr>
              <w:spacing w:after="0" w:line="154" w:lineRule="exact"/>
              <w:rPr>
                <w:rFonts w:ascii="Times New Roman" w:cs="Times New Roman" w:eastAsia="Times New Roman" w:hAnsi="Times New Roman"/>
                <w:sz w:val="15"/>
                <w:szCs w:val="15"/>
                <w:color w:val="3051F2"/>
                <w:w w:val="81"/>
              </w:rPr>
            </w:pPr>
            <w:hyperlink r:id="rId94">
              <w:r>
                <w:rPr>
                  <w:rFonts w:ascii="Times New Roman" w:cs="Times New Roman" w:eastAsia="Times New Roman" w:hAnsi="Times New Roman"/>
                  <w:sz w:val="15"/>
                  <w:szCs w:val="15"/>
                  <w:color w:val="3051F2"/>
                  <w:w w:val="81"/>
                </w:rPr>
                <w:t>Ltd.</w:t>
              </w:r>
            </w:hyperlink>
          </w:p>
        </w:tc>
        <w:tc>
          <w:tcPr>
            <w:tcW w:w="340" w:type="dxa"/>
            <w:vAlign w:val="bottom"/>
            <w:gridSpan w:val="1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4.21†</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95">
              <w:r>
                <w:rPr>
                  <w:rFonts w:ascii="Times New Roman" w:cs="Times New Roman" w:eastAsia="Times New Roman" w:hAnsi="Times New Roman"/>
                  <w:sz w:val="15"/>
                  <w:szCs w:val="15"/>
                  <w:color w:val="3051F2"/>
                </w:rPr>
                <w:t>Service Agreement, dated as of November 13,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10.19</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460" w:type="dxa"/>
            <w:vAlign w:val="bottom"/>
            <w:tcBorders>
              <w:top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95">
              <w:r>
                <w:rPr>
                  <w:rFonts w:ascii="Times New Roman" w:cs="Times New Roman" w:eastAsia="Times New Roman" w:hAnsi="Times New Roman"/>
                  <w:sz w:val="15"/>
                  <w:szCs w:val="15"/>
                  <w:color w:val="3051F2"/>
                </w:rPr>
                <w:t>Corporation and Polestar New Energy Vehicle Co., Ltd.</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4.22†</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96">
              <w:r>
                <w:rPr>
                  <w:rFonts w:ascii="Times New Roman" w:cs="Times New Roman" w:eastAsia="Times New Roman" w:hAnsi="Times New Roman"/>
                  <w:sz w:val="15"/>
                  <w:szCs w:val="15"/>
                  <w:color w:val="3051F2"/>
                </w:rPr>
                <w:t>Service Agreement, dated as of October 31, 2018,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10.20</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96">
              <w:r>
                <w:rPr>
                  <w:rFonts w:ascii="Times New Roman" w:cs="Times New Roman" w:eastAsia="Times New Roman" w:hAnsi="Times New Roman"/>
                  <w:sz w:val="15"/>
                  <w:szCs w:val="15"/>
                  <w:color w:val="3051F2"/>
                </w:rPr>
                <w:t>Corporation and Polestar New Energy Vehicle Co. Ltd., as amended by the</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20" w:type="dxa"/>
            <w:vAlign w:val="bottom"/>
            <w:tcBorders>
              <w:top w:val="single" w:sz="8" w:color="3051F2"/>
              <w:bottom w:val="single" w:sz="8" w:color="3051F2"/>
            </w:tcBorders>
            <w:gridSpan w:val="16"/>
          </w:tcPr>
          <w:p>
            <w:pPr>
              <w:spacing w:after="0" w:line="154" w:lineRule="exact"/>
              <w:rPr>
                <w:rFonts w:ascii="Times New Roman" w:cs="Times New Roman" w:eastAsia="Times New Roman" w:hAnsi="Times New Roman"/>
                <w:sz w:val="15"/>
                <w:szCs w:val="15"/>
                <w:color w:val="3051F2"/>
              </w:rPr>
            </w:pPr>
            <w:hyperlink r:id="rId96">
              <w:r>
                <w:rPr>
                  <w:rFonts w:ascii="Times New Roman" w:cs="Times New Roman" w:eastAsia="Times New Roman" w:hAnsi="Times New Roman"/>
                  <w:sz w:val="15"/>
                  <w:szCs w:val="15"/>
                  <w:color w:val="3051F2"/>
                </w:rPr>
                <w:t>Novation Agreement, dated as of December 8, 2020, by and among Polestar</w:t>
              </w:r>
            </w:hyperlink>
          </w:p>
        </w:tc>
        <w:tc>
          <w:tcPr>
            <w:tcW w:w="4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20" w:type="dxa"/>
            <w:vAlign w:val="bottom"/>
            <w:gridSpan w:val="20"/>
          </w:tcPr>
          <w:p>
            <w:pPr>
              <w:spacing w:after="0" w:line="154" w:lineRule="exact"/>
              <w:rPr>
                <w:rFonts w:ascii="Times New Roman" w:cs="Times New Roman" w:eastAsia="Times New Roman" w:hAnsi="Times New Roman"/>
                <w:sz w:val="15"/>
                <w:szCs w:val="15"/>
                <w:color w:val="3051F2"/>
              </w:rPr>
            </w:pPr>
            <w:hyperlink r:id="rId96">
              <w:r>
                <w:rPr>
                  <w:rFonts w:ascii="Times New Roman" w:cs="Times New Roman" w:eastAsia="Times New Roman" w:hAnsi="Times New Roman"/>
                  <w:sz w:val="15"/>
                  <w:szCs w:val="15"/>
                  <w:color w:val="3051F2"/>
                </w:rPr>
                <w:t>New Energy Vehicle Co., Ltd., Polestar Automotive China Distribution Co.,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0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96">
              <w:r>
                <w:rPr>
                  <w:rFonts w:ascii="Times New Roman" w:cs="Times New Roman" w:eastAsia="Times New Roman" w:hAnsi="Times New Roman"/>
                  <w:sz w:val="15"/>
                  <w:szCs w:val="15"/>
                  <w:color w:val="3051F2"/>
                </w:rPr>
                <w:t>Ltd. and Volvo Car Corporation.</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4.23†</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97">
              <w:r>
                <w:rPr>
                  <w:rFonts w:ascii="Times New Roman" w:cs="Times New Roman" w:eastAsia="Times New Roman" w:hAnsi="Times New Roman"/>
                  <w:sz w:val="15"/>
                  <w:szCs w:val="15"/>
                  <w:color w:val="3051F2"/>
                </w:rPr>
                <w:t>Service Agreement, dated as of December 21, 2018, between Daqing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10.21</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31"/>
          </w:tcPr>
          <w:p>
            <w:pPr>
              <w:spacing w:after="0" w:line="154" w:lineRule="exact"/>
              <w:rPr>
                <w:rFonts w:ascii="Times New Roman" w:cs="Times New Roman" w:eastAsia="Times New Roman" w:hAnsi="Times New Roman"/>
                <w:sz w:val="15"/>
                <w:szCs w:val="15"/>
                <w:color w:val="3051F2"/>
              </w:rPr>
            </w:pPr>
            <w:hyperlink r:id="rId97">
              <w:r>
                <w:rPr>
                  <w:rFonts w:ascii="Times New Roman" w:cs="Times New Roman" w:eastAsia="Times New Roman" w:hAnsi="Times New Roman"/>
                  <w:sz w:val="15"/>
                  <w:szCs w:val="15"/>
                  <w:color w:val="3051F2"/>
                </w:rPr>
                <w:t>Manufacturing Co. Ltd. and Polestar New Energy Vehicle Co. Ltd., as 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00" w:type="dxa"/>
            <w:vAlign w:val="bottom"/>
            <w:tcBorders>
              <w:top w:val="single" w:sz="8" w:color="3051F2"/>
              <w:bottom w:val="single" w:sz="8" w:color="3051F2"/>
            </w:tcBorders>
            <w:gridSpan w:val="15"/>
          </w:tcPr>
          <w:p>
            <w:pPr>
              <w:spacing w:after="0" w:line="154" w:lineRule="exact"/>
              <w:rPr>
                <w:rFonts w:ascii="Times New Roman" w:cs="Times New Roman" w:eastAsia="Times New Roman" w:hAnsi="Times New Roman"/>
                <w:sz w:val="15"/>
                <w:szCs w:val="15"/>
                <w:color w:val="3051F2"/>
              </w:rPr>
            </w:pPr>
            <w:hyperlink r:id="rId97">
              <w:r>
                <w:rPr>
                  <w:rFonts w:ascii="Times New Roman" w:cs="Times New Roman" w:eastAsia="Times New Roman" w:hAnsi="Times New Roman"/>
                  <w:sz w:val="15"/>
                  <w:szCs w:val="15"/>
                  <w:color w:val="3051F2"/>
                </w:rPr>
                <w:t>by the Novation Agreement, dated as of December 8, 2020, by and among</w:t>
              </w:r>
            </w:hyperlink>
          </w:p>
        </w:tc>
        <w:tc>
          <w:tcPr>
            <w:tcW w:w="340" w:type="dxa"/>
            <w:vAlign w:val="bottom"/>
            <w:tcBorders>
              <w:top w:val="single" w:sz="8" w:color="3051F2"/>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97">
              <w:r>
                <w:rPr>
                  <w:rFonts w:ascii="Times New Roman" w:cs="Times New Roman" w:eastAsia="Times New Roman" w:hAnsi="Times New Roman"/>
                  <w:sz w:val="15"/>
                  <w:szCs w:val="15"/>
                  <w:color w:val="3051F2"/>
                </w:rPr>
                <w:t>Polestar New Energy Vehicle Co., Ltd., Polestar Automotive China Distribution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480" w:type="dxa"/>
            <w:vAlign w:val="bottom"/>
            <w:tcBorders>
              <w:top w:val="single" w:sz="8" w:color="3051F2"/>
              <w:bottom w:val="single" w:sz="8" w:color="3051F2"/>
            </w:tcBorders>
            <w:gridSpan w:val="5"/>
          </w:tcPr>
          <w:p>
            <w:pPr>
              <w:spacing w:after="0" w:line="154" w:lineRule="exact"/>
              <w:rPr>
                <w:rFonts w:ascii="Times New Roman" w:cs="Times New Roman" w:eastAsia="Times New Roman" w:hAnsi="Times New Roman"/>
                <w:sz w:val="15"/>
                <w:szCs w:val="15"/>
                <w:color w:val="3051F2"/>
              </w:rPr>
            </w:pPr>
            <w:hyperlink r:id="rId97">
              <w:r>
                <w:rPr>
                  <w:rFonts w:ascii="Times New Roman" w:cs="Times New Roman" w:eastAsia="Times New Roman" w:hAnsi="Times New Roman"/>
                  <w:sz w:val="15"/>
                  <w:szCs w:val="15"/>
                  <w:color w:val="3051F2"/>
                </w:rPr>
                <w:t>Co., Ltd. and Daqing Volvo Car Manufacturing Co. Ltd.</w:t>
              </w:r>
            </w:hyperlink>
          </w:p>
        </w:tc>
        <w:tc>
          <w:tcPr>
            <w:tcW w:w="1500" w:type="dxa"/>
            <w:vAlign w:val="bottom"/>
            <w:tcBorders>
              <w:top w:val="single" w:sz="8" w:color="3051F2"/>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4.24†</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98">
              <w:r>
                <w:rPr>
                  <w:rFonts w:ascii="Times New Roman" w:cs="Times New Roman" w:eastAsia="Times New Roman" w:hAnsi="Times New Roman"/>
                  <w:sz w:val="15"/>
                  <w:szCs w:val="15"/>
                  <w:color w:val="3051F2"/>
                </w:rPr>
                <w:t>Service Agreement, dated as of October 31, 2018,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10.22</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1980" w:type="dxa"/>
            <w:vAlign w:val="bottom"/>
            <w:gridSpan w:val="2"/>
            <w:shd w:val="clear" w:color="auto" w:fill="3051F2"/>
          </w:tcPr>
          <w:p>
            <w:pPr>
              <w:spacing w:after="0" w:line="20" w:lineRule="exact"/>
              <w:rPr>
                <w:sz w:val="1"/>
                <w:szCs w:val="1"/>
                <w:color w:val="auto"/>
              </w:rPr>
            </w:pPr>
          </w:p>
        </w:tc>
        <w:tc>
          <w:tcPr>
            <w:tcW w:w="520" w:type="dxa"/>
            <w:vAlign w:val="bottom"/>
            <w:gridSpan w:val="3"/>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98">
              <w:r>
                <w:rPr>
                  <w:rFonts w:ascii="Times New Roman" w:cs="Times New Roman" w:eastAsia="Times New Roman" w:hAnsi="Times New Roman"/>
                  <w:sz w:val="15"/>
                  <w:szCs w:val="15"/>
                  <w:color w:val="3051F2"/>
                </w:rPr>
                <w:t>Corporation and Polestar New Energy Vehicle Co. Ltd., as amended by the</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20" w:type="dxa"/>
            <w:vAlign w:val="bottom"/>
            <w:tcBorders>
              <w:top w:val="single" w:sz="8" w:color="3051F2"/>
            </w:tcBorders>
            <w:gridSpan w:val="16"/>
          </w:tcPr>
          <w:p>
            <w:pPr>
              <w:spacing w:after="0" w:line="154" w:lineRule="exact"/>
              <w:rPr>
                <w:rFonts w:ascii="Times New Roman" w:cs="Times New Roman" w:eastAsia="Times New Roman" w:hAnsi="Times New Roman"/>
                <w:sz w:val="15"/>
                <w:szCs w:val="15"/>
                <w:color w:val="3051F2"/>
              </w:rPr>
            </w:pPr>
            <w:hyperlink r:id="rId98">
              <w:r>
                <w:rPr>
                  <w:rFonts w:ascii="Times New Roman" w:cs="Times New Roman" w:eastAsia="Times New Roman" w:hAnsi="Times New Roman"/>
                  <w:sz w:val="15"/>
                  <w:szCs w:val="15"/>
                  <w:color w:val="3051F2"/>
                </w:rPr>
                <w:t>Novation Agreement, dated as of December 8, 2020, by and among Polestar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20" w:type="dxa"/>
            <w:vAlign w:val="bottom"/>
            <w:tcBorders>
              <w:top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98">
              <w:r>
                <w:rPr>
                  <w:rFonts w:ascii="Times New Roman" w:cs="Times New Roman" w:eastAsia="Times New Roman" w:hAnsi="Times New Roman"/>
                  <w:sz w:val="15"/>
                  <w:szCs w:val="15"/>
                  <w:color w:val="3051F2"/>
                </w:rPr>
                <w:t>New Energy Vehicle Co., Ltd., Polestar Automotive China Distribution Co.,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0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98">
              <w:r>
                <w:rPr>
                  <w:rFonts w:ascii="Times New Roman" w:cs="Times New Roman" w:eastAsia="Times New Roman" w:hAnsi="Times New Roman"/>
                  <w:sz w:val="15"/>
                  <w:szCs w:val="15"/>
                  <w:color w:val="3051F2"/>
                </w:rPr>
                <w:t>Ltd. and Volvo Car Corporation.</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4.25†</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99">
              <w:r>
                <w:rPr>
                  <w:rFonts w:ascii="Times New Roman" w:cs="Times New Roman" w:eastAsia="Times New Roman" w:hAnsi="Times New Roman"/>
                  <w:sz w:val="15"/>
                  <w:szCs w:val="15"/>
                  <w:color w:val="3051F2"/>
                </w:rPr>
                <w:t>Service Agreement, dated as of December 21, 2018, between Volvo Car (Asia</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10.23</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80" w:type="dxa"/>
            <w:vAlign w:val="bottom"/>
            <w:tcBorders>
              <w:top w:val="single" w:sz="8" w:color="3051F2"/>
              <w:bottom w:val="single" w:sz="8" w:color="3051F2"/>
            </w:tcBorders>
            <w:gridSpan w:val="18"/>
          </w:tcPr>
          <w:p>
            <w:pPr>
              <w:spacing w:after="0" w:line="154" w:lineRule="exact"/>
              <w:rPr>
                <w:rFonts w:ascii="Times New Roman" w:cs="Times New Roman" w:eastAsia="Times New Roman" w:hAnsi="Times New Roman"/>
                <w:sz w:val="15"/>
                <w:szCs w:val="15"/>
                <w:color w:val="3051F2"/>
              </w:rPr>
            </w:pPr>
            <w:hyperlink r:id="rId99">
              <w:r>
                <w:rPr>
                  <w:rFonts w:ascii="Times New Roman" w:cs="Times New Roman" w:eastAsia="Times New Roman" w:hAnsi="Times New Roman"/>
                  <w:sz w:val="15"/>
                  <w:szCs w:val="15"/>
                  <w:color w:val="3051F2"/>
                </w:rPr>
                <w:t>Pacific) Investment Holding Co. Ltd. and Polestar New Energy Vehicle Co.</w:t>
              </w:r>
            </w:hyperlink>
          </w:p>
        </w:tc>
        <w:tc>
          <w:tcPr>
            <w:tcW w:w="160" w:type="dxa"/>
            <w:vAlign w:val="bottom"/>
            <w:tcBorders>
              <w:top w:val="single" w:sz="8" w:color="3051F2"/>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99">
              <w:r>
                <w:rPr>
                  <w:rFonts w:ascii="Times New Roman" w:cs="Times New Roman" w:eastAsia="Times New Roman" w:hAnsi="Times New Roman"/>
                  <w:sz w:val="15"/>
                  <w:szCs w:val="15"/>
                  <w:color w:val="3051F2"/>
                </w:rPr>
                <w:t>Ltd., as amended by the Novation Agreement, dated as of December 8, 2020, by</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20" w:type="dxa"/>
            <w:vAlign w:val="bottom"/>
            <w:tcBorders>
              <w:top w:val="single" w:sz="8" w:color="3051F2"/>
            </w:tcBorders>
            <w:gridSpan w:val="34"/>
          </w:tcPr>
          <w:p>
            <w:pPr>
              <w:spacing w:after="0" w:line="154" w:lineRule="exact"/>
              <w:rPr>
                <w:rFonts w:ascii="Times New Roman" w:cs="Times New Roman" w:eastAsia="Times New Roman" w:hAnsi="Times New Roman"/>
                <w:sz w:val="15"/>
                <w:szCs w:val="15"/>
                <w:color w:val="3051F2"/>
              </w:rPr>
            </w:pPr>
            <w:hyperlink r:id="rId99">
              <w:r>
                <w:rPr>
                  <w:rFonts w:ascii="Times New Roman" w:cs="Times New Roman" w:eastAsia="Times New Roman" w:hAnsi="Times New Roman"/>
                  <w:sz w:val="15"/>
                  <w:szCs w:val="15"/>
                  <w:color w:val="3051F2"/>
                </w:rPr>
                <w:t>and among Polestar New Energy Vehicle Co., Ltd., Polestar Automotive China</w:t>
              </w:r>
            </w:hyperlink>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00" w:type="dxa"/>
            <w:vAlign w:val="bottom"/>
            <w:tcBorders>
              <w:top w:val="single" w:sz="8" w:color="3051F2"/>
              <w:bottom w:val="single" w:sz="8" w:color="3051F2"/>
            </w:tcBorders>
            <w:gridSpan w:val="28"/>
          </w:tcPr>
          <w:p>
            <w:pPr>
              <w:spacing w:after="0" w:line="154" w:lineRule="exact"/>
              <w:rPr>
                <w:rFonts w:ascii="Times New Roman" w:cs="Times New Roman" w:eastAsia="Times New Roman" w:hAnsi="Times New Roman"/>
                <w:sz w:val="15"/>
                <w:szCs w:val="15"/>
                <w:color w:val="3051F2"/>
              </w:rPr>
            </w:pPr>
            <w:hyperlink r:id="rId99">
              <w:r>
                <w:rPr>
                  <w:rFonts w:ascii="Times New Roman" w:cs="Times New Roman" w:eastAsia="Times New Roman" w:hAnsi="Times New Roman"/>
                  <w:sz w:val="15"/>
                  <w:szCs w:val="15"/>
                  <w:color w:val="3051F2"/>
                </w:rPr>
                <w:t>Distribution Co., Ltd and Volvo Car (Asia Pacific) Investment Holding Co. Ltd.</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60" w:type="dxa"/>
            <w:vAlign w:val="bottom"/>
            <w:tcBorders>
              <w:bottom w:val="single" w:sz="8" w:color="3051F2"/>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4.26†</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00">
              <w:r>
                <w:rPr>
                  <w:rFonts w:ascii="Times New Roman" w:cs="Times New Roman" w:eastAsia="Times New Roman" w:hAnsi="Times New Roman"/>
                  <w:sz w:val="15"/>
                  <w:szCs w:val="15"/>
                  <w:color w:val="3051F2"/>
                </w:rPr>
                <w:t>Service Agreement, dated as of August 9, 2018, between Zhongjia Automobile</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10.24</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920" w:type="dxa"/>
            <w:vAlign w:val="bottom"/>
            <w:tcBorders>
              <w:top w:val="single" w:sz="8" w:color="3051F2"/>
            </w:tcBorders>
            <w:gridSpan w:val="29"/>
          </w:tcPr>
          <w:p>
            <w:pPr>
              <w:spacing w:after="0" w:line="154" w:lineRule="exact"/>
              <w:rPr>
                <w:rFonts w:ascii="Times New Roman" w:cs="Times New Roman" w:eastAsia="Times New Roman" w:hAnsi="Times New Roman"/>
                <w:sz w:val="15"/>
                <w:szCs w:val="15"/>
                <w:color w:val="3051F2"/>
              </w:rPr>
            </w:pPr>
            <w:hyperlink r:id="rId100">
              <w:r>
                <w:rPr>
                  <w:rFonts w:ascii="Times New Roman" w:cs="Times New Roman" w:eastAsia="Times New Roman" w:hAnsi="Times New Roman"/>
                  <w:sz w:val="15"/>
                  <w:szCs w:val="15"/>
                  <w:color w:val="3051F2"/>
                </w:rPr>
                <w:t>Manufacturing (Chengdu) Co. Ltd. and Polestar New Energy Vehicle Co. Ltd.,</w:t>
              </w:r>
            </w:hyperlink>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80" w:type="dxa"/>
            <w:vAlign w:val="bottom"/>
            <w:tcBorders>
              <w:top w:val="single" w:sz="8" w:color="3051F2"/>
            </w:tcBorders>
            <w:gridSpan w:val="27"/>
          </w:tcPr>
          <w:p>
            <w:pPr>
              <w:spacing w:after="0" w:line="154" w:lineRule="exact"/>
              <w:rPr>
                <w:rFonts w:ascii="Times New Roman" w:cs="Times New Roman" w:eastAsia="Times New Roman" w:hAnsi="Times New Roman"/>
                <w:sz w:val="15"/>
                <w:szCs w:val="15"/>
                <w:color w:val="3051F2"/>
              </w:rPr>
            </w:pPr>
            <w:hyperlink r:id="rId100">
              <w:r>
                <w:rPr>
                  <w:rFonts w:ascii="Times New Roman" w:cs="Times New Roman" w:eastAsia="Times New Roman" w:hAnsi="Times New Roman"/>
                  <w:sz w:val="15"/>
                  <w:szCs w:val="15"/>
                  <w:color w:val="3051F2"/>
                </w:rPr>
                <w:t>as amended by the Amendment Agreement to the Service Agreement, dated as</w:t>
              </w:r>
            </w:hyperlink>
          </w:p>
        </w:tc>
        <w:tc>
          <w:tcPr>
            <w:tcW w:w="12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tcBorders>
            <w:gridSpan w:val="26"/>
          </w:tcPr>
          <w:p>
            <w:pPr>
              <w:spacing w:after="0" w:line="154" w:lineRule="exact"/>
              <w:rPr>
                <w:rFonts w:ascii="Times New Roman" w:cs="Times New Roman" w:eastAsia="Times New Roman" w:hAnsi="Times New Roman"/>
                <w:sz w:val="15"/>
                <w:szCs w:val="15"/>
                <w:color w:val="3051F2"/>
              </w:rPr>
            </w:pPr>
            <w:hyperlink r:id="rId100">
              <w:r>
                <w:rPr>
                  <w:rFonts w:ascii="Times New Roman" w:cs="Times New Roman" w:eastAsia="Times New Roman" w:hAnsi="Times New Roman"/>
                  <w:sz w:val="15"/>
                  <w:szCs w:val="15"/>
                  <w:color w:val="3051F2"/>
                </w:rPr>
                <w:t>of August 26, 2020, between Zhongjia Automobile Manufacturing (Chengdu)</w:t>
              </w:r>
            </w:hyperlink>
          </w:p>
        </w:tc>
        <w:tc>
          <w:tcPr>
            <w:tcW w:w="14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580" w:type="dxa"/>
            <w:vAlign w:val="bottom"/>
            <w:tcBorders>
              <w:top w:val="single" w:sz="8" w:color="3051F2"/>
              <w:bottom w:val="single" w:sz="8" w:color="3051F2"/>
            </w:tcBorders>
            <w:gridSpan w:val="6"/>
          </w:tcPr>
          <w:p>
            <w:pPr>
              <w:spacing w:after="0" w:line="154" w:lineRule="exact"/>
              <w:rPr>
                <w:rFonts w:ascii="Times New Roman" w:cs="Times New Roman" w:eastAsia="Times New Roman" w:hAnsi="Times New Roman"/>
                <w:sz w:val="15"/>
                <w:szCs w:val="15"/>
                <w:color w:val="3051F2"/>
              </w:rPr>
            </w:pPr>
            <w:hyperlink r:id="rId100">
              <w:r>
                <w:rPr>
                  <w:rFonts w:ascii="Times New Roman" w:cs="Times New Roman" w:eastAsia="Times New Roman" w:hAnsi="Times New Roman"/>
                  <w:sz w:val="15"/>
                  <w:szCs w:val="15"/>
                  <w:color w:val="3051F2"/>
                </w:rPr>
                <w:t>Co., Ltd. and Polestar New Energy Vehicle Co., Ltd., AB.</w:t>
              </w:r>
            </w:hyperlink>
          </w:p>
        </w:tc>
        <w:tc>
          <w:tcPr>
            <w:tcW w:w="1240" w:type="dxa"/>
            <w:vAlign w:val="bottom"/>
            <w:tcBorders>
              <w:top w:val="single" w:sz="8" w:color="3051F2"/>
            </w:tcBorders>
            <w:gridSpan w:val="18"/>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4.27†</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01">
              <w:r>
                <w:rPr>
                  <w:rFonts w:ascii="Times New Roman" w:cs="Times New Roman" w:eastAsia="Times New Roman" w:hAnsi="Times New Roman"/>
                  <w:sz w:val="15"/>
                  <w:szCs w:val="15"/>
                  <w:color w:val="3051F2"/>
                </w:rPr>
                <w:t>Service Agreement, dated as of December 17, 2019,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10.25</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440" w:type="dxa"/>
            <w:vAlign w:val="bottom"/>
            <w:tcBorders>
              <w:top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101">
              <w:r>
                <w:rPr>
                  <w:rFonts w:ascii="Times New Roman" w:cs="Times New Roman" w:eastAsia="Times New Roman" w:hAnsi="Times New Roman"/>
                  <w:sz w:val="15"/>
                  <w:szCs w:val="15"/>
                  <w:color w:val="3051F2"/>
                </w:rPr>
                <w:t>Belgium NV, Ltd. and Polestar Performance AB, as amended by the</w:t>
              </w:r>
            </w:hyperlink>
          </w:p>
        </w:tc>
        <w:tc>
          <w:tcPr>
            <w:tcW w:w="4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200" w:type="dxa"/>
            <w:vAlign w:val="bottom"/>
            <w:tcBorders>
              <w:top w:val="single" w:sz="8" w:color="3051F2"/>
            </w:tcBorders>
            <w:gridSpan w:val="9"/>
          </w:tcPr>
          <w:p>
            <w:pPr>
              <w:spacing w:after="0" w:line="154" w:lineRule="exact"/>
              <w:rPr>
                <w:rFonts w:ascii="Times New Roman" w:cs="Times New Roman" w:eastAsia="Times New Roman" w:hAnsi="Times New Roman"/>
                <w:sz w:val="15"/>
                <w:szCs w:val="15"/>
                <w:color w:val="3051F2"/>
              </w:rPr>
            </w:pPr>
            <w:hyperlink r:id="rId101">
              <w:r>
                <w:rPr>
                  <w:rFonts w:ascii="Times New Roman" w:cs="Times New Roman" w:eastAsia="Times New Roman" w:hAnsi="Times New Roman"/>
                  <w:sz w:val="15"/>
                  <w:szCs w:val="15"/>
                  <w:color w:val="3051F2"/>
                </w:rPr>
                <w:t>Amendment to the Service Agreement, dated as of March 4, 2020,</w:t>
              </w:r>
            </w:hyperlink>
          </w:p>
        </w:tc>
        <w:tc>
          <w:tcPr>
            <w:tcW w:w="880" w:type="dxa"/>
            <w:vAlign w:val="bottom"/>
            <w:gridSpan w:val="26"/>
          </w:tcPr>
          <w:p>
            <w:pPr>
              <w:spacing w:after="0" w:line="154" w:lineRule="exact"/>
              <w:rPr>
                <w:rFonts w:ascii="Times New Roman" w:cs="Times New Roman" w:eastAsia="Times New Roman" w:hAnsi="Times New Roman"/>
                <w:sz w:val="15"/>
                <w:szCs w:val="15"/>
                <w:color w:val="3051F2"/>
              </w:rPr>
            </w:pPr>
            <w:hyperlink r:id="rId101">
              <w:r>
                <w:rPr>
                  <w:rFonts w:ascii="Times New Roman" w:cs="Times New Roman" w:eastAsia="Times New Roman" w:hAnsi="Times New Roman"/>
                  <w:sz w:val="15"/>
                  <w:szCs w:val="15"/>
                  <w:color w:val="3051F2"/>
                </w:rPr>
                <w:t>between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60" w:type="dxa"/>
            <w:vAlign w:val="bottom"/>
            <w:tcBorders>
              <w:top w:val="single" w:sz="8" w:color="3051F2"/>
            </w:tcBorders>
            <w:gridSpan w:val="17"/>
          </w:tcPr>
          <w:p>
            <w:pPr>
              <w:spacing w:after="0" w:line="154" w:lineRule="exact"/>
              <w:rPr>
                <w:rFonts w:ascii="Times New Roman" w:cs="Times New Roman" w:eastAsia="Times New Roman" w:hAnsi="Times New Roman"/>
                <w:sz w:val="15"/>
                <w:szCs w:val="15"/>
                <w:color w:val="3051F2"/>
              </w:rPr>
            </w:pPr>
            <w:hyperlink r:id="rId101">
              <w:r>
                <w:rPr>
                  <w:rFonts w:ascii="Times New Roman" w:cs="Times New Roman" w:eastAsia="Times New Roman" w:hAnsi="Times New Roman"/>
                  <w:sz w:val="15"/>
                  <w:szCs w:val="15"/>
                  <w:color w:val="3051F2"/>
                </w:rPr>
                <w:t>Volvo Car Belgium NV, Ltd. and Polestar Performance AB.</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1980" w:type="dxa"/>
            <w:vAlign w:val="bottom"/>
            <w:gridSpan w:val="2"/>
            <w:shd w:val="clear" w:color="auto" w:fill="3051F2"/>
          </w:tcPr>
          <w:p>
            <w:pPr>
              <w:spacing w:after="0" w:line="20" w:lineRule="exact"/>
              <w:rPr>
                <w:sz w:val="1"/>
                <w:szCs w:val="1"/>
                <w:color w:val="auto"/>
              </w:rPr>
            </w:pPr>
          </w:p>
        </w:tc>
        <w:tc>
          <w:tcPr>
            <w:tcW w:w="620" w:type="dxa"/>
            <w:vAlign w:val="bottom"/>
            <w:gridSpan w:val="4"/>
            <w:shd w:val="clear" w:color="auto" w:fill="3051F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4.28†</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02">
              <w:r>
                <w:rPr>
                  <w:rFonts w:ascii="Times New Roman" w:cs="Times New Roman" w:eastAsia="Times New Roman" w:hAnsi="Times New Roman"/>
                  <w:sz w:val="15"/>
                  <w:szCs w:val="15"/>
                  <w:color w:val="3051F2"/>
                </w:rPr>
                <w:t>Component Supply Agreement, dated as of 2018, between Polestar New Energy</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10.26</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00" w:type="dxa"/>
            <w:vAlign w:val="bottom"/>
            <w:tcBorders>
              <w:top w:val="single" w:sz="8" w:color="3051F2"/>
            </w:tcBorders>
            <w:gridSpan w:val="33"/>
          </w:tcPr>
          <w:p>
            <w:pPr>
              <w:spacing w:after="0" w:line="154" w:lineRule="exact"/>
              <w:rPr>
                <w:rFonts w:ascii="Times New Roman" w:cs="Times New Roman" w:eastAsia="Times New Roman" w:hAnsi="Times New Roman"/>
                <w:sz w:val="15"/>
                <w:szCs w:val="15"/>
                <w:color w:val="3051F2"/>
              </w:rPr>
            </w:pPr>
            <w:hyperlink r:id="rId102">
              <w:r>
                <w:rPr>
                  <w:rFonts w:ascii="Times New Roman" w:cs="Times New Roman" w:eastAsia="Times New Roman" w:hAnsi="Times New Roman"/>
                  <w:sz w:val="15"/>
                  <w:szCs w:val="15"/>
                  <w:color w:val="3051F2"/>
                </w:rPr>
                <w:t>Vehicle Co., Ltd. and Zhejiang Haoqing Automobile Manufacturing Co., Ltd.</w:t>
              </w:r>
            </w:hyperlink>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0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02">
              <w:r>
                <w:rPr>
                  <w:rFonts w:ascii="Times New Roman" w:cs="Times New Roman" w:eastAsia="Times New Roman" w:hAnsi="Times New Roman"/>
                  <w:sz w:val="15"/>
                  <w:szCs w:val="15"/>
                  <w:color w:val="3051F2"/>
                </w:rPr>
                <w:t>Chengdu Branch.</w:t>
              </w:r>
            </w:hyperlink>
          </w:p>
        </w:tc>
        <w:tc>
          <w:tcPr>
            <w:tcW w:w="280" w:type="dxa"/>
            <w:vAlign w:val="bottom"/>
            <w:gridSpan w:val="1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4.29†</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03">
              <w:r>
                <w:rPr>
                  <w:rFonts w:ascii="Times New Roman" w:cs="Times New Roman" w:eastAsia="Times New Roman" w:hAnsi="Times New Roman"/>
                  <w:sz w:val="15"/>
                  <w:szCs w:val="15"/>
                  <w:color w:val="3051F2"/>
                </w:rPr>
                <w:t>General Distributor Agreement, effective as of January 1, 2020, between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10.27</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480" w:type="dxa"/>
            <w:vAlign w:val="bottom"/>
            <w:tcBorders>
              <w:top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03">
              <w:r>
                <w:rPr>
                  <w:rFonts w:ascii="Times New Roman" w:cs="Times New Roman" w:eastAsia="Times New Roman" w:hAnsi="Times New Roman"/>
                  <w:sz w:val="15"/>
                  <w:szCs w:val="15"/>
                  <w:color w:val="3051F2"/>
                </w:rPr>
                <w:t>Zhejiang Haoqing Automobile Manufacturing Co., Ltd. Chengdu Branch</w:t>
              </w:r>
            </w:hyperlink>
          </w:p>
        </w:tc>
        <w:tc>
          <w:tcPr>
            <w:tcW w:w="600" w:type="dxa"/>
            <w:vAlign w:val="bottom"/>
            <w:gridSpan w:val="22"/>
          </w:tcPr>
          <w:p>
            <w:pPr>
              <w:jc w:val="right"/>
              <w:ind w:right="300"/>
              <w:spacing w:after="0" w:line="154" w:lineRule="exact"/>
              <w:rPr>
                <w:rFonts w:ascii="Times New Roman" w:cs="Times New Roman" w:eastAsia="Times New Roman" w:hAnsi="Times New Roman"/>
                <w:sz w:val="15"/>
                <w:szCs w:val="15"/>
                <w:color w:val="3051F2"/>
              </w:rPr>
            </w:pPr>
            <w:hyperlink r:id="rId103">
              <w:r>
                <w:rPr>
                  <w:rFonts w:ascii="Times New Roman" w:cs="Times New Roman" w:eastAsia="Times New Roman" w:hAnsi="Times New Roman"/>
                  <w:sz w:val="15"/>
                  <w:szCs w:val="15"/>
                  <w:color w:val="3051F2"/>
                </w:rPr>
                <w:t>and</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060" w:type="dxa"/>
            <w:vAlign w:val="bottom"/>
            <w:tcBorders>
              <w:top w:val="single" w:sz="8" w:color="3051F2"/>
              <w:bottom w:val="single" w:sz="8" w:color="3051F2"/>
            </w:tcBorders>
            <w:gridSpan w:val="3"/>
          </w:tcPr>
          <w:p>
            <w:pPr>
              <w:spacing w:after="0" w:line="154" w:lineRule="exact"/>
              <w:rPr>
                <w:rFonts w:ascii="Times New Roman" w:cs="Times New Roman" w:eastAsia="Times New Roman" w:hAnsi="Times New Roman"/>
                <w:sz w:val="15"/>
                <w:szCs w:val="15"/>
                <w:color w:val="3051F2"/>
              </w:rPr>
            </w:pPr>
            <w:hyperlink r:id="rId103">
              <w:r>
                <w:rPr>
                  <w:rFonts w:ascii="Times New Roman" w:cs="Times New Roman" w:eastAsia="Times New Roman" w:hAnsi="Times New Roman"/>
                  <w:sz w:val="15"/>
                  <w:szCs w:val="15"/>
                  <w:color w:val="3051F2"/>
                </w:rPr>
                <w:t>Polestar Automotive China Distribution Co., Ltd.</w:t>
              </w:r>
            </w:hyperlink>
          </w:p>
        </w:tc>
        <w:tc>
          <w:tcPr>
            <w:tcW w:w="1720" w:type="dxa"/>
            <w:vAlign w:val="bottom"/>
            <w:tcBorders>
              <w:top w:val="single" w:sz="8" w:color="3051F2"/>
            </w:tcBorders>
            <w:gridSpan w:val="19"/>
          </w:tcPr>
          <w:p>
            <w:pPr>
              <w:spacing w:after="0"/>
              <w:rPr>
                <w:sz w:val="13"/>
                <w:szCs w:val="13"/>
                <w:color w:val="auto"/>
              </w:rPr>
            </w:pPr>
          </w:p>
        </w:tc>
        <w:tc>
          <w:tcPr>
            <w:tcW w:w="300" w:type="dxa"/>
            <w:vAlign w:val="bottom"/>
            <w:gridSpan w:val="1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686"/>
        </w:trPr>
        <w:tc>
          <w:tcPr>
            <w:tcW w:w="920" w:type="dxa"/>
            <w:vAlign w:val="bottom"/>
          </w:tcPr>
          <w:p>
            <w:pPr>
              <w:spacing w:after="0"/>
              <w:rPr>
                <w:sz w:val="24"/>
                <w:szCs w:val="24"/>
                <w:color w:val="auto"/>
              </w:rPr>
            </w:pPr>
          </w:p>
        </w:tc>
        <w:tc>
          <w:tcPr>
            <w:tcW w:w="4800" w:type="dxa"/>
            <w:vAlign w:val="bottom"/>
            <w:gridSpan w:val="23"/>
          </w:tcPr>
          <w:p>
            <w:pPr>
              <w:jc w:val="right"/>
              <w:ind w:right="20"/>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27"/>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4.30†</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06">
              <w:r>
                <w:rPr>
                  <w:rFonts w:ascii="Times New Roman" w:cs="Times New Roman" w:eastAsia="Times New Roman" w:hAnsi="Times New Roman"/>
                  <w:sz w:val="15"/>
                  <w:szCs w:val="15"/>
                  <w:color w:val="3051F2"/>
                </w:rPr>
                <w:t>License, License Assignment and Service Agreement, dated as of February 15,</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10.28</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880" w:type="dxa"/>
            <w:vAlign w:val="bottom"/>
            <w:tcBorders>
              <w:top w:val="single" w:sz="8" w:color="3051F2"/>
            </w:tcBorders>
            <w:gridSpan w:val="21"/>
          </w:tcPr>
          <w:p>
            <w:pPr>
              <w:spacing w:after="0" w:line="154" w:lineRule="exact"/>
              <w:rPr>
                <w:rFonts w:ascii="Times New Roman" w:cs="Times New Roman" w:eastAsia="Times New Roman" w:hAnsi="Times New Roman"/>
                <w:sz w:val="15"/>
                <w:szCs w:val="15"/>
                <w:color w:val="3051F2"/>
              </w:rPr>
            </w:pPr>
            <w:hyperlink r:id="rId106">
              <w:r>
                <w:rPr>
                  <w:rFonts w:ascii="Times New Roman" w:cs="Times New Roman" w:eastAsia="Times New Roman" w:hAnsi="Times New Roman"/>
                  <w:sz w:val="15"/>
                  <w:szCs w:val="15"/>
                  <w:color w:val="3051F2"/>
                </w:rPr>
                <w:t>2021, between Volvo Car Corporation and Polestar Performance AB.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130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4.31†</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07">
              <w:r>
                <w:rPr>
                  <w:rFonts w:ascii="Times New Roman" w:cs="Times New Roman" w:eastAsia="Times New Roman" w:hAnsi="Times New Roman"/>
                  <w:sz w:val="15"/>
                  <w:szCs w:val="15"/>
                  <w:color w:val="3051F2"/>
                </w:rPr>
                <w:t>License and License Assignment Agreement, dated as of February 15, 2021,</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10.29</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720" w:type="dxa"/>
            <w:vAlign w:val="bottom"/>
            <w:tcBorders>
              <w:top w:val="single" w:sz="8" w:color="3051F2"/>
              <w:bottom w:val="single" w:sz="8" w:color="3051F2"/>
            </w:tcBorders>
            <w:gridSpan w:val="15"/>
          </w:tcPr>
          <w:p>
            <w:pPr>
              <w:spacing w:after="0" w:line="154" w:lineRule="exact"/>
              <w:rPr>
                <w:rFonts w:ascii="Times New Roman" w:cs="Times New Roman" w:eastAsia="Times New Roman" w:hAnsi="Times New Roman"/>
                <w:sz w:val="15"/>
                <w:szCs w:val="15"/>
                <w:color w:val="3051F2"/>
              </w:rPr>
            </w:pPr>
            <w:hyperlink r:id="rId107">
              <w:r>
                <w:rPr>
                  <w:rFonts w:ascii="Times New Roman" w:cs="Times New Roman" w:eastAsia="Times New Roman" w:hAnsi="Times New Roman"/>
                  <w:sz w:val="15"/>
                  <w:szCs w:val="15"/>
                  <w:color w:val="3051F2"/>
                </w:rPr>
                <w:t>between Volvo Car Corporation and Polestar Automotive China Distribution</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20" w:type="dxa"/>
            <w:vAlign w:val="bottom"/>
            <w:tcBorders>
              <w:bottom w:val="single" w:sz="8" w:color="3051F2"/>
            </w:tcBorders>
          </w:tcPr>
          <w:p>
            <w:pPr>
              <w:spacing w:after="0" w:line="154" w:lineRule="exact"/>
              <w:rPr>
                <w:rFonts w:ascii="Times New Roman" w:cs="Times New Roman" w:eastAsia="Times New Roman" w:hAnsi="Times New Roman"/>
                <w:sz w:val="15"/>
                <w:szCs w:val="15"/>
                <w:color w:val="3051F2"/>
              </w:rPr>
            </w:pPr>
            <w:hyperlink r:id="rId107">
              <w:r>
                <w:rPr>
                  <w:rFonts w:ascii="Times New Roman" w:cs="Times New Roman" w:eastAsia="Times New Roman" w:hAnsi="Times New Roman"/>
                  <w:sz w:val="15"/>
                  <w:szCs w:val="15"/>
                  <w:color w:val="3051F2"/>
                </w:rPr>
                <w:t>Co. Ltd.</w:t>
              </w:r>
            </w:hyperlink>
          </w:p>
        </w:tc>
        <w:tc>
          <w:tcPr>
            <w:tcW w:w="424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4.32†</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08">
              <w:r>
                <w:rPr>
                  <w:rFonts w:ascii="Times New Roman" w:cs="Times New Roman" w:eastAsia="Times New Roman" w:hAnsi="Times New Roman"/>
                  <w:sz w:val="15"/>
                  <w:szCs w:val="15"/>
                  <w:color w:val="3051F2"/>
                </w:rPr>
                <w:t>Unique Vendor Tooling Agreement, dated as of December 23, 2021, by and</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10.30</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680" w:type="dxa"/>
            <w:vAlign w:val="bottom"/>
            <w:tcBorders>
              <w:top w:val="single" w:sz="8" w:color="3051F2"/>
              <w:bottom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08">
              <w:r>
                <w:rPr>
                  <w:rFonts w:ascii="Times New Roman" w:cs="Times New Roman" w:eastAsia="Times New Roman" w:hAnsi="Times New Roman"/>
                  <w:sz w:val="15"/>
                  <w:szCs w:val="15"/>
                  <w:color w:val="3051F2"/>
                </w:rPr>
                <w:t>among Polestar Automotive China Distribution Co., Ltd. and Ningbo Geely</w:t>
              </w:r>
            </w:hyperlink>
          </w:p>
        </w:tc>
        <w:tc>
          <w:tcPr>
            <w:tcW w:w="20" w:type="dxa"/>
            <w:vAlign w:val="bottom"/>
            <w:tcBorders>
              <w:bottom w:val="single" w:sz="8" w:color="3051F2"/>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2960" w:type="dxa"/>
            <w:vAlign w:val="bottom"/>
            <w:tcBorders>
              <w:bottom w:val="single" w:sz="8" w:color="3051F2"/>
            </w:tcBorders>
            <w:gridSpan w:val="3"/>
          </w:tcPr>
          <w:p>
            <w:pPr>
              <w:spacing w:after="0" w:line="154" w:lineRule="exact"/>
              <w:rPr>
                <w:rFonts w:ascii="Times New Roman" w:cs="Times New Roman" w:eastAsia="Times New Roman" w:hAnsi="Times New Roman"/>
                <w:sz w:val="15"/>
                <w:szCs w:val="15"/>
                <w:color w:val="3051F2"/>
              </w:rPr>
            </w:pPr>
            <w:hyperlink r:id="rId108">
              <w:r>
                <w:rPr>
                  <w:rFonts w:ascii="Times New Roman" w:cs="Times New Roman" w:eastAsia="Times New Roman" w:hAnsi="Times New Roman"/>
                  <w:sz w:val="15"/>
                  <w:szCs w:val="15"/>
                  <w:color w:val="3051F2"/>
                </w:rPr>
                <w:t>Automobile Research &amp; Development Co., Ltd.</w:t>
              </w:r>
            </w:hyperlink>
          </w:p>
        </w:tc>
        <w:tc>
          <w:tcPr>
            <w:tcW w:w="174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4.33†</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Car Model Manufacturing Agreement, dated as of November 28, 2018, between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10.31</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000" w:type="dxa"/>
            <w:vAlign w:val="bottom"/>
            <w:tcBorders>
              <w:top w:val="single" w:sz="8" w:color="3051F2"/>
            </w:tcBorders>
            <w:gridSpan w:val="27"/>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First Automobile Branch of Zhejiang Haoqing Automobile Manufacturing Co.,</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96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Ltd. and Polestar New Energy Vehicle Co. Ltd., as amended by the Novation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80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Agreement, dated as of July 7, 2021, between Polestar New Energy Vehicle</w:t>
              </w:r>
            </w:hyperlink>
          </w:p>
        </w:tc>
        <w:tc>
          <w:tcPr>
            <w:tcW w:w="280" w:type="dxa"/>
            <w:vAlign w:val="bottom"/>
            <w:gridSpan w:val="10"/>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Co.,</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020" w:type="dxa"/>
            <w:vAlign w:val="bottom"/>
            <w:tcBorders>
              <w:top w:val="single" w:sz="8" w:color="3051F2"/>
            </w:tcBorders>
            <w:gridSpan w:val="28"/>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Ltd., Polestar Automotive China Distribution (Taizhou) Co., Ltd. and First</w:t>
              </w:r>
            </w:hyperlink>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640" w:type="dxa"/>
            <w:vAlign w:val="bottom"/>
            <w:tcBorders>
              <w:top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Automobile Branch of Zhejiang Haoqing Automobile Manufacturing Co.,</w:t>
              </w:r>
            </w:hyperlink>
          </w:p>
        </w:tc>
        <w:tc>
          <w:tcPr>
            <w:tcW w:w="440" w:type="dxa"/>
            <w:vAlign w:val="bottom"/>
            <w:gridSpan w:val="18"/>
          </w:tcPr>
          <w:p>
            <w:pPr>
              <w:spacing w:after="0" w:line="154" w:lineRule="exact"/>
              <w:rPr>
                <w:rFonts w:ascii="Times New Roman" w:cs="Times New Roman" w:eastAsia="Times New Roman" w:hAnsi="Times New Roman"/>
                <w:sz w:val="15"/>
                <w:szCs w:val="15"/>
                <w:color w:val="3051F2"/>
              </w:rPr>
            </w:pPr>
            <w:hyperlink r:id="rId109">
              <w:r>
                <w:rPr>
                  <w:rFonts w:ascii="Times New Roman" w:cs="Times New Roman" w:eastAsia="Times New Roman" w:hAnsi="Times New Roman"/>
                  <w:sz w:val="15"/>
                  <w:szCs w:val="15"/>
                  <w:color w:val="3051F2"/>
                </w:rPr>
                <w:t>Ltd.</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gridSpan w:val="2"/>
            <w:shd w:val="clear" w:color="auto" w:fill="3051F2"/>
          </w:tcPr>
          <w:p>
            <w:pPr>
              <w:spacing w:after="0" w:line="20" w:lineRule="exact"/>
              <w:rPr>
                <w:sz w:val="1"/>
                <w:szCs w:val="1"/>
                <w:color w:val="auto"/>
              </w:rPr>
            </w:pPr>
          </w:p>
        </w:tc>
        <w:tc>
          <w:tcPr>
            <w:tcW w:w="3300" w:type="dxa"/>
            <w:vAlign w:val="bottom"/>
            <w:gridSpan w:val="4"/>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gridSpan w:val="3"/>
            <w:shd w:val="clear" w:color="auto" w:fill="3051F2"/>
          </w:tcPr>
          <w:p>
            <w:pPr>
              <w:spacing w:after="0" w:line="20" w:lineRule="exact"/>
              <w:rPr>
                <w:sz w:val="1"/>
                <w:szCs w:val="1"/>
                <w:color w:val="auto"/>
              </w:rPr>
            </w:pPr>
          </w:p>
        </w:tc>
        <w:tc>
          <w:tcPr>
            <w:tcW w:w="40" w:type="dxa"/>
            <w:vAlign w:val="bottom"/>
            <w:gridSpan w:val="2"/>
            <w:shd w:val="clear" w:color="auto" w:fill="3051F2"/>
          </w:tcPr>
          <w:p>
            <w:pPr>
              <w:spacing w:after="0" w:line="20" w:lineRule="exact"/>
              <w:rPr>
                <w:sz w:val="1"/>
                <w:szCs w:val="1"/>
                <w:color w:val="auto"/>
              </w:rPr>
            </w:pPr>
          </w:p>
        </w:tc>
        <w:tc>
          <w:tcPr>
            <w:tcW w:w="80" w:type="dxa"/>
            <w:vAlign w:val="bottom"/>
            <w:tcBorders>
              <w:right w:val="single" w:sz="8" w:color="3051F2"/>
            </w:tcBorders>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4.34†</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Car Model Manufacturing Agreement, dated as of November 26, 2018, between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10.32</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000" w:type="dxa"/>
            <w:vAlign w:val="bottom"/>
            <w:tcBorders>
              <w:top w:val="single" w:sz="8" w:color="3051F2"/>
            </w:tcBorders>
            <w:gridSpan w:val="27"/>
          </w:tcPr>
          <w:p>
            <w:pPr>
              <w:spacing w:after="0" w:line="154" w:lineRule="exact"/>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Asia Euro Automobile Manufacturing (Taizhou) Co., Ltd. and Polestar</w:t>
              </w:r>
            </w:hyperlink>
          </w:p>
        </w:tc>
        <w:tc>
          <w:tcPr>
            <w:tcW w:w="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380" w:type="dxa"/>
            <w:vAlign w:val="bottom"/>
            <w:tcBorders>
              <w:top w:val="single" w:sz="8" w:color="3051F2"/>
              <w:bottom w:val="single" w:sz="8" w:color="3051F2"/>
            </w:tcBorders>
            <w:gridSpan w:val="6"/>
          </w:tcPr>
          <w:p>
            <w:pPr>
              <w:spacing w:after="0" w:line="154" w:lineRule="exact"/>
              <w:rPr>
                <w:rFonts w:ascii="Times New Roman" w:cs="Times New Roman" w:eastAsia="Times New Roman" w:hAnsi="Times New Roman"/>
                <w:sz w:val="15"/>
                <w:szCs w:val="15"/>
                <w:color w:val="3051F2"/>
                <w:w w:val="97"/>
              </w:rPr>
            </w:pPr>
            <w:hyperlink r:id="rId110">
              <w:r>
                <w:rPr>
                  <w:rFonts w:ascii="Times New Roman" w:cs="Times New Roman" w:eastAsia="Times New Roman" w:hAnsi="Times New Roman"/>
                  <w:sz w:val="15"/>
                  <w:szCs w:val="15"/>
                  <w:color w:val="3051F2"/>
                  <w:w w:val="97"/>
                </w:rPr>
                <w:t>Performance AB., as supplemented by the Supplement Car Manufacturing</w:t>
              </w:r>
            </w:hyperlink>
          </w:p>
        </w:tc>
        <w:tc>
          <w:tcPr>
            <w:tcW w:w="20" w:type="dxa"/>
            <w:vAlign w:val="bottom"/>
            <w:tcBorders>
              <w:bottom w:val="single" w:sz="8" w:color="3051F2"/>
            </w:tcBorders>
          </w:tcPr>
          <w:p>
            <w:pPr>
              <w:spacing w:after="0"/>
              <w:rPr>
                <w:sz w:val="13"/>
                <w:szCs w:val="13"/>
                <w:color w:val="auto"/>
              </w:rPr>
            </w:pPr>
          </w:p>
        </w:tc>
        <w:tc>
          <w:tcPr>
            <w:tcW w:w="40" w:type="dxa"/>
            <w:vAlign w:val="bottom"/>
            <w:tcBorders>
              <w:bottom w:val="single" w:sz="8" w:color="3051F2"/>
            </w:tcBorders>
          </w:tcPr>
          <w:p>
            <w:pPr>
              <w:spacing w:after="0"/>
              <w:rPr>
                <w:sz w:val="13"/>
                <w:szCs w:val="13"/>
                <w:color w:val="auto"/>
              </w:rPr>
            </w:pPr>
          </w:p>
        </w:tc>
        <w:tc>
          <w:tcPr>
            <w:tcW w:w="16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19"/>
            <w:vMerge w:val="restart"/>
          </w:tcPr>
          <w:p>
            <w:pPr>
              <w:spacing w:after="0"/>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Asia</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600" w:type="dxa"/>
            <w:vAlign w:val="bottom"/>
            <w:gridSpan w:val="9"/>
          </w:tcPr>
          <w:p>
            <w:pPr>
              <w:spacing w:after="0" w:line="154" w:lineRule="exact"/>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Agreement, dated as of May 2021, between Polestar Performance AB and</w:t>
              </w:r>
            </w:hyperlink>
          </w:p>
        </w:tc>
        <w:tc>
          <w:tcPr>
            <w:tcW w:w="20" w:type="dxa"/>
            <w:vAlign w:val="bottom"/>
          </w:tcPr>
          <w:p>
            <w:pPr>
              <w:spacing w:after="0"/>
              <w:rPr>
                <w:sz w:val="13"/>
                <w:szCs w:val="13"/>
                <w:color w:val="auto"/>
              </w:rPr>
            </w:pPr>
          </w:p>
        </w:tc>
        <w:tc>
          <w:tcPr>
            <w:tcW w:w="460" w:type="dxa"/>
            <w:vAlign w:val="bottom"/>
            <w:gridSpan w:val="19"/>
            <w:vMerge w:val="continue"/>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900" w:type="dxa"/>
            <w:vAlign w:val="bottom"/>
            <w:tcBorders>
              <w:top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Euro Manufacturing (Taizhou) Co. Ltd., as amended by the Amendment Car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740" w:type="dxa"/>
            <w:vAlign w:val="bottom"/>
            <w:tcBorders>
              <w:top w:val="single" w:sz="8" w:color="3051F2"/>
              <w:bottom w:val="single" w:sz="8" w:color="3051F2"/>
            </w:tcBorders>
            <w:gridSpan w:val="16"/>
          </w:tcPr>
          <w:p>
            <w:pPr>
              <w:spacing w:after="0" w:line="154" w:lineRule="exact"/>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Model Manufacturing Agreement, dated as of July 7, 2021, between Polestar</w:t>
              </w:r>
            </w:hyperlink>
          </w:p>
        </w:tc>
        <w:tc>
          <w:tcPr>
            <w:tcW w:w="40" w:type="dxa"/>
            <w:vAlign w:val="bottom"/>
            <w:tcBorders>
              <w:bottom w:val="single" w:sz="8" w:color="3051F2"/>
            </w:tcBorders>
            <w:gridSpan w:val="2"/>
          </w:tcPr>
          <w:p>
            <w:pPr>
              <w:spacing w:after="0"/>
              <w:rPr>
                <w:sz w:val="13"/>
                <w:szCs w:val="13"/>
                <w:color w:val="auto"/>
              </w:rPr>
            </w:pPr>
          </w:p>
        </w:tc>
        <w:tc>
          <w:tcPr>
            <w:tcW w:w="80" w:type="dxa"/>
            <w:vAlign w:val="bottom"/>
            <w:tcBorders>
              <w:bottom w:val="single" w:sz="8" w:color="3051F2"/>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920" w:type="dxa"/>
            <w:vAlign w:val="bottom"/>
            <w:tcBorders>
              <w:bottom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10">
              <w:r>
                <w:rPr>
                  <w:rFonts w:ascii="Times New Roman" w:cs="Times New Roman" w:eastAsia="Times New Roman" w:hAnsi="Times New Roman"/>
                  <w:sz w:val="15"/>
                  <w:szCs w:val="15"/>
                  <w:color w:val="3051F2"/>
                </w:rPr>
                <w:t>Performance AB and Asia Euro Automobile Manufacturing (Taizhou) Co. Ltd.</w:t>
              </w:r>
            </w:hyperlink>
          </w:p>
        </w:tc>
        <w:tc>
          <w:tcPr>
            <w:tcW w:w="160" w:type="dxa"/>
            <w:vAlign w:val="bottom"/>
            <w:gridSpan w:val="6"/>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4.35†</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License, License Assignment and Service Agreement, dated as of June 30,</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10.33</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620" w:type="dxa"/>
            <w:vAlign w:val="bottom"/>
            <w:tcBorders>
              <w:top w:val="single" w:sz="8" w:color="3051F2"/>
            </w:tcBorders>
            <w:gridSpan w:val="10"/>
          </w:tcPr>
          <w:p>
            <w:pPr>
              <w:spacing w:after="0" w:line="154"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2019, between Volvo Car Corporation and Polestar Performance AB,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440" w:type="dxa"/>
            <w:vAlign w:val="bottom"/>
            <w:tcBorders>
              <w:top w:val="single" w:sz="8" w:color="3051F2"/>
            </w:tcBorders>
            <w:gridSpan w:val="8"/>
          </w:tcPr>
          <w:p>
            <w:pPr>
              <w:spacing w:after="0" w:line="154"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supplemented by Side Letter, dated as of June 30, 2019, between Volvo</w:t>
              </w:r>
            </w:hyperlink>
          </w:p>
        </w:tc>
        <w:tc>
          <w:tcPr>
            <w:tcW w:w="640" w:type="dxa"/>
            <w:vAlign w:val="bottom"/>
            <w:gridSpan w:val="21"/>
          </w:tcPr>
          <w:p>
            <w:pPr>
              <w:spacing w:after="0" w:line="154"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Car</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660" w:type="dxa"/>
            <w:vAlign w:val="bottom"/>
            <w:tcBorders>
              <w:top w:val="single" w:sz="8" w:color="3051F2"/>
              <w:bottom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Corporation, Volvo Cars (China) Investment Co., Ltd., Polestar Performance</w:t>
              </w:r>
            </w:hyperlink>
          </w:p>
        </w:tc>
        <w:tc>
          <w:tcPr>
            <w:tcW w:w="20" w:type="dxa"/>
            <w:vAlign w:val="bottom"/>
            <w:tcBorders>
              <w:bottom w:val="single" w:sz="8" w:color="3051F2"/>
            </w:tcBorders>
          </w:tcPr>
          <w:p>
            <w:pPr>
              <w:spacing w:after="0"/>
              <w:rPr>
                <w:sz w:val="13"/>
                <w:szCs w:val="13"/>
                <w:color w:val="auto"/>
              </w:rPr>
            </w:pPr>
          </w:p>
        </w:tc>
        <w:tc>
          <w:tcPr>
            <w:tcW w:w="100" w:type="dxa"/>
            <w:vAlign w:val="bottom"/>
            <w:tcBorders>
              <w:bottom w:val="single" w:sz="8" w:color="3051F2"/>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780" w:type="dxa"/>
            <w:vAlign w:val="bottom"/>
            <w:tcBorders>
              <w:bottom w:val="single" w:sz="8" w:color="3051F2"/>
            </w:tcBorders>
            <w:gridSpan w:val="18"/>
          </w:tcPr>
          <w:p>
            <w:pPr>
              <w:spacing w:after="0" w:line="154" w:lineRule="exact"/>
              <w:rPr>
                <w:rFonts w:ascii="Times New Roman" w:cs="Times New Roman" w:eastAsia="Times New Roman" w:hAnsi="Times New Roman"/>
                <w:sz w:val="15"/>
                <w:szCs w:val="15"/>
                <w:color w:val="3051F2"/>
                <w:w w:val="99"/>
              </w:rPr>
            </w:pPr>
            <w:hyperlink r:id="rId111">
              <w:r>
                <w:rPr>
                  <w:rFonts w:ascii="Times New Roman" w:cs="Times New Roman" w:eastAsia="Times New Roman" w:hAnsi="Times New Roman"/>
                  <w:sz w:val="15"/>
                  <w:szCs w:val="15"/>
                  <w:color w:val="3051F2"/>
                  <w:w w:val="99"/>
                </w:rPr>
                <w:t>AB and Polestar New Energy Vehicle Co. Ltd., as amended by the Amendment</w:t>
              </w:r>
            </w:hyperlink>
          </w:p>
        </w:tc>
        <w:tc>
          <w:tcPr>
            <w:tcW w:w="80" w:type="dxa"/>
            <w:vAlign w:val="bottom"/>
            <w:tcBorders>
              <w:bottom w:val="single" w:sz="8" w:color="3051F2"/>
            </w:tcBorders>
            <w:gridSpan w:val="2"/>
          </w:tcPr>
          <w:p>
            <w:pPr>
              <w:spacing w:after="0"/>
              <w:rPr>
                <w:sz w:val="13"/>
                <w:szCs w:val="13"/>
                <w:color w:val="auto"/>
              </w:rPr>
            </w:pPr>
          </w:p>
        </w:tc>
        <w:tc>
          <w:tcPr>
            <w:tcW w:w="60" w:type="dxa"/>
            <w:vAlign w:val="bottom"/>
            <w:tcBorders>
              <w:bottom w:val="single" w:sz="8" w:color="3051F2"/>
            </w:tcBorders>
            <w:gridSpan w:val="3"/>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40" w:type="dxa"/>
            <w:vAlign w:val="bottom"/>
            <w:tcBorders>
              <w:bottom w:val="single" w:sz="8" w:color="3051F2"/>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980" w:type="dxa"/>
            <w:vAlign w:val="bottom"/>
            <w:gridSpan w:val="26"/>
          </w:tcPr>
          <w:p>
            <w:pPr>
              <w:spacing w:after="0" w:line="154"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Agreement to the License, License Assignment and Service Agreement, dated</w:t>
              </w:r>
            </w:hyperlink>
          </w:p>
        </w:tc>
        <w:tc>
          <w:tcPr>
            <w:tcW w:w="1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860" w:type="dxa"/>
            <w:vAlign w:val="bottom"/>
            <w:tcBorders>
              <w:top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as of December 19, 2019, between Volvo Car Corporation and Polestar</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400" w:type="dxa"/>
            <w:vAlign w:val="bottom"/>
            <w:tcBorders>
              <w:top w:val="single" w:sz="8" w:color="3051F2"/>
            </w:tcBorders>
            <w:gridSpan w:val="7"/>
          </w:tcPr>
          <w:p>
            <w:pPr>
              <w:spacing w:after="0" w:line="142" w:lineRule="exact"/>
              <w:rPr>
                <w:rFonts w:ascii="Times New Roman" w:cs="Times New Roman" w:eastAsia="Times New Roman" w:hAnsi="Times New Roman"/>
                <w:sz w:val="15"/>
                <w:szCs w:val="15"/>
                <w:color w:val="3051F2"/>
              </w:rPr>
            </w:pPr>
            <w:hyperlink r:id="rId111">
              <w:r>
                <w:rPr>
                  <w:rFonts w:ascii="Times New Roman" w:cs="Times New Roman" w:eastAsia="Times New Roman" w:hAnsi="Times New Roman"/>
                  <w:sz w:val="15"/>
                  <w:szCs w:val="15"/>
                  <w:color w:val="3051F2"/>
                </w:rPr>
                <w:t>Performance AB.</w:t>
              </w:r>
            </w:hyperlink>
          </w:p>
        </w:tc>
        <w:tc>
          <w:tcPr>
            <w:tcW w:w="280" w:type="dxa"/>
            <w:vAlign w:val="bottom"/>
            <w:gridSpan w:val="6"/>
          </w:tcPr>
          <w:p>
            <w:pPr>
              <w:spacing w:after="0"/>
              <w:rPr>
                <w:sz w:val="12"/>
                <w:szCs w:val="12"/>
                <w:color w:val="auto"/>
              </w:rPr>
            </w:pPr>
          </w:p>
        </w:tc>
        <w:tc>
          <w:tcPr>
            <w:tcW w:w="24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gridSpan w:val="2"/>
            <w:shd w:val="clear" w:color="auto" w:fill="3051F2"/>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4.36†</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12">
              <w:r>
                <w:rPr>
                  <w:rFonts w:ascii="Times New Roman" w:cs="Times New Roman" w:eastAsia="Times New Roman" w:hAnsi="Times New Roman"/>
                  <w:sz w:val="15"/>
                  <w:szCs w:val="15"/>
                  <w:color w:val="3051F2"/>
                </w:rPr>
                <w:t>License Agreement, dated as of June 30, 2019, between Volvo Car Corporation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10.34</w:t>
            </w:r>
          </w:p>
        </w:tc>
        <w:tc>
          <w:tcPr>
            <w:tcW w:w="11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920" w:type="dxa"/>
            <w:vAlign w:val="bottom"/>
            <w:tcBorders>
              <w:top w:val="single" w:sz="8" w:color="3051F2"/>
              <w:bottom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12">
              <w:r>
                <w:rPr>
                  <w:rFonts w:ascii="Times New Roman" w:cs="Times New Roman" w:eastAsia="Times New Roman" w:hAnsi="Times New Roman"/>
                  <w:sz w:val="15"/>
                  <w:szCs w:val="15"/>
                  <w:color w:val="3051F2"/>
                </w:rPr>
                <w:t>and Polestar New Energy Vehicle Co. Ltd., as supplemented by the Side Letter,</w:t>
              </w:r>
            </w:hyperlink>
          </w:p>
        </w:tc>
        <w:tc>
          <w:tcPr>
            <w:tcW w:w="20" w:type="dxa"/>
            <w:vAlign w:val="bottom"/>
            <w:tcBorders>
              <w:bottom w:val="single" w:sz="8" w:color="3051F2"/>
            </w:tcBorders>
          </w:tcPr>
          <w:p>
            <w:pPr>
              <w:spacing w:after="0"/>
              <w:rPr>
                <w:sz w:val="13"/>
                <w:szCs w:val="13"/>
                <w:color w:val="auto"/>
              </w:rPr>
            </w:pPr>
          </w:p>
        </w:tc>
        <w:tc>
          <w:tcPr>
            <w:tcW w:w="1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700" w:type="dxa"/>
            <w:vAlign w:val="bottom"/>
            <w:tcBorders>
              <w:bottom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112">
              <w:r>
                <w:rPr>
                  <w:rFonts w:ascii="Times New Roman" w:cs="Times New Roman" w:eastAsia="Times New Roman" w:hAnsi="Times New Roman"/>
                  <w:sz w:val="15"/>
                  <w:szCs w:val="15"/>
                  <w:color w:val="3051F2"/>
                </w:rPr>
                <w:t>dated as of June 30, 2019, between Polestar Performance AB, Polestar New</w:t>
              </w:r>
            </w:hyperlink>
          </w:p>
        </w:tc>
        <w:tc>
          <w:tcPr>
            <w:tcW w:w="240" w:type="dxa"/>
            <w:vAlign w:val="bottom"/>
            <w:gridSpan w:val="10"/>
          </w:tcPr>
          <w:p>
            <w:pPr>
              <w:spacing w:after="0"/>
              <w:rPr>
                <w:sz w:val="13"/>
                <w:szCs w:val="13"/>
                <w:color w:val="auto"/>
              </w:rPr>
            </w:pPr>
          </w:p>
        </w:tc>
        <w:tc>
          <w:tcPr>
            <w:tcW w:w="1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20"/>
        <w:spacing w:after="0"/>
        <w:rPr>
          <w:rFonts w:ascii="Times New Roman" w:cs="Times New Roman" w:eastAsia="Times New Roman" w:hAnsi="Times New Roman"/>
          <w:sz w:val="15"/>
          <w:szCs w:val="15"/>
          <w:u w:val="single" w:color="auto"/>
          <w:color w:val="3051F2"/>
        </w:rPr>
      </w:pPr>
      <w:hyperlink r:id="rId112">
        <w:r>
          <w:rPr>
            <w:rFonts w:ascii="Times New Roman" w:cs="Times New Roman" w:eastAsia="Times New Roman" w:hAnsi="Times New Roman"/>
            <w:sz w:val="15"/>
            <w:szCs w:val="15"/>
            <w:u w:val="single" w:color="auto"/>
            <w:color w:val="3051F2"/>
          </w:rPr>
          <w:t>Energy Vehicle Co., Ltd., Volvo Car Corporation and Volvo Cars (China)</w:t>
        </w:r>
      </w:hyperlink>
    </w:p>
    <w:p>
      <w:pPr>
        <w:spacing w:after="0" w:line="14" w:lineRule="exact"/>
        <w:rPr>
          <w:sz w:val="20"/>
          <w:szCs w:val="20"/>
          <w:color w:val="auto"/>
        </w:rPr>
      </w:pPr>
    </w:p>
    <w:p>
      <w:pPr>
        <w:ind w:left="620"/>
        <w:spacing w:after="0"/>
        <w:rPr>
          <w:rFonts w:ascii="Times New Roman" w:cs="Times New Roman" w:eastAsia="Times New Roman" w:hAnsi="Times New Roman"/>
          <w:sz w:val="15"/>
          <w:szCs w:val="15"/>
          <w:u w:val="single" w:color="auto"/>
          <w:color w:val="3051F2"/>
        </w:rPr>
      </w:pPr>
      <w:hyperlink r:id="rId112">
        <w:r>
          <w:rPr>
            <w:rFonts w:ascii="Times New Roman" w:cs="Times New Roman" w:eastAsia="Times New Roman" w:hAnsi="Times New Roman"/>
            <w:sz w:val="15"/>
            <w:szCs w:val="15"/>
            <w:u w:val="single" w:color="auto"/>
            <w:color w:val="3051F2"/>
          </w:rPr>
          <w:t>Investment Co. Ltd., as amended by the Novation Agreement, dated as of</w:t>
        </w:r>
      </w:hyperlink>
    </w:p>
    <w:p>
      <w:pPr>
        <w:spacing w:after="0" w:line="1" w:lineRule="exact"/>
        <w:rPr>
          <w:sz w:val="20"/>
          <w:szCs w:val="20"/>
          <w:color w:val="auto"/>
        </w:rPr>
      </w:pPr>
    </w:p>
    <w:p>
      <w:pPr>
        <w:ind w:left="620"/>
        <w:spacing w:after="0"/>
        <w:rPr>
          <w:rFonts w:ascii="Times New Roman" w:cs="Times New Roman" w:eastAsia="Times New Roman" w:hAnsi="Times New Roman"/>
          <w:sz w:val="15"/>
          <w:szCs w:val="15"/>
          <w:u w:val="single" w:color="auto"/>
          <w:color w:val="3051F2"/>
        </w:rPr>
      </w:pPr>
      <w:hyperlink r:id="rId112">
        <w:r>
          <w:rPr>
            <w:rFonts w:ascii="Times New Roman" w:cs="Times New Roman" w:eastAsia="Times New Roman" w:hAnsi="Times New Roman"/>
            <w:sz w:val="15"/>
            <w:szCs w:val="15"/>
            <w:u w:val="single" w:color="auto"/>
            <w:color w:val="3051F2"/>
          </w:rPr>
          <w:t>December 8, 2020, by and among Polestar New Energy Vehicle Co., Ltd.,</w:t>
        </w:r>
      </w:hyperlink>
    </w:p>
    <w:p>
      <w:pPr>
        <w:spacing w:after="0" w:line="1" w:lineRule="exact"/>
        <w:rPr>
          <w:sz w:val="20"/>
          <w:szCs w:val="20"/>
          <w:color w:val="auto"/>
        </w:rPr>
      </w:pPr>
    </w:p>
    <w:p>
      <w:pPr>
        <w:ind w:left="620"/>
        <w:spacing w:after="0"/>
        <w:rPr>
          <w:rFonts w:ascii="Times New Roman" w:cs="Times New Roman" w:eastAsia="Times New Roman" w:hAnsi="Times New Roman"/>
          <w:sz w:val="15"/>
          <w:szCs w:val="15"/>
          <w:u w:val="single" w:color="auto"/>
          <w:color w:val="3051F2"/>
        </w:rPr>
      </w:pPr>
      <w:hyperlink r:id="rId112">
        <w:r>
          <w:rPr>
            <w:rFonts w:ascii="Times New Roman" w:cs="Times New Roman" w:eastAsia="Times New Roman" w:hAnsi="Times New Roman"/>
            <w:sz w:val="15"/>
            <w:szCs w:val="15"/>
            <w:u w:val="single" w:color="auto"/>
            <w:color w:val="3051F2"/>
          </w:rPr>
          <w:t>Polestar Automotive China Distribution Co., Ltd. and Volvo Car Corporation.</w:t>
        </w:r>
      </w:hyperlink>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55880</wp:posOffset>
            </wp:positionV>
            <wp:extent cx="71774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839"/>
          </w:cols>
          <w:pgMar w:left="620" w:top="83"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6"/>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84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559"/>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4.37†</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Service Agreement, dated as of June 30, 2019, between Volvo Car Corporation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10.35</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80" w:type="dxa"/>
            <w:vAlign w:val="bottom"/>
            <w:tcBorders>
              <w:top w:val="single" w:sz="8" w:color="3051F2"/>
              <w:bottom w:val="single" w:sz="8" w:color="3051F2"/>
            </w:tcBorders>
            <w:gridSpan w:val="15"/>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and Polestar New Energy Vehicle Co. Ltd., as supplemented by Side Letter,</w:t>
              </w:r>
            </w:hyperlink>
          </w:p>
        </w:tc>
        <w:tc>
          <w:tcPr>
            <w:tcW w:w="200" w:type="dxa"/>
            <w:vAlign w:val="bottom"/>
            <w:tcBorders>
              <w:top w:val="single" w:sz="8" w:color="3051F2"/>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1"/>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dated as of June 30, 2019, between Volvo Car Corporation, Volvo Cars (China)</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2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Investment Co., Ltd., Polestar Performance AB and Polestar New Energy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540" w:type="dxa"/>
            <w:vAlign w:val="bottom"/>
            <w:tcBorders>
              <w:top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Vehicle Co. Ltd., as amended by the Novation Agreement, dated as of</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20" w:type="dxa"/>
            <w:vAlign w:val="bottom"/>
            <w:tcBorders>
              <w:top w:val="single" w:sz="8" w:color="3051F2"/>
            </w:tcBorders>
            <w:gridSpan w:val="9"/>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December 8, 2020, by and among Polestar New Energy Vehicle Co.,</w:t>
              </w:r>
            </w:hyperlink>
          </w:p>
        </w:tc>
        <w:tc>
          <w:tcPr>
            <w:tcW w:w="760" w:type="dxa"/>
            <w:vAlign w:val="bottom"/>
            <w:gridSpan w:val="22"/>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Ltd.,</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28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16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4820" w:type="dxa"/>
            <w:vAlign w:val="bottom"/>
            <w:tcBorders>
              <w:bottom w:val="single" w:sz="8" w:color="3051F2"/>
            </w:tcBorders>
            <w:gridSpan w:val="18"/>
          </w:tcPr>
          <w:p>
            <w:pPr>
              <w:spacing w:after="0" w:line="154" w:lineRule="exact"/>
              <w:rPr>
                <w:rFonts w:ascii="Times New Roman" w:cs="Times New Roman" w:eastAsia="Times New Roman" w:hAnsi="Times New Roman"/>
                <w:sz w:val="15"/>
                <w:szCs w:val="15"/>
                <w:color w:val="3051F2"/>
              </w:rPr>
            </w:pPr>
            <w:hyperlink r:id="rId114">
              <w:r>
                <w:rPr>
                  <w:rFonts w:ascii="Times New Roman" w:cs="Times New Roman" w:eastAsia="Times New Roman" w:hAnsi="Times New Roman"/>
                  <w:sz w:val="15"/>
                  <w:szCs w:val="15"/>
                  <w:color w:val="3051F2"/>
                </w:rPr>
                <w:t>Polestar Automotive China Distribution Co., Ltd. and Volvo Car Corporation.</w:t>
              </w:r>
            </w:hyperlink>
          </w:p>
        </w:tc>
        <w:tc>
          <w:tcPr>
            <w:tcW w:w="260" w:type="dxa"/>
            <w:vAlign w:val="bottom"/>
            <w:gridSpan w:val="1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81"/>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4.38†</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Service Agreement, dated as of June 30, 2019, between Volvo Cars (China)</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10.36</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140" w:type="dxa"/>
            <w:vAlign w:val="bottom"/>
            <w:tcBorders>
              <w:top w:val="single" w:sz="8" w:color="3051F2"/>
              <w:bottom w:val="single" w:sz="8" w:color="3051F2"/>
            </w:tcBorders>
            <w:gridSpan w:val="8"/>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Investment Co., Ltd. and Polestar New Energy Vehicle Co. Ltd., as</w:t>
              </w:r>
            </w:hyperlink>
          </w:p>
        </w:tc>
        <w:tc>
          <w:tcPr>
            <w:tcW w:w="520" w:type="dxa"/>
            <w:vAlign w:val="bottom"/>
            <w:tcBorders>
              <w:top w:val="single" w:sz="8" w:color="3051F2"/>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1"/>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supplemented by Side Letter, dated as of June 30, 2019, between Volvo Car</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80" w:type="dxa"/>
            <w:vAlign w:val="bottom"/>
            <w:tcBorders>
              <w:top w:val="single" w:sz="8" w:color="3051F2"/>
              <w:bottom w:val="single" w:sz="8" w:color="3051F2"/>
            </w:tcBorders>
            <w:gridSpan w:val="15"/>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Corporation, Volvo Cars (China) Investment Co., Ltd., Polestar Performance</w:t>
              </w:r>
            </w:hyperlink>
          </w:p>
        </w:tc>
        <w:tc>
          <w:tcPr>
            <w:tcW w:w="60" w:type="dxa"/>
            <w:vAlign w:val="bottom"/>
            <w:tcBorders>
              <w:bottom w:val="single" w:sz="8" w:color="3051F2"/>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40" w:type="dxa"/>
            <w:vAlign w:val="bottom"/>
            <w:tcBorders>
              <w:bottom w:val="single" w:sz="8" w:color="3051F2"/>
            </w:tcBorders>
            <w:gridSpan w:val="16"/>
          </w:tcPr>
          <w:p>
            <w:pPr>
              <w:spacing w:after="0" w:line="154" w:lineRule="exact"/>
              <w:rPr>
                <w:rFonts w:ascii="Times New Roman" w:cs="Times New Roman" w:eastAsia="Times New Roman" w:hAnsi="Times New Roman"/>
                <w:sz w:val="15"/>
                <w:szCs w:val="15"/>
                <w:color w:val="3051F2"/>
                <w:w w:val="98"/>
              </w:rPr>
            </w:pPr>
            <w:hyperlink r:id="rId115">
              <w:r>
                <w:rPr>
                  <w:rFonts w:ascii="Times New Roman" w:cs="Times New Roman" w:eastAsia="Times New Roman" w:hAnsi="Times New Roman"/>
                  <w:sz w:val="15"/>
                  <w:szCs w:val="15"/>
                  <w:color w:val="3051F2"/>
                  <w:w w:val="98"/>
                </w:rPr>
                <w:t>AB and Polestar New Energy Vehicle Co. Ltd., as amended by the Amendment</w:t>
              </w:r>
            </w:hyperlink>
          </w:p>
        </w:tc>
        <w:tc>
          <w:tcPr>
            <w:tcW w:w="6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40" w:type="dxa"/>
            <w:vAlign w:val="bottom"/>
            <w:tcBorders>
              <w:bottom w:val="single" w:sz="8" w:color="3051F2"/>
            </w:tcBorders>
            <w:gridSpan w:val="2"/>
          </w:tcPr>
          <w:p>
            <w:pPr>
              <w:spacing w:after="0"/>
              <w:rPr>
                <w:sz w:val="13"/>
                <w:szCs w:val="13"/>
                <w:color w:val="auto"/>
              </w:rPr>
            </w:pPr>
          </w:p>
        </w:tc>
        <w:tc>
          <w:tcPr>
            <w:tcW w:w="40" w:type="dxa"/>
            <w:vAlign w:val="bottom"/>
            <w:tcBorders>
              <w:bottom w:val="single" w:sz="8" w:color="3051F2"/>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40" w:type="dxa"/>
            <w:vAlign w:val="bottom"/>
            <w:tcBorders>
              <w:bottom w:val="single" w:sz="8" w:color="3051F2"/>
            </w:tcBorders>
            <w:gridSpan w:val="24"/>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Agreement to the Service Agreement, dated as of November 28, 2019, between</w:t>
              </w:r>
            </w:hyperlink>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60" w:type="dxa"/>
            <w:vAlign w:val="bottom"/>
            <w:gridSpan w:val="25"/>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Volvo Cars (China) Investment Co. Ltd. and Polestar New Energy Vehicle Co.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42"/>
        </w:trPr>
        <w:tc>
          <w:tcPr>
            <w:tcW w:w="920" w:type="dxa"/>
            <w:vAlign w:val="bottom"/>
          </w:tcPr>
          <w:p>
            <w:pPr>
              <w:spacing w:after="0"/>
              <w:rPr>
                <w:sz w:val="12"/>
                <w:szCs w:val="12"/>
                <w:color w:val="auto"/>
              </w:rPr>
            </w:pPr>
          </w:p>
        </w:tc>
        <w:tc>
          <w:tcPr>
            <w:tcW w:w="4840" w:type="dxa"/>
            <w:vAlign w:val="bottom"/>
            <w:tcBorders>
              <w:top w:val="single" w:sz="8" w:color="3051F2"/>
            </w:tcBorders>
            <w:gridSpan w:val="19"/>
          </w:tcPr>
          <w:p>
            <w:pPr>
              <w:spacing w:after="0" w:line="142"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Ltd., as amended by the Novation Agreement, dated as of December 8, 2020,</w:t>
              </w:r>
            </w:hyperlink>
          </w:p>
        </w:tc>
        <w:tc>
          <w:tcPr>
            <w:tcW w:w="240" w:type="dxa"/>
            <w:vAlign w:val="bottom"/>
            <w:gridSpan w:val="12"/>
          </w:tcPr>
          <w:p>
            <w:pPr>
              <w:spacing w:after="0" w:line="142"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by</w:t>
              </w:r>
            </w:hyperlink>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20" w:type="dxa"/>
            <w:vAlign w:val="bottom"/>
          </w:tcPr>
          <w:p>
            <w:pPr>
              <w:spacing w:after="0"/>
              <w:rPr>
                <w:sz w:val="12"/>
                <w:szCs w:val="12"/>
                <w:color w:val="auto"/>
              </w:rPr>
            </w:pPr>
          </w:p>
        </w:tc>
      </w:tr>
      <w:tr>
        <w:trPr>
          <w:trHeight w:val="154"/>
        </w:trPr>
        <w:tc>
          <w:tcPr>
            <w:tcW w:w="920" w:type="dxa"/>
            <w:vAlign w:val="bottom"/>
          </w:tcPr>
          <w:p>
            <w:pPr>
              <w:spacing w:after="0"/>
              <w:rPr>
                <w:sz w:val="13"/>
                <w:szCs w:val="13"/>
                <w:color w:val="auto"/>
              </w:rPr>
            </w:pPr>
          </w:p>
        </w:tc>
        <w:tc>
          <w:tcPr>
            <w:tcW w:w="5060" w:type="dxa"/>
            <w:vAlign w:val="bottom"/>
            <w:tcBorders>
              <w:top w:val="single" w:sz="8" w:color="3051F2"/>
            </w:tcBorders>
            <w:gridSpan w:val="30"/>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and among Polestar New Energy Vehicle Co., Ltd., Polestar Automotive China</w:t>
              </w:r>
            </w:hyperlink>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00" w:type="dxa"/>
            <w:vAlign w:val="bottom"/>
            <w:tcBorders>
              <w:top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115">
              <w:r>
                <w:rPr>
                  <w:rFonts w:ascii="Times New Roman" w:cs="Times New Roman" w:eastAsia="Times New Roman" w:hAnsi="Times New Roman"/>
                  <w:sz w:val="15"/>
                  <w:szCs w:val="15"/>
                  <w:color w:val="3051F2"/>
                </w:rPr>
                <w:t>Distribution Co., Ltd. and Volvo Cars (China) Investment Co., Ltd.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28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16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4.39†</w:t>
            </w:r>
          </w:p>
        </w:tc>
        <w:tc>
          <w:tcPr>
            <w:tcW w:w="4320" w:type="dxa"/>
            <w:vAlign w:val="bottom"/>
            <w:tcBorders>
              <w:bottom w:val="single" w:sz="8" w:color="3051F2"/>
            </w:tcBorders>
            <w:gridSpan w:val="9"/>
          </w:tcPr>
          <w:p>
            <w:pPr>
              <w:spacing w:after="0"/>
              <w:rPr>
                <w:rFonts w:ascii="Times New Roman" w:cs="Times New Roman" w:eastAsia="Times New Roman" w:hAnsi="Times New Roman"/>
                <w:sz w:val="15"/>
                <w:szCs w:val="15"/>
                <w:color w:val="3051F2"/>
              </w:rPr>
            </w:pPr>
            <w:hyperlink r:id="rId116">
              <w:r>
                <w:rPr>
                  <w:rFonts w:ascii="Times New Roman" w:cs="Times New Roman" w:eastAsia="Times New Roman" w:hAnsi="Times New Roman"/>
                  <w:sz w:val="15"/>
                  <w:szCs w:val="15"/>
                  <w:color w:val="3051F2"/>
                </w:rPr>
                <w:t>Service Agreement, dated as of August 31, 2020, between Volvo Cars</w:t>
              </w:r>
            </w:hyperlink>
          </w:p>
        </w:tc>
        <w:tc>
          <w:tcPr>
            <w:tcW w:w="760" w:type="dxa"/>
            <w:vAlign w:val="bottom"/>
            <w:gridSpan w:val="22"/>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10.37</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80" w:type="dxa"/>
            <w:vAlign w:val="bottom"/>
            <w:gridSpan w:val="31"/>
          </w:tcPr>
          <w:p>
            <w:pPr>
              <w:spacing w:after="0" w:line="154" w:lineRule="exact"/>
              <w:rPr>
                <w:rFonts w:ascii="Times New Roman" w:cs="Times New Roman" w:eastAsia="Times New Roman" w:hAnsi="Times New Roman"/>
                <w:sz w:val="15"/>
                <w:szCs w:val="15"/>
                <w:color w:val="3051F2"/>
              </w:rPr>
            </w:pPr>
            <w:hyperlink r:id="rId116">
              <w:r>
                <w:rPr>
                  <w:rFonts w:ascii="Times New Roman" w:cs="Times New Roman" w:eastAsia="Times New Roman" w:hAnsi="Times New Roman"/>
                  <w:sz w:val="15"/>
                  <w:szCs w:val="15"/>
                  <w:color w:val="3051F2"/>
                </w:rPr>
                <w:t>Technology (Shanghai) Co., Ltd. and Polestar Automotive China Distribution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20" w:type="dxa"/>
            <w:vAlign w:val="bottom"/>
            <w:tcBorders>
              <w:top w:val="single" w:sz="8" w:color="3051F2"/>
              <w:bottom w:val="single" w:sz="8" w:color="3051F2"/>
            </w:tcBorders>
            <w:gridSpan w:val="2"/>
          </w:tcPr>
          <w:p>
            <w:pPr>
              <w:spacing w:after="0" w:line="154" w:lineRule="exact"/>
              <w:rPr>
                <w:rFonts w:ascii="Times New Roman" w:cs="Times New Roman" w:eastAsia="Times New Roman" w:hAnsi="Times New Roman"/>
                <w:sz w:val="15"/>
                <w:szCs w:val="15"/>
                <w:color w:val="3051F2"/>
              </w:rPr>
            </w:pPr>
            <w:hyperlink r:id="rId116">
              <w:r>
                <w:rPr>
                  <w:rFonts w:ascii="Times New Roman" w:cs="Times New Roman" w:eastAsia="Times New Roman" w:hAnsi="Times New Roman"/>
                  <w:sz w:val="15"/>
                  <w:szCs w:val="15"/>
                  <w:color w:val="3051F2"/>
                </w:rPr>
                <w:t>Co. Ltd.</w:t>
              </w:r>
            </w:hyperlink>
          </w:p>
        </w:tc>
        <w:tc>
          <w:tcPr>
            <w:tcW w:w="4280" w:type="dxa"/>
            <w:vAlign w:val="bottom"/>
            <w:tcBorders>
              <w:top w:val="single" w:sz="8" w:color="3051F2"/>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4.40†</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17">
              <w:r>
                <w:rPr>
                  <w:rFonts w:ascii="Times New Roman" w:cs="Times New Roman" w:eastAsia="Times New Roman" w:hAnsi="Times New Roman"/>
                  <w:sz w:val="15"/>
                  <w:szCs w:val="15"/>
                  <w:color w:val="3051F2"/>
                </w:rPr>
                <w:t>Service Agreement, dated as of September 1,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10.38</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400" w:type="dxa"/>
            <w:vAlign w:val="bottom"/>
            <w:tcBorders>
              <w:top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117">
              <w:r>
                <w:rPr>
                  <w:rFonts w:ascii="Times New Roman" w:cs="Times New Roman" w:eastAsia="Times New Roman" w:hAnsi="Times New Roman"/>
                  <w:sz w:val="15"/>
                  <w:szCs w:val="15"/>
                  <w:color w:val="3051F2"/>
                </w:rPr>
                <w:t>Corporation and Polestar Automotive China Distribution Co. Ltd.</w:t>
              </w:r>
            </w:hyperlink>
          </w:p>
        </w:tc>
        <w:tc>
          <w:tcPr>
            <w:tcW w:w="4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540" w:type="dxa"/>
            <w:vAlign w:val="bottom"/>
            <w:gridSpan w:val="2"/>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160" w:type="dxa"/>
            <w:vAlign w:val="bottom"/>
            <w:tcBorders>
              <w:right w:val="single" w:sz="8" w:color="3051F2"/>
            </w:tcBorders>
            <w:shd w:val="clear" w:color="auto" w:fill="3051F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46"/>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4.41†</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18">
              <w:r>
                <w:rPr>
                  <w:rFonts w:ascii="Times New Roman" w:cs="Times New Roman" w:eastAsia="Times New Roman" w:hAnsi="Times New Roman"/>
                  <w:sz w:val="15"/>
                  <w:szCs w:val="15"/>
                  <w:color w:val="3051F2"/>
                </w:rPr>
                <w:t>Financial Undertaking Agreement—Investments for Vehicle Assembly, dated as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10.39</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40" w:type="dxa"/>
            <w:vAlign w:val="bottom"/>
            <w:tcBorders>
              <w:top w:val="single" w:sz="8" w:color="3051F2"/>
            </w:tcBorders>
            <w:gridSpan w:val="29"/>
          </w:tcPr>
          <w:p>
            <w:pPr>
              <w:spacing w:after="0" w:line="154" w:lineRule="exact"/>
              <w:rPr>
                <w:rFonts w:ascii="Times New Roman" w:cs="Times New Roman" w:eastAsia="Times New Roman" w:hAnsi="Times New Roman"/>
                <w:sz w:val="15"/>
                <w:szCs w:val="15"/>
                <w:color w:val="3051F2"/>
              </w:rPr>
            </w:pPr>
            <w:hyperlink r:id="rId118">
              <w:r>
                <w:rPr>
                  <w:rFonts w:ascii="Times New Roman" w:cs="Times New Roman" w:eastAsia="Times New Roman" w:hAnsi="Times New Roman"/>
                  <w:sz w:val="15"/>
                  <w:szCs w:val="15"/>
                  <w:color w:val="3051F2"/>
                </w:rPr>
                <w:t>of February 27, 2020, between Zhongjia Automobile Manufacturing (Chengdu)</w:t>
              </w:r>
            </w:hyperlink>
          </w:p>
        </w:tc>
        <w:tc>
          <w:tcPr>
            <w:tcW w:w="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20" w:type="dxa"/>
            <w:vAlign w:val="bottom"/>
            <w:tcBorders>
              <w:top w:val="single" w:sz="8" w:color="3051F2"/>
            </w:tcBorders>
            <w:gridSpan w:val="28"/>
          </w:tcPr>
          <w:p>
            <w:pPr>
              <w:spacing w:after="0" w:line="154" w:lineRule="exact"/>
              <w:rPr>
                <w:rFonts w:ascii="Times New Roman" w:cs="Times New Roman" w:eastAsia="Times New Roman" w:hAnsi="Times New Roman"/>
                <w:sz w:val="15"/>
                <w:szCs w:val="15"/>
                <w:color w:val="3051F2"/>
              </w:rPr>
            </w:pPr>
            <w:hyperlink r:id="rId118">
              <w:r>
                <w:rPr>
                  <w:rFonts w:ascii="Times New Roman" w:cs="Times New Roman" w:eastAsia="Times New Roman" w:hAnsi="Times New Roman"/>
                  <w:sz w:val="15"/>
                  <w:szCs w:val="15"/>
                  <w:color w:val="3051F2"/>
                </w:rPr>
                <w:t>Co., Ltd. and Polestar Automotive China Distribution Co., Ltd.</w:t>
              </w:r>
            </w:hyperlink>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540" w:type="dxa"/>
            <w:vAlign w:val="bottom"/>
            <w:gridSpan w:val="2"/>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4.42†</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19">
              <w:r>
                <w:rPr>
                  <w:rFonts w:ascii="Times New Roman" w:cs="Times New Roman" w:eastAsia="Times New Roman" w:hAnsi="Times New Roman"/>
                  <w:sz w:val="15"/>
                  <w:szCs w:val="15"/>
                  <w:color w:val="3051F2"/>
                </w:rPr>
                <w:t>Service Agreement, dated as of February 2021, between Zhongjia Automobile</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10.40</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bottom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119">
              <w:r>
                <w:rPr>
                  <w:rFonts w:ascii="Times New Roman" w:cs="Times New Roman" w:eastAsia="Times New Roman" w:hAnsi="Times New Roman"/>
                  <w:sz w:val="15"/>
                  <w:szCs w:val="15"/>
                  <w:color w:val="3051F2"/>
                </w:rPr>
                <w:t>Manufacturing (Chengdu) Co., Ltd. and Polestar Automotive China Distribution</w:t>
              </w:r>
            </w:hyperlink>
          </w:p>
        </w:tc>
        <w:tc>
          <w:tcPr>
            <w:tcW w:w="120" w:type="dxa"/>
            <w:vAlign w:val="bottom"/>
            <w:tcBorders>
              <w:bottom w:val="single" w:sz="8" w:color="3051F2"/>
            </w:tcBorders>
            <w:gridSpan w:val="6"/>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80" w:type="dxa"/>
            <w:vAlign w:val="bottom"/>
            <w:tcBorders>
              <w:bottom w:val="single" w:sz="8" w:color="3051F2"/>
            </w:tcBorders>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20" w:type="dxa"/>
            <w:vAlign w:val="bottom"/>
            <w:tcBorders>
              <w:bottom w:val="single" w:sz="8" w:color="3051F2"/>
            </w:tcBorders>
            <w:gridSpan w:val="2"/>
          </w:tcPr>
          <w:p>
            <w:pPr>
              <w:spacing w:after="0" w:line="154" w:lineRule="exact"/>
              <w:rPr>
                <w:rFonts w:ascii="Times New Roman" w:cs="Times New Roman" w:eastAsia="Times New Roman" w:hAnsi="Times New Roman"/>
                <w:sz w:val="15"/>
                <w:szCs w:val="15"/>
                <w:color w:val="3051F2"/>
              </w:rPr>
            </w:pPr>
            <w:hyperlink r:id="rId119">
              <w:r>
                <w:rPr>
                  <w:rFonts w:ascii="Times New Roman" w:cs="Times New Roman" w:eastAsia="Times New Roman" w:hAnsi="Times New Roman"/>
                  <w:sz w:val="15"/>
                  <w:szCs w:val="15"/>
                  <w:color w:val="3051F2"/>
                </w:rPr>
                <w:t>Co. Ltd.</w:t>
              </w:r>
            </w:hyperlink>
          </w:p>
        </w:tc>
        <w:tc>
          <w:tcPr>
            <w:tcW w:w="4560" w:type="dxa"/>
            <w:vAlign w:val="bottom"/>
            <w:gridSpan w:val="29"/>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4.43†</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20">
              <w:r>
                <w:rPr>
                  <w:rFonts w:ascii="Times New Roman" w:cs="Times New Roman" w:eastAsia="Times New Roman" w:hAnsi="Times New Roman"/>
                  <w:sz w:val="15"/>
                  <w:szCs w:val="15"/>
                  <w:color w:val="3051F2"/>
                </w:rPr>
                <w:t>Service Agreement, dated as of April 28, 2021, between Volvo Car Corporation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10.41</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3280" w:type="dxa"/>
            <w:vAlign w:val="bottom"/>
            <w:tcBorders>
              <w:top w:val="single" w:sz="8" w:color="3051F2"/>
              <w:bottom w:val="single" w:sz="8" w:color="3051F2"/>
            </w:tcBorders>
            <w:gridSpan w:val="4"/>
          </w:tcPr>
          <w:p>
            <w:pPr>
              <w:spacing w:after="0" w:line="154" w:lineRule="exact"/>
              <w:rPr>
                <w:rFonts w:ascii="Times New Roman" w:cs="Times New Roman" w:eastAsia="Times New Roman" w:hAnsi="Times New Roman"/>
                <w:sz w:val="15"/>
                <w:szCs w:val="15"/>
                <w:color w:val="3051F2"/>
              </w:rPr>
            </w:pPr>
            <w:hyperlink r:id="rId120">
              <w:r>
                <w:rPr>
                  <w:rFonts w:ascii="Times New Roman" w:cs="Times New Roman" w:eastAsia="Times New Roman" w:hAnsi="Times New Roman"/>
                  <w:sz w:val="15"/>
                  <w:szCs w:val="15"/>
                  <w:color w:val="3051F2"/>
                </w:rPr>
                <w:t>and Polestar Automotive China Distribution Co. Ltd.</w:t>
              </w:r>
            </w:hyperlink>
          </w:p>
        </w:tc>
        <w:tc>
          <w:tcPr>
            <w:tcW w:w="1700" w:type="dxa"/>
            <w:vAlign w:val="bottom"/>
            <w:tcBorders>
              <w:top w:val="single" w:sz="8" w:color="3051F2"/>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4.44†</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21">
              <w:r>
                <w:rPr>
                  <w:rFonts w:ascii="Times New Roman" w:cs="Times New Roman" w:eastAsia="Times New Roman" w:hAnsi="Times New Roman"/>
                  <w:sz w:val="15"/>
                  <w:szCs w:val="15"/>
                  <w:color w:val="3051F2"/>
                </w:rPr>
                <w:t>License Agreement, dated as of December 23, 2020, between Polestar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10.42</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2800" w:type="dxa"/>
            <w:vAlign w:val="bottom"/>
            <w:tcBorders>
              <w:top w:val="single" w:sz="8" w:color="3051F2"/>
              <w:bottom w:val="single" w:sz="8" w:color="3051F2"/>
            </w:tcBorders>
            <w:gridSpan w:val="3"/>
          </w:tcPr>
          <w:p>
            <w:pPr>
              <w:spacing w:after="0" w:line="154" w:lineRule="exact"/>
              <w:rPr>
                <w:rFonts w:ascii="Times New Roman" w:cs="Times New Roman" w:eastAsia="Times New Roman" w:hAnsi="Times New Roman"/>
                <w:sz w:val="15"/>
                <w:szCs w:val="15"/>
                <w:color w:val="3051F2"/>
              </w:rPr>
            </w:pPr>
            <w:hyperlink r:id="rId121">
              <w:r>
                <w:rPr>
                  <w:rFonts w:ascii="Times New Roman" w:cs="Times New Roman" w:eastAsia="Times New Roman" w:hAnsi="Times New Roman"/>
                  <w:sz w:val="15"/>
                  <w:szCs w:val="15"/>
                  <w:color w:val="3051F2"/>
                </w:rPr>
                <w:t>Performance AB and Volvo Car Corporation.</w:t>
              </w:r>
            </w:hyperlink>
          </w:p>
        </w:tc>
        <w:tc>
          <w:tcPr>
            <w:tcW w:w="1540" w:type="dxa"/>
            <w:vAlign w:val="bottom"/>
            <w:tcBorders>
              <w:top w:val="single" w:sz="8" w:color="3051F2"/>
            </w:tcBorders>
            <w:gridSpan w:val="7"/>
          </w:tcPr>
          <w:p>
            <w:pPr>
              <w:spacing w:after="0"/>
              <w:rPr>
                <w:sz w:val="13"/>
                <w:szCs w:val="13"/>
                <w:color w:val="auto"/>
              </w:rPr>
            </w:pPr>
          </w:p>
        </w:tc>
        <w:tc>
          <w:tcPr>
            <w:tcW w:w="480" w:type="dxa"/>
            <w:vAlign w:val="bottom"/>
            <w:gridSpan w:val="8"/>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4.45†</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22">
              <w:r>
                <w:rPr>
                  <w:rFonts w:ascii="Times New Roman" w:cs="Times New Roman" w:eastAsia="Times New Roman" w:hAnsi="Times New Roman"/>
                  <w:sz w:val="15"/>
                  <w:szCs w:val="15"/>
                  <w:color w:val="3051F2"/>
                </w:rPr>
                <w:t>Performance Software Agreement, dated as of January 1, 2020, by and between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10.43</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00" w:type="dxa"/>
            <w:vAlign w:val="bottom"/>
            <w:tcBorders>
              <w:top w:val="single" w:sz="8" w:color="3051F2"/>
            </w:tcBorders>
            <w:gridSpan w:val="27"/>
          </w:tcPr>
          <w:p>
            <w:pPr>
              <w:spacing w:after="0" w:line="154" w:lineRule="exact"/>
              <w:rPr>
                <w:rFonts w:ascii="Times New Roman" w:cs="Times New Roman" w:eastAsia="Times New Roman" w:hAnsi="Times New Roman"/>
                <w:sz w:val="15"/>
                <w:szCs w:val="15"/>
                <w:color w:val="3051F2"/>
              </w:rPr>
            </w:pPr>
            <w:hyperlink r:id="rId122">
              <w:r>
                <w:rPr>
                  <w:rFonts w:ascii="Times New Roman" w:cs="Times New Roman" w:eastAsia="Times New Roman" w:hAnsi="Times New Roman"/>
                  <w:sz w:val="15"/>
                  <w:szCs w:val="15"/>
                  <w:color w:val="3051F2"/>
                </w:rPr>
                <w:t>Volvo Car Corporation and Polestar Performance AB.</w:t>
              </w:r>
            </w:hyperlink>
          </w:p>
        </w:tc>
        <w:tc>
          <w:tcPr>
            <w:tcW w:w="8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060" w:type="dxa"/>
            <w:vAlign w:val="bottom"/>
            <w:gridSpan w:val="4"/>
            <w:shd w:val="clear" w:color="auto" w:fill="3051F2"/>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4.46†</w:t>
            </w:r>
          </w:p>
        </w:tc>
        <w:tc>
          <w:tcPr>
            <w:tcW w:w="5080" w:type="dxa"/>
            <w:vAlign w:val="bottom"/>
            <w:gridSpan w:val="31"/>
          </w:tcPr>
          <w:p>
            <w:pPr>
              <w:spacing w:after="0"/>
              <w:rPr>
                <w:rFonts w:ascii="Times New Roman" w:cs="Times New Roman" w:eastAsia="Times New Roman" w:hAnsi="Times New Roman"/>
                <w:sz w:val="15"/>
                <w:szCs w:val="15"/>
                <w:color w:val="3051F2"/>
              </w:rPr>
            </w:pPr>
            <w:hyperlink r:id="rId123">
              <w:r>
                <w:rPr>
                  <w:rFonts w:ascii="Times New Roman" w:cs="Times New Roman" w:eastAsia="Times New Roman" w:hAnsi="Times New Roman"/>
                  <w:sz w:val="15"/>
                  <w:szCs w:val="15"/>
                  <w:color w:val="3051F2"/>
                </w:rPr>
                <w:t>Financial Undertaking Agreement—Investments for Vehicle Assembly, dated as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10.44</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40" w:type="dxa"/>
            <w:vAlign w:val="bottom"/>
            <w:tcBorders>
              <w:top w:val="single" w:sz="8" w:color="3051F2"/>
            </w:tcBorders>
            <w:gridSpan w:val="29"/>
          </w:tcPr>
          <w:p>
            <w:pPr>
              <w:spacing w:after="0" w:line="154" w:lineRule="exact"/>
              <w:rPr>
                <w:rFonts w:ascii="Times New Roman" w:cs="Times New Roman" w:eastAsia="Times New Roman" w:hAnsi="Times New Roman"/>
                <w:sz w:val="15"/>
                <w:szCs w:val="15"/>
                <w:color w:val="3051F2"/>
              </w:rPr>
            </w:pPr>
            <w:hyperlink r:id="rId123">
              <w:r>
                <w:rPr>
                  <w:rFonts w:ascii="Times New Roman" w:cs="Times New Roman" w:eastAsia="Times New Roman" w:hAnsi="Times New Roman"/>
                  <w:sz w:val="15"/>
                  <w:szCs w:val="15"/>
                  <w:color w:val="3051F2"/>
                </w:rPr>
                <w:t>of March 17, 2021, between Volvo Car Corporation and Polestar Performance</w:t>
              </w:r>
            </w:hyperlink>
          </w:p>
        </w:tc>
        <w:tc>
          <w:tcPr>
            <w:tcW w:w="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60" w:type="dxa"/>
            <w:vAlign w:val="bottom"/>
            <w:tcBorders>
              <w:top w:val="single" w:sz="8" w:color="3051F2"/>
              <w:bottom w:val="single" w:sz="8" w:color="3051F2"/>
            </w:tcBorders>
          </w:tcPr>
          <w:p>
            <w:pPr>
              <w:spacing w:after="0" w:line="154" w:lineRule="exact"/>
              <w:rPr>
                <w:rFonts w:ascii="Times New Roman" w:cs="Times New Roman" w:eastAsia="Times New Roman" w:hAnsi="Times New Roman"/>
                <w:sz w:val="15"/>
                <w:szCs w:val="15"/>
                <w:color w:val="3051F2"/>
                <w:w w:val="97"/>
              </w:rPr>
            </w:pPr>
            <w:hyperlink r:id="rId123">
              <w:r>
                <w:rPr>
                  <w:rFonts w:ascii="Times New Roman" w:cs="Times New Roman" w:eastAsia="Times New Roman" w:hAnsi="Times New Roman"/>
                  <w:sz w:val="15"/>
                  <w:szCs w:val="15"/>
                  <w:color w:val="3051F2"/>
                  <w:w w:val="97"/>
                </w:rPr>
                <w:t>AB.</w:t>
              </w:r>
            </w:hyperlink>
          </w:p>
        </w:tc>
        <w:tc>
          <w:tcPr>
            <w:tcW w:w="4560" w:type="dxa"/>
            <w:vAlign w:val="bottom"/>
            <w:tcBorders>
              <w:top w:val="single" w:sz="8" w:color="3051F2"/>
            </w:tcBorders>
            <w:gridSpan w:val="17"/>
          </w:tcPr>
          <w:p>
            <w:pPr>
              <w:spacing w:after="0"/>
              <w:rPr>
                <w:sz w:val="13"/>
                <w:szCs w:val="13"/>
                <w:color w:val="auto"/>
              </w:rPr>
            </w:pPr>
          </w:p>
        </w:tc>
        <w:tc>
          <w:tcPr>
            <w:tcW w:w="260" w:type="dxa"/>
            <w:vAlign w:val="bottom"/>
            <w:gridSpan w:val="1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778"/>
        </w:trPr>
        <w:tc>
          <w:tcPr>
            <w:tcW w:w="920" w:type="dxa"/>
            <w:vAlign w:val="bottom"/>
          </w:tcPr>
          <w:p>
            <w:pPr>
              <w:spacing w:after="0"/>
              <w:rPr>
                <w:sz w:val="24"/>
                <w:szCs w:val="24"/>
                <w:color w:val="auto"/>
              </w:rPr>
            </w:pPr>
          </w:p>
        </w:tc>
        <w:tc>
          <w:tcPr>
            <w:tcW w:w="4800" w:type="dxa"/>
            <w:vAlign w:val="bottom"/>
            <w:gridSpan w:val="17"/>
          </w:tcPr>
          <w:p>
            <w:pPr>
              <w:ind w:left="4620"/>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8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4.47†</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26">
              <w:r>
                <w:rPr>
                  <w:rFonts w:ascii="Times New Roman" w:cs="Times New Roman" w:eastAsia="Times New Roman" w:hAnsi="Times New Roman"/>
                  <w:sz w:val="15"/>
                  <w:szCs w:val="15"/>
                  <w:color w:val="3051F2"/>
                </w:rPr>
                <w:t>Financial Undertaking Agreement—Investments for Vehicle Assembly, dated as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10.45</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29"/>
          </w:tcPr>
          <w:p>
            <w:pPr>
              <w:spacing w:after="0" w:line="154" w:lineRule="exact"/>
              <w:rPr>
                <w:rFonts w:ascii="Times New Roman" w:cs="Times New Roman" w:eastAsia="Times New Roman" w:hAnsi="Times New Roman"/>
                <w:sz w:val="15"/>
                <w:szCs w:val="15"/>
                <w:color w:val="3051F2"/>
              </w:rPr>
            </w:pPr>
            <w:hyperlink r:id="rId126">
              <w:r>
                <w:rPr>
                  <w:rFonts w:ascii="Times New Roman" w:cs="Times New Roman" w:eastAsia="Times New Roman" w:hAnsi="Times New Roman"/>
                  <w:sz w:val="15"/>
                  <w:szCs w:val="15"/>
                  <w:color w:val="3051F2"/>
                </w:rPr>
                <w:t>of March 23, 2021, between Volvo Car Corporation and Polestar Performance</w:t>
              </w:r>
            </w:hyperlink>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0" w:type="dxa"/>
            <w:vAlign w:val="bottom"/>
            <w:tcBorders>
              <w:top w:val="single" w:sz="8" w:color="3051F2"/>
              <w:bottom w:val="single" w:sz="8" w:color="3051F2"/>
            </w:tcBorders>
          </w:tcPr>
          <w:p>
            <w:pPr>
              <w:spacing w:after="0" w:line="154" w:lineRule="exact"/>
              <w:rPr>
                <w:rFonts w:ascii="Times New Roman" w:cs="Times New Roman" w:eastAsia="Times New Roman" w:hAnsi="Times New Roman"/>
                <w:sz w:val="15"/>
                <w:szCs w:val="15"/>
                <w:color w:val="3051F2"/>
                <w:w w:val="97"/>
              </w:rPr>
            </w:pPr>
            <w:hyperlink r:id="rId126">
              <w:r>
                <w:rPr>
                  <w:rFonts w:ascii="Times New Roman" w:cs="Times New Roman" w:eastAsia="Times New Roman" w:hAnsi="Times New Roman"/>
                  <w:sz w:val="15"/>
                  <w:szCs w:val="15"/>
                  <w:color w:val="3051F2"/>
                  <w:w w:val="97"/>
                </w:rPr>
                <w:t>AB.</w:t>
              </w:r>
            </w:hyperlink>
          </w:p>
        </w:tc>
        <w:tc>
          <w:tcPr>
            <w:tcW w:w="4560" w:type="dxa"/>
            <w:vAlign w:val="bottom"/>
            <w:tcBorders>
              <w:top w:val="single" w:sz="8" w:color="3051F2"/>
            </w:tcBorders>
            <w:gridSpan w:val="2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4.48†</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27">
              <w:r>
                <w:rPr>
                  <w:rFonts w:ascii="Times New Roman" w:cs="Times New Roman" w:eastAsia="Times New Roman" w:hAnsi="Times New Roman"/>
                  <w:sz w:val="15"/>
                  <w:szCs w:val="15"/>
                  <w:color w:val="3051F2"/>
                </w:rPr>
                <w:t>Service Agreement, dated as of March 24,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10.46</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80" w:type="dxa"/>
            <w:vAlign w:val="bottom"/>
            <w:tcBorders>
              <w:top w:val="single" w:sz="8" w:color="3051F2"/>
              <w:bottom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127">
              <w:r>
                <w:rPr>
                  <w:rFonts w:ascii="Times New Roman" w:cs="Times New Roman" w:eastAsia="Times New Roman" w:hAnsi="Times New Roman"/>
                  <w:sz w:val="15"/>
                  <w:szCs w:val="15"/>
                  <w:color w:val="3051F2"/>
                </w:rPr>
                <w:t>Corporation and Polestar Performance AB.</w:t>
              </w:r>
            </w:hyperlink>
          </w:p>
        </w:tc>
        <w:tc>
          <w:tcPr>
            <w:tcW w:w="1540" w:type="dxa"/>
            <w:vAlign w:val="bottom"/>
            <w:tcBorders>
              <w:top w:val="single" w:sz="8" w:color="3051F2"/>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4.49†</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28">
              <w:r>
                <w:rPr>
                  <w:rFonts w:ascii="Times New Roman" w:cs="Times New Roman" w:eastAsia="Times New Roman" w:hAnsi="Times New Roman"/>
                  <w:sz w:val="15"/>
                  <w:szCs w:val="15"/>
                  <w:color w:val="3051F2"/>
                </w:rPr>
                <w:t>Service Agreement, dated as of November 27,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10.47</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80" w:type="dxa"/>
            <w:vAlign w:val="bottom"/>
            <w:tcBorders>
              <w:top w:val="single" w:sz="8" w:color="3051F2"/>
              <w:bottom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128">
              <w:r>
                <w:rPr>
                  <w:rFonts w:ascii="Times New Roman" w:cs="Times New Roman" w:eastAsia="Times New Roman" w:hAnsi="Times New Roman"/>
                  <w:sz w:val="15"/>
                  <w:szCs w:val="15"/>
                  <w:color w:val="3051F2"/>
                </w:rPr>
                <w:t>Corporation and Polestar Performance AB.</w:t>
              </w:r>
            </w:hyperlink>
          </w:p>
        </w:tc>
        <w:tc>
          <w:tcPr>
            <w:tcW w:w="1780" w:type="dxa"/>
            <w:vAlign w:val="bottom"/>
            <w:tcBorders>
              <w:top w:val="single" w:sz="8" w:color="3051F2"/>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4.50†</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29">
              <w:r>
                <w:rPr>
                  <w:rFonts w:ascii="Times New Roman" w:cs="Times New Roman" w:eastAsia="Times New Roman" w:hAnsi="Times New Roman"/>
                  <w:sz w:val="15"/>
                  <w:szCs w:val="15"/>
                  <w:color w:val="3051F2"/>
                </w:rPr>
                <w:t>Service Agreement, dated as of January 18, 2021, between Ningbo Geely</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10.48</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540" w:type="dxa"/>
            <w:vAlign w:val="bottom"/>
            <w:tcBorders>
              <w:top w:val="single" w:sz="8" w:color="3051F2"/>
              <w:bottom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129">
              <w:r>
                <w:rPr>
                  <w:rFonts w:ascii="Times New Roman" w:cs="Times New Roman" w:eastAsia="Times New Roman" w:hAnsi="Times New Roman"/>
                  <w:sz w:val="15"/>
                  <w:szCs w:val="15"/>
                  <w:color w:val="3051F2"/>
                </w:rPr>
                <w:t>Automobile Research &amp; Development Co., Ltd. and Polestar Performance</w:t>
              </w:r>
            </w:hyperlink>
          </w:p>
        </w:tc>
        <w:tc>
          <w:tcPr>
            <w:tcW w:w="20" w:type="dxa"/>
            <w:vAlign w:val="bottom"/>
            <w:tcBorders>
              <w:bottom w:val="single" w:sz="8" w:color="3051F2"/>
            </w:tcBorders>
          </w:tcPr>
          <w:p>
            <w:pPr>
              <w:spacing w:after="0"/>
              <w:rPr>
                <w:sz w:val="13"/>
                <w:szCs w:val="13"/>
                <w:color w:val="auto"/>
              </w:rPr>
            </w:pPr>
          </w:p>
        </w:tc>
        <w:tc>
          <w:tcPr>
            <w:tcW w:w="320" w:type="dxa"/>
            <w:vAlign w:val="bottom"/>
            <w:tcBorders>
              <w:bottom w:val="single" w:sz="8" w:color="3051F2"/>
            </w:tcBorders>
            <w:gridSpan w:val="5"/>
          </w:tcPr>
          <w:p>
            <w:pPr>
              <w:ind w:left="60"/>
              <w:spacing w:after="0" w:line="154" w:lineRule="exact"/>
              <w:rPr>
                <w:rFonts w:ascii="Times New Roman" w:cs="Times New Roman" w:eastAsia="Times New Roman" w:hAnsi="Times New Roman"/>
                <w:sz w:val="15"/>
                <w:szCs w:val="15"/>
                <w:color w:val="3051F2"/>
                <w:w w:val="97"/>
              </w:rPr>
            </w:pPr>
            <w:hyperlink r:id="rId129">
              <w:r>
                <w:rPr>
                  <w:rFonts w:ascii="Times New Roman" w:cs="Times New Roman" w:eastAsia="Times New Roman" w:hAnsi="Times New Roman"/>
                  <w:sz w:val="15"/>
                  <w:szCs w:val="15"/>
                  <w:color w:val="3051F2"/>
                  <w:w w:val="97"/>
                </w:rPr>
                <w:t>AB.</w:t>
              </w:r>
            </w:hyperlink>
          </w:p>
        </w:tc>
        <w:tc>
          <w:tcPr>
            <w:tcW w:w="20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4.51†</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0">
              <w:r>
                <w:rPr>
                  <w:rFonts w:ascii="Times New Roman" w:cs="Times New Roman" w:eastAsia="Times New Roman" w:hAnsi="Times New Roman"/>
                  <w:sz w:val="15"/>
                  <w:szCs w:val="15"/>
                  <w:color w:val="3051F2"/>
                </w:rPr>
                <w:t>Service Agreement, dated as of January 28,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10.49</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280" w:type="dxa"/>
            <w:vAlign w:val="bottom"/>
            <w:tcBorders>
              <w:top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130">
              <w:r>
                <w:rPr>
                  <w:rFonts w:ascii="Times New Roman" w:cs="Times New Roman" w:eastAsia="Times New Roman" w:hAnsi="Times New Roman"/>
                  <w:sz w:val="15"/>
                  <w:szCs w:val="15"/>
                  <w:color w:val="3051F2"/>
                </w:rPr>
                <w:t>Corporation and Polestar Performance AB.</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4.52†</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1">
              <w:r>
                <w:rPr>
                  <w:rFonts w:ascii="Times New Roman" w:cs="Times New Roman" w:eastAsia="Times New Roman" w:hAnsi="Times New Roman"/>
                  <w:sz w:val="15"/>
                  <w:szCs w:val="15"/>
                  <w:color w:val="3051F2"/>
                </w:rPr>
                <w:t>Service Agreement, dated as of September 4,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10.50</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400" w:type="dxa"/>
            <w:vAlign w:val="bottom"/>
            <w:tcBorders>
              <w:top w:val="single" w:sz="8" w:color="3051F2"/>
            </w:tcBorders>
            <w:gridSpan w:val="16"/>
          </w:tcPr>
          <w:p>
            <w:pPr>
              <w:spacing w:after="0" w:line="154" w:lineRule="exact"/>
              <w:rPr>
                <w:rFonts w:ascii="Times New Roman" w:cs="Times New Roman" w:eastAsia="Times New Roman" w:hAnsi="Times New Roman"/>
                <w:sz w:val="15"/>
                <w:szCs w:val="15"/>
                <w:color w:val="3051F2"/>
              </w:rPr>
            </w:pPr>
            <w:hyperlink r:id="rId131">
              <w:r>
                <w:rPr>
                  <w:rFonts w:ascii="Times New Roman" w:cs="Times New Roman" w:eastAsia="Times New Roman" w:hAnsi="Times New Roman"/>
                  <w:sz w:val="15"/>
                  <w:szCs w:val="15"/>
                  <w:color w:val="3051F2"/>
                </w:rPr>
                <w:t>Corporation and Polestar Performance AB.</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spacing w:after="0" w:line="20" w:lineRule="exact"/>
              <w:rPr>
                <w:sz w:val="1"/>
                <w:szCs w:val="1"/>
                <w:color w:val="auto"/>
              </w:rPr>
            </w:pPr>
          </w:p>
        </w:tc>
        <w:tc>
          <w:tcPr>
            <w:tcW w:w="372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4.53†</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2">
              <w:r>
                <w:rPr>
                  <w:rFonts w:ascii="Times New Roman" w:cs="Times New Roman" w:eastAsia="Times New Roman" w:hAnsi="Times New Roman"/>
                  <w:sz w:val="15"/>
                  <w:szCs w:val="15"/>
                  <w:color w:val="3051F2"/>
                </w:rPr>
                <w:t>Service Agreement, dated as of September 4, 2020, between Polestar</w:t>
              </w:r>
            </w:hyperlink>
          </w:p>
        </w:tc>
        <w:tc>
          <w:tcPr>
            <w:tcW w:w="700" w:type="dxa"/>
            <w:vAlign w:val="bottom"/>
            <w:gridSpan w:val="2"/>
            <w:vMerge w:val="continue"/>
          </w:tcPr>
          <w:p>
            <w:pPr>
              <w:spacing w:after="0"/>
              <w:rPr>
                <w:sz w:val="24"/>
                <w:szCs w:val="24"/>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10.52</w:t>
            </w:r>
          </w:p>
        </w:tc>
        <w:tc>
          <w:tcPr>
            <w:tcW w:w="3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260" w:type="dxa"/>
            <w:vAlign w:val="bottom"/>
            <w:tcBorders>
              <w:top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32">
              <w:r>
                <w:rPr>
                  <w:rFonts w:ascii="Times New Roman" w:cs="Times New Roman" w:eastAsia="Times New Roman" w:hAnsi="Times New Roman"/>
                  <w:sz w:val="15"/>
                  <w:szCs w:val="15"/>
                  <w:color w:val="3051F2"/>
                </w:rPr>
                <w:t>Performance AB and Volvo Bil i Göteborg AB.</w:t>
              </w:r>
            </w:hyperlink>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520" w:type="dxa"/>
            <w:vAlign w:val="bottom"/>
            <w:gridSpan w:val="3"/>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4.54†</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3">
              <w:r>
                <w:rPr>
                  <w:rFonts w:ascii="Times New Roman" w:cs="Times New Roman" w:eastAsia="Times New Roman" w:hAnsi="Times New Roman"/>
                  <w:sz w:val="15"/>
                  <w:szCs w:val="15"/>
                  <w:color w:val="3051F2"/>
                </w:rPr>
                <w:t>License Agreement, dated as of December 6,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10.53</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700" w:type="dxa"/>
            <w:vAlign w:val="bottom"/>
            <w:gridSpan w:val="4"/>
            <w:shd w:val="clear" w:color="auto" w:fill="3051F2"/>
          </w:tcPr>
          <w:p>
            <w:pPr>
              <w:spacing w:after="0" w:line="20" w:lineRule="exact"/>
              <w:rPr>
                <w:sz w:val="1"/>
                <w:szCs w:val="1"/>
                <w:color w:val="auto"/>
              </w:rPr>
            </w:pPr>
          </w:p>
        </w:tc>
        <w:tc>
          <w:tcPr>
            <w:tcW w:w="1140" w:type="dxa"/>
            <w:vAlign w:val="bottom"/>
            <w:gridSpan w:val="3"/>
            <w:shd w:val="clear" w:color="auto" w:fill="3051F2"/>
          </w:tcPr>
          <w:p>
            <w:pPr>
              <w:spacing w:after="0" w:line="20" w:lineRule="exact"/>
              <w:rPr>
                <w:sz w:val="1"/>
                <w:szCs w:val="1"/>
                <w:color w:val="auto"/>
              </w:rPr>
            </w:pPr>
          </w:p>
        </w:tc>
        <w:tc>
          <w:tcPr>
            <w:tcW w:w="140" w:type="dxa"/>
            <w:vAlign w:val="bottom"/>
            <w:tcBorders>
              <w:right w:val="single" w:sz="8" w:color="3051F2"/>
            </w:tcBorders>
            <w:gridSpan w:val="3"/>
            <w:shd w:val="clear" w:color="auto" w:fill="3051F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133">
              <w:r>
                <w:rPr>
                  <w:rFonts w:ascii="Times New Roman" w:cs="Times New Roman" w:eastAsia="Times New Roman" w:hAnsi="Times New Roman"/>
                  <w:sz w:val="15"/>
                  <w:szCs w:val="15"/>
                  <w:color w:val="3051F2"/>
                </w:rPr>
                <w:t>Corporation and Polestar Performance AB, as amended by the Amendment</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66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33">
              <w:r>
                <w:rPr>
                  <w:rFonts w:ascii="Times New Roman" w:cs="Times New Roman" w:eastAsia="Times New Roman" w:hAnsi="Times New Roman"/>
                  <w:sz w:val="15"/>
                  <w:szCs w:val="15"/>
                  <w:color w:val="3051F2"/>
                </w:rPr>
                <w:t>Agreement, dated as of June 30, 2021, between Volvo Car Corporation and</w:t>
              </w:r>
            </w:hyperlink>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1620" w:type="dxa"/>
            <w:vAlign w:val="bottom"/>
            <w:tcBorders>
              <w:top w:val="single" w:sz="8" w:color="3051F2"/>
              <w:bottom w:val="single" w:sz="8" w:color="3051F2"/>
            </w:tcBorders>
            <w:gridSpan w:val="4"/>
          </w:tcPr>
          <w:p>
            <w:pPr>
              <w:spacing w:after="0" w:line="154" w:lineRule="exact"/>
              <w:rPr>
                <w:rFonts w:ascii="Times New Roman" w:cs="Times New Roman" w:eastAsia="Times New Roman" w:hAnsi="Times New Roman"/>
                <w:sz w:val="15"/>
                <w:szCs w:val="15"/>
                <w:color w:val="3051F2"/>
              </w:rPr>
            </w:pPr>
            <w:hyperlink r:id="rId133">
              <w:r>
                <w:rPr>
                  <w:rFonts w:ascii="Times New Roman" w:cs="Times New Roman" w:eastAsia="Times New Roman" w:hAnsi="Times New Roman"/>
                  <w:sz w:val="15"/>
                  <w:szCs w:val="15"/>
                  <w:color w:val="3051F2"/>
                </w:rPr>
                <w:t>Polestar Performance AB.</w:t>
              </w:r>
            </w:hyperlink>
          </w:p>
        </w:tc>
        <w:tc>
          <w:tcPr>
            <w:tcW w:w="3020" w:type="dxa"/>
            <w:vAlign w:val="bottom"/>
            <w:tcBorders>
              <w:top w:val="single" w:sz="8" w:color="3051F2"/>
            </w:tcBorders>
            <w:gridSpan w:val="18"/>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4.55†</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4">
              <w:r>
                <w:rPr>
                  <w:rFonts w:ascii="Times New Roman" w:cs="Times New Roman" w:eastAsia="Times New Roman" w:hAnsi="Times New Roman"/>
                  <w:sz w:val="15"/>
                  <w:szCs w:val="15"/>
                  <w:color w:val="3051F2"/>
                </w:rPr>
                <w:t>Service Agreement, dated as of December 6,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10.54</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80" w:type="dxa"/>
            <w:vAlign w:val="bottom"/>
            <w:tcBorders>
              <w:top w:val="single" w:sz="8" w:color="3051F2"/>
              <w:bottom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134">
              <w:r>
                <w:rPr>
                  <w:rFonts w:ascii="Times New Roman" w:cs="Times New Roman" w:eastAsia="Times New Roman" w:hAnsi="Times New Roman"/>
                  <w:sz w:val="15"/>
                  <w:szCs w:val="15"/>
                  <w:color w:val="3051F2"/>
                </w:rPr>
                <w:t>Corporation and Polestar Performance AB.</w:t>
              </w:r>
            </w:hyperlink>
          </w:p>
        </w:tc>
        <w:tc>
          <w:tcPr>
            <w:tcW w:w="1700" w:type="dxa"/>
            <w:vAlign w:val="bottom"/>
            <w:tcBorders>
              <w:top w:val="single" w:sz="8" w:color="3051F2"/>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4.56†</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5">
              <w:r>
                <w:rPr>
                  <w:rFonts w:ascii="Times New Roman" w:cs="Times New Roman" w:eastAsia="Times New Roman" w:hAnsi="Times New Roman"/>
                  <w:sz w:val="15"/>
                  <w:szCs w:val="15"/>
                  <w:color w:val="3051F2"/>
                </w:rPr>
                <w:t>Service Agreement, dated as of March 24, 2020, between Volvo Car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10.55</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80" w:type="dxa"/>
            <w:vAlign w:val="bottom"/>
            <w:tcBorders>
              <w:top w:val="single" w:sz="8" w:color="3051F2"/>
              <w:bottom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135">
              <w:r>
                <w:rPr>
                  <w:rFonts w:ascii="Times New Roman" w:cs="Times New Roman" w:eastAsia="Times New Roman" w:hAnsi="Times New Roman"/>
                  <w:sz w:val="15"/>
                  <w:szCs w:val="15"/>
                  <w:color w:val="3051F2"/>
                </w:rPr>
                <w:t>Corporation and Polestar Performance AB.</w:t>
              </w:r>
            </w:hyperlink>
          </w:p>
        </w:tc>
        <w:tc>
          <w:tcPr>
            <w:tcW w:w="1540" w:type="dxa"/>
            <w:vAlign w:val="bottom"/>
            <w:tcBorders>
              <w:top w:val="single" w:sz="8" w:color="3051F2"/>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4.57†</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6">
              <w:r>
                <w:rPr>
                  <w:rFonts w:ascii="Times New Roman" w:cs="Times New Roman" w:eastAsia="Times New Roman" w:hAnsi="Times New Roman"/>
                  <w:sz w:val="15"/>
                  <w:szCs w:val="15"/>
                  <w:color w:val="3051F2"/>
                </w:rPr>
                <w:t>Service Agreement, dated as of January 19, 2021, between Volvo Car UK</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10.56</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560" w:type="dxa"/>
            <w:vAlign w:val="bottom"/>
            <w:tcBorders>
              <w:top w:val="single" w:sz="8" w:color="3051F2"/>
            </w:tcBorders>
            <w:gridSpan w:val="21"/>
          </w:tcPr>
          <w:p>
            <w:pPr>
              <w:spacing w:after="0" w:line="154" w:lineRule="exact"/>
              <w:rPr>
                <w:rFonts w:ascii="Times New Roman" w:cs="Times New Roman" w:eastAsia="Times New Roman" w:hAnsi="Times New Roman"/>
                <w:sz w:val="15"/>
                <w:szCs w:val="15"/>
                <w:color w:val="3051F2"/>
              </w:rPr>
            </w:pPr>
            <w:hyperlink r:id="rId136">
              <w:r>
                <w:rPr>
                  <w:rFonts w:ascii="Times New Roman" w:cs="Times New Roman" w:eastAsia="Times New Roman" w:hAnsi="Times New Roman"/>
                  <w:sz w:val="15"/>
                  <w:szCs w:val="15"/>
                  <w:color w:val="3051F2"/>
                </w:rPr>
                <w:t>Limited and Polestar Performance AB.</w:t>
              </w:r>
            </w:hyperlink>
          </w:p>
        </w:tc>
        <w:tc>
          <w:tcPr>
            <w:tcW w:w="2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20" w:type="dxa"/>
            <w:vAlign w:val="bottom"/>
            <w:gridSpan w:val="2"/>
            <w:shd w:val="clear" w:color="auto" w:fill="3051F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4.58†</w:t>
            </w:r>
          </w:p>
        </w:tc>
        <w:tc>
          <w:tcPr>
            <w:tcW w:w="4420" w:type="dxa"/>
            <w:vAlign w:val="bottom"/>
            <w:tcBorders>
              <w:bottom w:val="single" w:sz="8" w:color="3051F2"/>
            </w:tcBorders>
            <w:gridSpan w:val="17"/>
          </w:tcPr>
          <w:p>
            <w:pPr>
              <w:spacing w:after="0"/>
              <w:rPr>
                <w:rFonts w:ascii="Times New Roman" w:cs="Times New Roman" w:eastAsia="Times New Roman" w:hAnsi="Times New Roman"/>
                <w:sz w:val="15"/>
                <w:szCs w:val="15"/>
                <w:color w:val="3051F2"/>
              </w:rPr>
            </w:pPr>
            <w:hyperlink r:id="rId137">
              <w:r>
                <w:rPr>
                  <w:rFonts w:ascii="Times New Roman" w:cs="Times New Roman" w:eastAsia="Times New Roman" w:hAnsi="Times New Roman"/>
                  <w:sz w:val="15"/>
                  <w:szCs w:val="15"/>
                  <w:color w:val="3051F2"/>
                </w:rPr>
                <w:t>European CO2 Emission Credits 2020 Payment Agreement, dated as of</w:t>
              </w:r>
            </w:hyperlink>
          </w:p>
        </w:tc>
        <w:tc>
          <w:tcPr>
            <w:tcW w:w="660" w:type="dxa"/>
            <w:vAlign w:val="bottom"/>
            <w:gridSpan w:val="13"/>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10.57</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137">
              <w:r>
                <w:rPr>
                  <w:rFonts w:ascii="Times New Roman" w:cs="Times New Roman" w:eastAsia="Times New Roman" w:hAnsi="Times New Roman"/>
                  <w:sz w:val="15"/>
                  <w:szCs w:val="15"/>
                  <w:color w:val="3051F2"/>
                </w:rPr>
                <w:t>November 27, 2020, between Volvo Car Corporation and Polestar Performance</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0" w:type="dxa"/>
            <w:vAlign w:val="bottom"/>
            <w:tcBorders>
              <w:top w:val="single" w:sz="8" w:color="3051F2"/>
              <w:bottom w:val="single" w:sz="8" w:color="3051F2"/>
            </w:tcBorders>
          </w:tcPr>
          <w:p>
            <w:pPr>
              <w:spacing w:after="0" w:line="154" w:lineRule="exact"/>
              <w:rPr>
                <w:rFonts w:ascii="Times New Roman" w:cs="Times New Roman" w:eastAsia="Times New Roman" w:hAnsi="Times New Roman"/>
                <w:sz w:val="15"/>
                <w:szCs w:val="15"/>
                <w:color w:val="3051F2"/>
                <w:w w:val="97"/>
              </w:rPr>
            </w:pPr>
            <w:hyperlink r:id="rId137">
              <w:r>
                <w:rPr>
                  <w:rFonts w:ascii="Times New Roman" w:cs="Times New Roman" w:eastAsia="Times New Roman" w:hAnsi="Times New Roman"/>
                  <w:sz w:val="15"/>
                  <w:szCs w:val="15"/>
                  <w:color w:val="3051F2"/>
                  <w:w w:val="97"/>
                </w:rPr>
                <w:t>AB.</w:t>
              </w:r>
            </w:hyperlink>
          </w:p>
        </w:tc>
        <w:tc>
          <w:tcPr>
            <w:tcW w:w="4640" w:type="dxa"/>
            <w:vAlign w:val="bottom"/>
            <w:tcBorders>
              <w:top w:val="single" w:sz="8" w:color="3051F2"/>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4.59†</w:t>
            </w:r>
          </w:p>
        </w:tc>
        <w:tc>
          <w:tcPr>
            <w:tcW w:w="4240" w:type="dxa"/>
            <w:vAlign w:val="bottom"/>
            <w:tcBorders>
              <w:bottom w:val="single" w:sz="8" w:color="3051F2"/>
            </w:tcBorders>
            <w:gridSpan w:val="12"/>
          </w:tcPr>
          <w:p>
            <w:pPr>
              <w:spacing w:after="0"/>
              <w:rPr>
                <w:rFonts w:ascii="Times New Roman" w:cs="Times New Roman" w:eastAsia="Times New Roman" w:hAnsi="Times New Roman"/>
                <w:sz w:val="15"/>
                <w:szCs w:val="15"/>
                <w:color w:val="3051F2"/>
              </w:rPr>
            </w:pPr>
            <w:hyperlink r:id="rId138">
              <w:r>
                <w:rPr>
                  <w:rFonts w:ascii="Times New Roman" w:cs="Times New Roman" w:eastAsia="Times New Roman" w:hAnsi="Times New Roman"/>
                  <w:sz w:val="15"/>
                  <w:szCs w:val="15"/>
                  <w:color w:val="3051F2"/>
                </w:rPr>
                <w:t>Parts Supply and License Agreement Polestar Aftermarket Parts and</w:t>
              </w:r>
            </w:hyperlink>
          </w:p>
        </w:tc>
        <w:tc>
          <w:tcPr>
            <w:tcW w:w="840" w:type="dxa"/>
            <w:vAlign w:val="bottom"/>
            <w:gridSpan w:val="18"/>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10.58</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138">
              <w:r>
                <w:rPr>
                  <w:rFonts w:ascii="Times New Roman" w:cs="Times New Roman" w:eastAsia="Times New Roman" w:hAnsi="Times New Roman"/>
                  <w:sz w:val="15"/>
                  <w:szCs w:val="15"/>
                  <w:color w:val="3051F2"/>
                </w:rPr>
                <w:t>Accessories (CHINA), dated as of November 22, 2021, between Polestar</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520" w:type="dxa"/>
            <w:vAlign w:val="bottom"/>
            <w:gridSpan w:val="6"/>
            <w:shd w:val="clear" w:color="auto" w:fill="3051F2"/>
          </w:tcPr>
          <w:p>
            <w:pPr>
              <w:spacing w:after="0" w:line="20" w:lineRule="exact"/>
              <w:rPr>
                <w:sz w:val="1"/>
                <w:szCs w:val="1"/>
                <w:color w:val="auto"/>
              </w:rPr>
            </w:pPr>
          </w:p>
        </w:tc>
        <w:tc>
          <w:tcPr>
            <w:tcW w:w="1320" w:type="dxa"/>
            <w:vAlign w:val="bottom"/>
            <w:gridSpan w:val="8"/>
            <w:shd w:val="clear" w:color="auto" w:fill="3051F2"/>
          </w:tcPr>
          <w:p>
            <w:pPr>
              <w:spacing w:after="0" w:line="20" w:lineRule="exact"/>
              <w:rPr>
                <w:sz w:val="1"/>
                <w:szCs w:val="1"/>
                <w:color w:val="auto"/>
              </w:rPr>
            </w:pPr>
          </w:p>
        </w:tc>
        <w:tc>
          <w:tcPr>
            <w:tcW w:w="80" w:type="dxa"/>
            <w:vAlign w:val="bottom"/>
            <w:gridSpan w:val="2"/>
            <w:shd w:val="clear" w:color="auto" w:fill="3051F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138">
              <w:r>
                <w:rPr>
                  <w:rFonts w:ascii="Times New Roman" w:cs="Times New Roman" w:eastAsia="Times New Roman" w:hAnsi="Times New Roman"/>
                  <w:sz w:val="15"/>
                  <w:szCs w:val="15"/>
                  <w:color w:val="3051F2"/>
                </w:rPr>
                <w:t>Automotive China Distribution Co., Ltd and Volvo Car Distribution (Shanghai)</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80" w:type="dxa"/>
            <w:vAlign w:val="bottom"/>
            <w:tcBorders>
              <w:top w:val="single" w:sz="8" w:color="3051F2"/>
              <w:bottom w:val="single" w:sz="8" w:color="3051F2"/>
            </w:tcBorders>
            <w:gridSpan w:val="3"/>
          </w:tcPr>
          <w:p>
            <w:pPr>
              <w:spacing w:after="0" w:line="154" w:lineRule="exact"/>
              <w:rPr>
                <w:rFonts w:ascii="Times New Roman" w:cs="Times New Roman" w:eastAsia="Times New Roman" w:hAnsi="Times New Roman"/>
                <w:sz w:val="15"/>
                <w:szCs w:val="15"/>
                <w:color w:val="3051F2"/>
              </w:rPr>
            </w:pPr>
            <w:hyperlink r:id="rId138">
              <w:r>
                <w:rPr>
                  <w:rFonts w:ascii="Times New Roman" w:cs="Times New Roman" w:eastAsia="Times New Roman" w:hAnsi="Times New Roman"/>
                  <w:sz w:val="15"/>
                  <w:szCs w:val="15"/>
                  <w:color w:val="3051F2"/>
                </w:rPr>
                <w:t>Co., Ltd.</w:t>
              </w:r>
            </w:hyperlink>
          </w:p>
        </w:tc>
        <w:tc>
          <w:tcPr>
            <w:tcW w:w="4340" w:type="dxa"/>
            <w:vAlign w:val="bottom"/>
            <w:tcBorders>
              <w:top w:val="single" w:sz="8" w:color="3051F2"/>
            </w:tcBorders>
            <w:gridSpan w:val="25"/>
          </w:tcPr>
          <w:p>
            <w:pPr>
              <w:spacing w:after="0"/>
              <w:rPr>
                <w:sz w:val="13"/>
                <w:szCs w:val="13"/>
                <w:color w:val="auto"/>
              </w:rPr>
            </w:pPr>
          </w:p>
        </w:tc>
        <w:tc>
          <w:tcPr>
            <w:tcW w:w="1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4.60†</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39">
              <w:r>
                <w:rPr>
                  <w:rFonts w:ascii="Times New Roman" w:cs="Times New Roman" w:eastAsia="Times New Roman" w:hAnsi="Times New Roman"/>
                  <w:sz w:val="15"/>
                  <w:szCs w:val="15"/>
                  <w:color w:val="3051F2"/>
                </w:rPr>
                <w:t>Service Agreement, dated as of June 23, 2021, between Volvo Car Corporation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10.59</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3100" w:type="dxa"/>
            <w:vAlign w:val="bottom"/>
            <w:tcBorders>
              <w:top w:val="single" w:sz="8" w:color="3051F2"/>
              <w:bottom w:val="single" w:sz="8" w:color="3051F2"/>
            </w:tcBorders>
            <w:gridSpan w:val="9"/>
          </w:tcPr>
          <w:p>
            <w:pPr>
              <w:spacing w:after="0" w:line="154" w:lineRule="exact"/>
              <w:rPr>
                <w:rFonts w:ascii="Times New Roman" w:cs="Times New Roman" w:eastAsia="Times New Roman" w:hAnsi="Times New Roman"/>
                <w:sz w:val="15"/>
                <w:szCs w:val="15"/>
                <w:color w:val="3051F2"/>
              </w:rPr>
            </w:pPr>
            <w:hyperlink r:id="rId139">
              <w:r>
                <w:rPr>
                  <w:rFonts w:ascii="Times New Roman" w:cs="Times New Roman" w:eastAsia="Times New Roman" w:hAnsi="Times New Roman"/>
                  <w:sz w:val="15"/>
                  <w:szCs w:val="15"/>
                  <w:color w:val="3051F2"/>
                </w:rPr>
                <w:t>and Polestar Automotive China Distribution., Ltd.</w:t>
              </w:r>
            </w:hyperlink>
          </w:p>
        </w:tc>
        <w:tc>
          <w:tcPr>
            <w:tcW w:w="1780" w:type="dxa"/>
            <w:vAlign w:val="bottom"/>
            <w:tcBorders>
              <w:top w:val="single" w:sz="8" w:color="3051F2"/>
            </w:tcBorders>
            <w:gridSpan w:val="17"/>
          </w:tcPr>
          <w:p>
            <w:pPr>
              <w:spacing w:after="0"/>
              <w:rPr>
                <w:sz w:val="13"/>
                <w:szCs w:val="13"/>
                <w:color w:val="auto"/>
              </w:rPr>
            </w:pPr>
          </w:p>
        </w:tc>
        <w:tc>
          <w:tcPr>
            <w:tcW w:w="20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4.61†</w:t>
            </w:r>
          </w:p>
        </w:tc>
        <w:tc>
          <w:tcPr>
            <w:tcW w:w="5080" w:type="dxa"/>
            <w:vAlign w:val="bottom"/>
            <w:gridSpan w:val="30"/>
          </w:tcPr>
          <w:p>
            <w:pPr>
              <w:spacing w:after="0"/>
              <w:rPr>
                <w:rFonts w:ascii="Times New Roman" w:cs="Times New Roman" w:eastAsia="Times New Roman" w:hAnsi="Times New Roman"/>
                <w:sz w:val="15"/>
                <w:szCs w:val="15"/>
                <w:color w:val="3051F2"/>
              </w:rPr>
            </w:pPr>
            <w:hyperlink r:id="rId140">
              <w:r>
                <w:rPr>
                  <w:rFonts w:ascii="Times New Roman" w:cs="Times New Roman" w:eastAsia="Times New Roman" w:hAnsi="Times New Roman"/>
                  <w:sz w:val="15"/>
                  <w:szCs w:val="15"/>
                  <w:color w:val="3051F2"/>
                </w:rPr>
                <w:t>Service Agreement, dated as of December 7, 2021, between Volvo Cars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10.60</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3860" w:type="dxa"/>
            <w:vAlign w:val="bottom"/>
            <w:gridSpan w:val="15"/>
            <w:shd w:val="clear" w:color="auto" w:fill="3051F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3051F2"/>
              </w:rPr>
            </w:pPr>
            <w:hyperlink r:id="rId140">
              <w:r>
                <w:rPr>
                  <w:rFonts w:ascii="Times New Roman" w:cs="Times New Roman" w:eastAsia="Times New Roman" w:hAnsi="Times New Roman"/>
                  <w:sz w:val="15"/>
                  <w:szCs w:val="15"/>
                  <w:color w:val="3051F2"/>
                </w:rPr>
                <w:t>Technology (Shanghai) Co., Ltd. and Polestar Automotive China Distribution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3051F2"/>
              <w:bottom w:val="single" w:sz="8" w:color="3051F2"/>
            </w:tcBorders>
            <w:gridSpan w:val="2"/>
          </w:tcPr>
          <w:p>
            <w:pPr>
              <w:spacing w:after="0" w:line="154" w:lineRule="exact"/>
              <w:rPr>
                <w:rFonts w:ascii="Times New Roman" w:cs="Times New Roman" w:eastAsia="Times New Roman" w:hAnsi="Times New Roman"/>
                <w:sz w:val="15"/>
                <w:szCs w:val="15"/>
                <w:color w:val="3051F2"/>
              </w:rPr>
            </w:pPr>
            <w:hyperlink r:id="rId140">
              <w:r>
                <w:rPr>
                  <w:rFonts w:ascii="Times New Roman" w:cs="Times New Roman" w:eastAsia="Times New Roman" w:hAnsi="Times New Roman"/>
                  <w:sz w:val="15"/>
                  <w:szCs w:val="15"/>
                  <w:color w:val="3051F2"/>
                </w:rPr>
                <w:t>Co., Ltd.</w:t>
              </w:r>
            </w:hyperlink>
          </w:p>
        </w:tc>
        <w:tc>
          <w:tcPr>
            <w:tcW w:w="4240" w:type="dxa"/>
            <w:vAlign w:val="bottom"/>
            <w:tcBorders>
              <w:top w:val="single" w:sz="8" w:color="3051F2"/>
            </w:tcBorders>
            <w:gridSpan w:val="22"/>
          </w:tcPr>
          <w:p>
            <w:pPr>
              <w:spacing w:after="0"/>
              <w:rPr>
                <w:sz w:val="13"/>
                <w:szCs w:val="13"/>
                <w:color w:val="auto"/>
              </w:rPr>
            </w:pPr>
          </w:p>
        </w:tc>
        <w:tc>
          <w:tcPr>
            <w:tcW w:w="280" w:type="dxa"/>
            <w:vAlign w:val="bottom"/>
            <w:gridSpan w:val="6"/>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6"/>
        </w:trPr>
        <w:tc>
          <w:tcPr>
            <w:tcW w:w="920" w:type="dxa"/>
            <w:vAlign w:val="bottom"/>
          </w:tcPr>
          <w:p>
            <w:pPr>
              <w:spacing w:after="0"/>
              <w:rPr>
                <w:sz w:val="24"/>
                <w:szCs w:val="24"/>
                <w:color w:val="auto"/>
              </w:rPr>
            </w:pPr>
          </w:p>
        </w:tc>
        <w:tc>
          <w:tcPr>
            <w:tcW w:w="4800" w:type="dxa"/>
            <w:vAlign w:val="bottom"/>
            <w:gridSpan w:val="24"/>
          </w:tcPr>
          <w:p>
            <w:pPr>
              <w:ind w:left="4620"/>
              <w:spacing w:after="0"/>
              <w:rPr>
                <w:sz w:val="20"/>
                <w:szCs w:val="20"/>
                <w:color w:val="auto"/>
              </w:rPr>
            </w:pPr>
            <w:r>
              <w:rPr>
                <w:rFonts w:ascii="Times New Roman" w:cs="Times New Roman" w:eastAsia="Times New Roman" w:hAnsi="Times New Roman"/>
                <w:sz w:val="15"/>
                <w:szCs w:val="15"/>
                <w:color w:val="auto"/>
              </w:rPr>
              <w:t>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gridSpan w:val="19"/>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84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651"/>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43">
              <w:r>
                <w:rPr>
                  <w:rFonts w:ascii="Times New Roman" w:cs="Times New Roman" w:eastAsia="Times New Roman" w:hAnsi="Times New Roman"/>
                  <w:sz w:val="15"/>
                  <w:szCs w:val="15"/>
                  <w:color w:val="3051F2"/>
                </w:rPr>
                <w:t>Service Agreement, effective as of July 1, 2021, between Volvo Car Corporation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10.61</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3100" w:type="dxa"/>
            <w:vAlign w:val="bottom"/>
            <w:tcBorders>
              <w:top w:val="single" w:sz="8" w:color="3051F2"/>
              <w:bottom w:val="single" w:sz="8" w:color="3051F2"/>
            </w:tcBorders>
            <w:gridSpan w:val="10"/>
          </w:tcPr>
          <w:p>
            <w:pPr>
              <w:spacing w:after="0" w:line="154" w:lineRule="exact"/>
              <w:rPr>
                <w:rFonts w:ascii="Times New Roman" w:cs="Times New Roman" w:eastAsia="Times New Roman" w:hAnsi="Times New Roman"/>
                <w:sz w:val="15"/>
                <w:szCs w:val="15"/>
                <w:color w:val="3051F2"/>
              </w:rPr>
            </w:pPr>
            <w:hyperlink r:id="rId143">
              <w:r>
                <w:rPr>
                  <w:rFonts w:ascii="Times New Roman" w:cs="Times New Roman" w:eastAsia="Times New Roman" w:hAnsi="Times New Roman"/>
                  <w:sz w:val="15"/>
                  <w:szCs w:val="15"/>
                  <w:color w:val="3051F2"/>
                </w:rPr>
                <w:t>and Polestar Automotive China Distribution., Ltd.</w:t>
              </w:r>
            </w:hyperlink>
          </w:p>
        </w:tc>
        <w:tc>
          <w:tcPr>
            <w:tcW w:w="1880" w:type="dxa"/>
            <w:vAlign w:val="bottom"/>
            <w:tcBorders>
              <w:top w:val="single" w:sz="8" w:color="3051F2"/>
            </w:tcBorders>
            <w:gridSpan w:val="17"/>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4.63†</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44">
              <w:r>
                <w:rPr>
                  <w:rFonts w:ascii="Times New Roman" w:cs="Times New Roman" w:eastAsia="Times New Roman" w:hAnsi="Times New Roman"/>
                  <w:sz w:val="15"/>
                  <w:szCs w:val="15"/>
                  <w:color w:val="3051F2"/>
                </w:rPr>
                <w:t>Service Agreement, dated as of December 7, 2021, between Volvo Cars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10.62</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2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440" w:type="dxa"/>
            <w:vAlign w:val="bottom"/>
            <w:gridSpan w:val="3"/>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28"/>
          </w:tcPr>
          <w:p>
            <w:pPr>
              <w:spacing w:after="0" w:line="154" w:lineRule="exact"/>
              <w:rPr>
                <w:rFonts w:ascii="Times New Roman" w:cs="Times New Roman" w:eastAsia="Times New Roman" w:hAnsi="Times New Roman"/>
                <w:sz w:val="15"/>
                <w:szCs w:val="15"/>
                <w:color w:val="3051F2"/>
              </w:rPr>
            </w:pPr>
            <w:hyperlink r:id="rId144">
              <w:r>
                <w:rPr>
                  <w:rFonts w:ascii="Times New Roman" w:cs="Times New Roman" w:eastAsia="Times New Roman" w:hAnsi="Times New Roman"/>
                  <w:sz w:val="15"/>
                  <w:szCs w:val="15"/>
                  <w:color w:val="3051F2"/>
                </w:rPr>
                <w:t>Technology (Shanghai) Co., Ltd. and Polestar Automotive China Distribution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3051F2"/>
              <w:bottom w:val="single" w:sz="8" w:color="3051F2"/>
            </w:tcBorders>
          </w:tcPr>
          <w:p>
            <w:pPr>
              <w:spacing w:after="0" w:line="154" w:lineRule="exact"/>
              <w:rPr>
                <w:rFonts w:ascii="Times New Roman" w:cs="Times New Roman" w:eastAsia="Times New Roman" w:hAnsi="Times New Roman"/>
                <w:sz w:val="15"/>
                <w:szCs w:val="15"/>
                <w:color w:val="3051F2"/>
              </w:rPr>
            </w:pPr>
            <w:hyperlink r:id="rId144">
              <w:r>
                <w:rPr>
                  <w:rFonts w:ascii="Times New Roman" w:cs="Times New Roman" w:eastAsia="Times New Roman" w:hAnsi="Times New Roman"/>
                  <w:sz w:val="15"/>
                  <w:szCs w:val="15"/>
                  <w:color w:val="3051F2"/>
                </w:rPr>
                <w:t>Co., Ltd.</w:t>
              </w:r>
            </w:hyperlink>
          </w:p>
        </w:tc>
        <w:tc>
          <w:tcPr>
            <w:tcW w:w="4240" w:type="dxa"/>
            <w:vAlign w:val="bottom"/>
            <w:tcBorders>
              <w:top w:val="single" w:sz="8" w:color="3051F2"/>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4.64†</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45">
              <w:r>
                <w:rPr>
                  <w:rFonts w:ascii="Times New Roman" w:cs="Times New Roman" w:eastAsia="Times New Roman" w:hAnsi="Times New Roman"/>
                  <w:sz w:val="15"/>
                  <w:szCs w:val="15"/>
                  <w:color w:val="3051F2"/>
                </w:rPr>
                <w:t>Service Agreement, dated as of June 23, 2021, between Volvo Car Corporation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10.63</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80" w:type="dxa"/>
            <w:vAlign w:val="bottom"/>
            <w:tcBorders>
              <w:top w:val="single" w:sz="8" w:color="3051F2"/>
            </w:tcBorders>
            <w:gridSpan w:val="24"/>
          </w:tcPr>
          <w:p>
            <w:pPr>
              <w:spacing w:after="0" w:line="154" w:lineRule="exact"/>
              <w:rPr>
                <w:rFonts w:ascii="Times New Roman" w:cs="Times New Roman" w:eastAsia="Times New Roman" w:hAnsi="Times New Roman"/>
                <w:sz w:val="15"/>
                <w:szCs w:val="15"/>
                <w:color w:val="3051F2"/>
              </w:rPr>
            </w:pPr>
            <w:hyperlink r:id="rId145">
              <w:r>
                <w:rPr>
                  <w:rFonts w:ascii="Times New Roman" w:cs="Times New Roman" w:eastAsia="Times New Roman" w:hAnsi="Times New Roman"/>
                  <w:sz w:val="15"/>
                  <w:szCs w:val="15"/>
                  <w:color w:val="3051F2"/>
                </w:rPr>
                <w:t>and Polestar New Energy Vehicle Co. Ltd.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2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4.65†</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46">
              <w:r>
                <w:rPr>
                  <w:rFonts w:ascii="Times New Roman" w:cs="Times New Roman" w:eastAsia="Times New Roman" w:hAnsi="Times New Roman"/>
                  <w:sz w:val="15"/>
                  <w:szCs w:val="15"/>
                  <w:color w:val="3051F2"/>
                </w:rPr>
                <w:t>Service Agreement, dated as of December 7, 2021, between Volvo Cars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10.64</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2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440" w:type="dxa"/>
            <w:vAlign w:val="bottom"/>
            <w:gridSpan w:val="3"/>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28"/>
          </w:tcPr>
          <w:p>
            <w:pPr>
              <w:spacing w:after="0" w:line="154" w:lineRule="exact"/>
              <w:rPr>
                <w:rFonts w:ascii="Times New Roman" w:cs="Times New Roman" w:eastAsia="Times New Roman" w:hAnsi="Times New Roman"/>
                <w:sz w:val="15"/>
                <w:szCs w:val="15"/>
                <w:color w:val="3051F2"/>
              </w:rPr>
            </w:pPr>
            <w:hyperlink r:id="rId146">
              <w:r>
                <w:rPr>
                  <w:rFonts w:ascii="Times New Roman" w:cs="Times New Roman" w:eastAsia="Times New Roman" w:hAnsi="Times New Roman"/>
                  <w:sz w:val="15"/>
                  <w:szCs w:val="15"/>
                  <w:color w:val="3051F2"/>
                </w:rPr>
                <w:t>Technology (Shanghai) Co., Ltd. and Polestar Automotive China Distribution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3051F2"/>
              <w:bottom w:val="single" w:sz="8" w:color="3051F2"/>
            </w:tcBorders>
          </w:tcPr>
          <w:p>
            <w:pPr>
              <w:spacing w:after="0" w:line="154" w:lineRule="exact"/>
              <w:rPr>
                <w:rFonts w:ascii="Times New Roman" w:cs="Times New Roman" w:eastAsia="Times New Roman" w:hAnsi="Times New Roman"/>
                <w:sz w:val="15"/>
                <w:szCs w:val="15"/>
                <w:color w:val="3051F2"/>
              </w:rPr>
            </w:pPr>
            <w:hyperlink r:id="rId146">
              <w:r>
                <w:rPr>
                  <w:rFonts w:ascii="Times New Roman" w:cs="Times New Roman" w:eastAsia="Times New Roman" w:hAnsi="Times New Roman"/>
                  <w:sz w:val="15"/>
                  <w:szCs w:val="15"/>
                  <w:color w:val="3051F2"/>
                </w:rPr>
                <w:t>Co., Ltd.</w:t>
              </w:r>
            </w:hyperlink>
          </w:p>
        </w:tc>
        <w:tc>
          <w:tcPr>
            <w:tcW w:w="4240" w:type="dxa"/>
            <w:vAlign w:val="bottom"/>
            <w:tcBorders>
              <w:top w:val="single" w:sz="8" w:color="3051F2"/>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4.66†</w:t>
            </w:r>
          </w:p>
        </w:tc>
        <w:tc>
          <w:tcPr>
            <w:tcW w:w="4560" w:type="dxa"/>
            <w:vAlign w:val="bottom"/>
            <w:tcBorders>
              <w:bottom w:val="single" w:sz="8" w:color="3051F2"/>
            </w:tcBorders>
            <w:gridSpan w:val="15"/>
          </w:tcPr>
          <w:p>
            <w:pPr>
              <w:spacing w:after="0"/>
              <w:rPr>
                <w:rFonts w:ascii="Times New Roman" w:cs="Times New Roman" w:eastAsia="Times New Roman" w:hAnsi="Times New Roman"/>
                <w:sz w:val="15"/>
                <w:szCs w:val="15"/>
                <w:color w:val="3051F2"/>
              </w:rPr>
            </w:pPr>
            <w:hyperlink r:id="rId147">
              <w:r>
                <w:rPr>
                  <w:rFonts w:ascii="Times New Roman" w:cs="Times New Roman" w:eastAsia="Times New Roman" w:hAnsi="Times New Roman"/>
                  <w:sz w:val="15"/>
                  <w:szCs w:val="15"/>
                  <w:color w:val="3051F2"/>
                </w:rPr>
                <w:t>Technology License Agreement, dated as of December 30, 2021, between</w:t>
              </w:r>
            </w:hyperlink>
          </w:p>
        </w:tc>
        <w:tc>
          <w:tcPr>
            <w:tcW w:w="520" w:type="dxa"/>
            <w:vAlign w:val="bottom"/>
            <w:gridSpan w:val="13"/>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10.65</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80" w:type="dxa"/>
            <w:vAlign w:val="bottom"/>
            <w:gridSpan w:val="28"/>
          </w:tcPr>
          <w:p>
            <w:pPr>
              <w:spacing w:after="0" w:line="154" w:lineRule="exact"/>
              <w:rPr>
                <w:rFonts w:ascii="Times New Roman" w:cs="Times New Roman" w:eastAsia="Times New Roman" w:hAnsi="Times New Roman"/>
                <w:sz w:val="15"/>
                <w:szCs w:val="15"/>
                <w:color w:val="3051F2"/>
              </w:rPr>
            </w:pPr>
            <w:hyperlink r:id="rId147">
              <w:r>
                <w:rPr>
                  <w:rFonts w:ascii="Times New Roman" w:cs="Times New Roman" w:eastAsia="Times New Roman" w:hAnsi="Times New Roman"/>
                  <w:sz w:val="15"/>
                  <w:szCs w:val="15"/>
                  <w:color w:val="3051F2"/>
                </w:rPr>
                <w:t>Zhejiang Zeekr Automobile Research and Development Co., Ltd. and Polestar</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40" w:type="dxa"/>
            <w:vAlign w:val="bottom"/>
            <w:tcBorders>
              <w:top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147">
              <w:r>
                <w:rPr>
                  <w:rFonts w:ascii="Times New Roman" w:cs="Times New Roman" w:eastAsia="Times New Roman" w:hAnsi="Times New Roman"/>
                  <w:sz w:val="15"/>
                  <w:szCs w:val="15"/>
                  <w:color w:val="3051F2"/>
                </w:rPr>
                <w:t>Performance AB.</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4.67†</w:t>
            </w:r>
          </w:p>
        </w:tc>
        <w:tc>
          <w:tcPr>
            <w:tcW w:w="4700" w:type="dxa"/>
            <w:vAlign w:val="bottom"/>
            <w:tcBorders>
              <w:bottom w:val="single" w:sz="8" w:color="3051F2"/>
            </w:tcBorders>
            <w:gridSpan w:val="18"/>
          </w:tcPr>
          <w:p>
            <w:pPr>
              <w:spacing w:after="0"/>
              <w:rPr>
                <w:rFonts w:ascii="Times New Roman" w:cs="Times New Roman" w:eastAsia="Times New Roman" w:hAnsi="Times New Roman"/>
                <w:sz w:val="15"/>
                <w:szCs w:val="15"/>
                <w:color w:val="3051F2"/>
              </w:rPr>
            </w:pPr>
            <w:hyperlink r:id="rId148">
              <w:r>
                <w:rPr>
                  <w:rFonts w:ascii="Times New Roman" w:cs="Times New Roman" w:eastAsia="Times New Roman" w:hAnsi="Times New Roman"/>
                  <w:sz w:val="15"/>
                  <w:szCs w:val="15"/>
                  <w:color w:val="3051F2"/>
                </w:rPr>
                <w:t>Service Agreement, dated as of December 28, 2021, between Ningbo Geely</w:t>
              </w:r>
            </w:hyperlink>
          </w:p>
        </w:tc>
        <w:tc>
          <w:tcPr>
            <w:tcW w:w="380" w:type="dxa"/>
            <w:vAlign w:val="bottom"/>
            <w:gridSpan w:val="10"/>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10.66</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40" w:type="dxa"/>
            <w:vAlign w:val="bottom"/>
            <w:tcBorders>
              <w:bottom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148">
              <w:r>
                <w:rPr>
                  <w:rFonts w:ascii="Times New Roman" w:cs="Times New Roman" w:eastAsia="Times New Roman" w:hAnsi="Times New Roman"/>
                  <w:sz w:val="15"/>
                  <w:szCs w:val="15"/>
                  <w:color w:val="3051F2"/>
                </w:rPr>
                <w:t>Automobile Research &amp; Development Co., Ltd and Polestar Performance AB.</w:t>
              </w:r>
            </w:hyperlink>
          </w:p>
        </w:tc>
        <w:tc>
          <w:tcPr>
            <w:tcW w:w="240" w:type="dxa"/>
            <w:vAlign w:val="bottom"/>
            <w:gridSpan w:val="6"/>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4.68†</w:t>
            </w:r>
          </w:p>
        </w:tc>
        <w:tc>
          <w:tcPr>
            <w:tcW w:w="4680" w:type="dxa"/>
            <w:vAlign w:val="bottom"/>
            <w:tcBorders>
              <w:bottom w:val="single" w:sz="8" w:color="3051F2"/>
            </w:tcBorders>
            <w:gridSpan w:val="17"/>
          </w:tcPr>
          <w:p>
            <w:pPr>
              <w:spacing w:after="0"/>
              <w:rPr>
                <w:rFonts w:ascii="Times New Roman" w:cs="Times New Roman" w:eastAsia="Times New Roman" w:hAnsi="Times New Roman"/>
                <w:sz w:val="15"/>
                <w:szCs w:val="15"/>
                <w:color w:val="3051F2"/>
              </w:rPr>
            </w:pPr>
            <w:hyperlink r:id="rId149">
              <w:r>
                <w:rPr>
                  <w:rFonts w:ascii="Times New Roman" w:cs="Times New Roman" w:eastAsia="Times New Roman" w:hAnsi="Times New Roman"/>
                  <w:sz w:val="15"/>
                  <w:szCs w:val="15"/>
                  <w:color w:val="3051F2"/>
                </w:rPr>
                <w:t>Tooling and Equipment Agreement, dated as of December 10, 2021, by and</w:t>
              </w:r>
            </w:hyperlink>
          </w:p>
        </w:tc>
        <w:tc>
          <w:tcPr>
            <w:tcW w:w="400" w:type="dxa"/>
            <w:vAlign w:val="bottom"/>
            <w:gridSpan w:val="11"/>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10.67</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80" w:type="dxa"/>
            <w:vAlign w:val="bottom"/>
            <w:gridSpan w:val="28"/>
          </w:tcPr>
          <w:p>
            <w:pPr>
              <w:spacing w:after="0" w:line="154" w:lineRule="exact"/>
              <w:rPr>
                <w:rFonts w:ascii="Times New Roman" w:cs="Times New Roman" w:eastAsia="Times New Roman" w:hAnsi="Times New Roman"/>
                <w:sz w:val="15"/>
                <w:szCs w:val="15"/>
                <w:color w:val="3051F2"/>
              </w:rPr>
            </w:pPr>
            <w:hyperlink r:id="rId149">
              <w:r>
                <w:rPr>
                  <w:rFonts w:ascii="Times New Roman" w:cs="Times New Roman" w:eastAsia="Times New Roman" w:hAnsi="Times New Roman"/>
                  <w:sz w:val="15"/>
                  <w:szCs w:val="15"/>
                  <w:color w:val="3051F2"/>
                </w:rPr>
                <w:t>among Polestar Automotive China Distribution Co., Ltd. and Ningbo Hangzhou</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26"/>
          </w:tcPr>
          <w:p>
            <w:pPr>
              <w:spacing w:after="0" w:line="154" w:lineRule="exact"/>
              <w:rPr>
                <w:rFonts w:ascii="Times New Roman" w:cs="Times New Roman" w:eastAsia="Times New Roman" w:hAnsi="Times New Roman"/>
                <w:sz w:val="15"/>
                <w:szCs w:val="15"/>
                <w:color w:val="3051F2"/>
              </w:rPr>
            </w:pPr>
            <w:hyperlink r:id="rId149">
              <w:r>
                <w:rPr>
                  <w:rFonts w:ascii="Times New Roman" w:cs="Times New Roman" w:eastAsia="Times New Roman" w:hAnsi="Times New Roman"/>
                  <w:sz w:val="15"/>
                  <w:szCs w:val="15"/>
                  <w:color w:val="3051F2"/>
                </w:rPr>
                <w:t>Bay Geely Automotive Parts Co., Ltd.</w:t>
              </w:r>
            </w:hyperlink>
          </w:p>
        </w:tc>
        <w:tc>
          <w:tcPr>
            <w:tcW w:w="1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1400" w:type="dxa"/>
            <w:vAlign w:val="bottom"/>
            <w:gridSpan w:val="2"/>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4.69†</w:t>
            </w:r>
          </w:p>
        </w:tc>
        <w:tc>
          <w:tcPr>
            <w:tcW w:w="4460" w:type="dxa"/>
            <w:vAlign w:val="bottom"/>
            <w:tcBorders>
              <w:bottom w:val="single" w:sz="8" w:color="3051F2"/>
            </w:tcBorders>
            <w:gridSpan w:val="13"/>
          </w:tcPr>
          <w:p>
            <w:pPr>
              <w:spacing w:after="0"/>
              <w:rPr>
                <w:rFonts w:ascii="Times New Roman" w:cs="Times New Roman" w:eastAsia="Times New Roman" w:hAnsi="Times New Roman"/>
                <w:sz w:val="15"/>
                <w:szCs w:val="15"/>
                <w:color w:val="3051F2"/>
              </w:rPr>
            </w:pPr>
            <w:hyperlink r:id="rId150">
              <w:r>
                <w:rPr>
                  <w:rFonts w:ascii="Times New Roman" w:cs="Times New Roman" w:eastAsia="Times New Roman" w:hAnsi="Times New Roman"/>
                  <w:sz w:val="15"/>
                  <w:szCs w:val="15"/>
                  <w:color w:val="3051F2"/>
                </w:rPr>
                <w:t>Technology License Agreement, effective as of March 4, 2022, between</w:t>
              </w:r>
            </w:hyperlink>
          </w:p>
        </w:tc>
        <w:tc>
          <w:tcPr>
            <w:tcW w:w="620" w:type="dxa"/>
            <w:vAlign w:val="bottom"/>
            <w:gridSpan w:val="15"/>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10.68</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80" w:type="dxa"/>
            <w:vAlign w:val="bottom"/>
            <w:gridSpan w:val="28"/>
          </w:tcPr>
          <w:p>
            <w:pPr>
              <w:spacing w:after="0" w:line="154" w:lineRule="exact"/>
              <w:rPr>
                <w:rFonts w:ascii="Times New Roman" w:cs="Times New Roman" w:eastAsia="Times New Roman" w:hAnsi="Times New Roman"/>
                <w:sz w:val="15"/>
                <w:szCs w:val="15"/>
                <w:color w:val="3051F2"/>
              </w:rPr>
            </w:pPr>
            <w:hyperlink r:id="rId150">
              <w:r>
                <w:rPr>
                  <w:rFonts w:ascii="Times New Roman" w:cs="Times New Roman" w:eastAsia="Times New Roman" w:hAnsi="Times New Roman"/>
                  <w:sz w:val="15"/>
                  <w:szCs w:val="15"/>
                  <w:color w:val="3051F2"/>
                </w:rPr>
                <w:t>Zhejiang Liankong Technologies Co., Ltd and Polestar Automotive Distribution</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960" w:type="dxa"/>
            <w:vAlign w:val="bottom"/>
            <w:tcBorders>
              <w:top w:val="single" w:sz="8" w:color="3051F2"/>
              <w:bottom w:val="single" w:sz="8" w:color="3051F2"/>
            </w:tcBorders>
            <w:gridSpan w:val="2"/>
          </w:tcPr>
          <w:p>
            <w:pPr>
              <w:spacing w:after="0" w:line="154" w:lineRule="exact"/>
              <w:rPr>
                <w:rFonts w:ascii="Times New Roman" w:cs="Times New Roman" w:eastAsia="Times New Roman" w:hAnsi="Times New Roman"/>
                <w:sz w:val="15"/>
                <w:szCs w:val="15"/>
                <w:color w:val="3051F2"/>
              </w:rPr>
            </w:pPr>
            <w:hyperlink r:id="rId150">
              <w:r>
                <w:rPr>
                  <w:rFonts w:ascii="Times New Roman" w:cs="Times New Roman" w:eastAsia="Times New Roman" w:hAnsi="Times New Roman"/>
                  <w:sz w:val="15"/>
                  <w:szCs w:val="15"/>
                  <w:color w:val="3051F2"/>
                </w:rPr>
                <w:t>China Co., Ltd.</w:t>
              </w:r>
            </w:hyperlink>
          </w:p>
        </w:tc>
        <w:tc>
          <w:tcPr>
            <w:tcW w:w="3980" w:type="dxa"/>
            <w:vAlign w:val="bottom"/>
            <w:tcBorders>
              <w:top w:val="single" w:sz="8" w:color="3051F2"/>
            </w:tcBorders>
            <w:gridSpan w:val="23"/>
          </w:tcPr>
          <w:p>
            <w:pPr>
              <w:spacing w:after="0"/>
              <w:rPr>
                <w:sz w:val="13"/>
                <w:szCs w:val="13"/>
                <w:color w:val="auto"/>
              </w:rPr>
            </w:pPr>
          </w:p>
        </w:tc>
        <w:tc>
          <w:tcPr>
            <w:tcW w:w="14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4.70†</w:t>
            </w:r>
          </w:p>
        </w:tc>
        <w:tc>
          <w:tcPr>
            <w:tcW w:w="4560" w:type="dxa"/>
            <w:vAlign w:val="bottom"/>
            <w:tcBorders>
              <w:bottom w:val="single" w:sz="8" w:color="3051F2"/>
            </w:tcBorders>
            <w:gridSpan w:val="15"/>
          </w:tcPr>
          <w:p>
            <w:pPr>
              <w:spacing w:after="0"/>
              <w:rPr>
                <w:rFonts w:ascii="Times New Roman" w:cs="Times New Roman" w:eastAsia="Times New Roman" w:hAnsi="Times New Roman"/>
                <w:sz w:val="15"/>
                <w:szCs w:val="15"/>
                <w:color w:val="3051F2"/>
              </w:rPr>
            </w:pPr>
            <w:hyperlink r:id="rId151">
              <w:r>
                <w:rPr>
                  <w:rFonts w:ascii="Times New Roman" w:cs="Times New Roman" w:eastAsia="Times New Roman" w:hAnsi="Times New Roman"/>
                  <w:sz w:val="15"/>
                  <w:szCs w:val="15"/>
                  <w:color w:val="3051F2"/>
                </w:rPr>
                <w:t>Technology License Agreement, dated as of December 10, 2021, between</w:t>
              </w:r>
            </w:hyperlink>
          </w:p>
        </w:tc>
        <w:tc>
          <w:tcPr>
            <w:tcW w:w="520" w:type="dxa"/>
            <w:vAlign w:val="bottom"/>
            <w:gridSpan w:val="13"/>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10.69</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5080" w:type="dxa"/>
            <w:vAlign w:val="bottom"/>
            <w:gridSpan w:val="28"/>
          </w:tcPr>
          <w:p>
            <w:pPr>
              <w:spacing w:after="0" w:line="154" w:lineRule="exact"/>
              <w:rPr>
                <w:rFonts w:ascii="Times New Roman" w:cs="Times New Roman" w:eastAsia="Times New Roman" w:hAnsi="Times New Roman"/>
                <w:sz w:val="15"/>
                <w:szCs w:val="15"/>
                <w:color w:val="3051F2"/>
              </w:rPr>
            </w:pPr>
            <w:hyperlink r:id="rId151">
              <w:r>
                <w:rPr>
                  <w:rFonts w:ascii="Times New Roman" w:cs="Times New Roman" w:eastAsia="Times New Roman" w:hAnsi="Times New Roman"/>
                  <w:sz w:val="15"/>
                  <w:szCs w:val="15"/>
                  <w:color w:val="3051F2"/>
                </w:rPr>
                <w:t>Zhejiang Zeekr Automobile Research and Development Co., Ltd and Polestar</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520" w:type="dxa"/>
            <w:vAlign w:val="bottom"/>
            <w:tcBorders>
              <w:top w:val="single" w:sz="8" w:color="3051F2"/>
              <w:bottom w:val="single" w:sz="8" w:color="3051F2"/>
            </w:tcBorders>
            <w:gridSpan w:val="7"/>
          </w:tcPr>
          <w:p>
            <w:pPr>
              <w:spacing w:after="0" w:line="154" w:lineRule="exact"/>
              <w:rPr>
                <w:rFonts w:ascii="Times New Roman" w:cs="Times New Roman" w:eastAsia="Times New Roman" w:hAnsi="Times New Roman"/>
                <w:sz w:val="15"/>
                <w:szCs w:val="15"/>
                <w:color w:val="3051F2"/>
              </w:rPr>
            </w:pPr>
            <w:hyperlink r:id="rId151">
              <w:r>
                <w:rPr>
                  <w:rFonts w:ascii="Times New Roman" w:cs="Times New Roman" w:eastAsia="Times New Roman" w:hAnsi="Times New Roman"/>
                  <w:sz w:val="15"/>
                  <w:szCs w:val="15"/>
                  <w:color w:val="3051F2"/>
                </w:rPr>
                <w:t>Automotive Distribution China Co., Ltd.</w:t>
              </w:r>
            </w:hyperlink>
          </w:p>
        </w:tc>
        <w:tc>
          <w:tcPr>
            <w:tcW w:w="2300" w:type="dxa"/>
            <w:vAlign w:val="bottom"/>
            <w:tcBorders>
              <w:top w:val="single" w:sz="8" w:color="3051F2"/>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4.71†</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52">
              <w:r>
                <w:rPr>
                  <w:rFonts w:ascii="Times New Roman" w:cs="Times New Roman" w:eastAsia="Times New Roman" w:hAnsi="Times New Roman"/>
                  <w:sz w:val="15"/>
                  <w:szCs w:val="15"/>
                  <w:color w:val="3051F2"/>
                </w:rPr>
                <w:t>Technology License Agreement, effective as of March 4, 2022, between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10.70</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460" w:type="dxa"/>
            <w:vAlign w:val="bottom"/>
            <w:tcBorders>
              <w:top w:val="single" w:sz="8" w:color="3051F2"/>
              <w:bottom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52">
              <w:r>
                <w:rPr>
                  <w:rFonts w:ascii="Times New Roman" w:cs="Times New Roman" w:eastAsia="Times New Roman" w:hAnsi="Times New Roman"/>
                  <w:sz w:val="15"/>
                  <w:szCs w:val="15"/>
                  <w:color w:val="3051F2"/>
                </w:rPr>
                <w:t>Zhejiang Liankong Technologies Co., Ltd and Polestar Performance AB.</w:t>
              </w:r>
            </w:hyperlink>
          </w:p>
        </w:tc>
        <w:tc>
          <w:tcPr>
            <w:tcW w:w="40" w:type="dxa"/>
            <w:vAlign w:val="bottom"/>
            <w:tcBorders>
              <w:bottom w:val="single" w:sz="8" w:color="3051F2"/>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22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4.72+†</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53">
              <w:r>
                <w:rPr>
                  <w:rFonts w:ascii="Times New Roman" w:cs="Times New Roman" w:eastAsia="Times New Roman" w:hAnsi="Times New Roman"/>
                  <w:sz w:val="15"/>
                  <w:szCs w:val="15"/>
                  <w:color w:val="3051F2"/>
                </w:rPr>
                <w:t>Employment Agreement, effective as of July 1, 2017, by and between Polestar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10.71</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53">
              <w:r>
                <w:rPr>
                  <w:rFonts w:ascii="Times New Roman" w:cs="Times New Roman" w:eastAsia="Times New Roman" w:hAnsi="Times New Roman"/>
                  <w:sz w:val="15"/>
                  <w:szCs w:val="15"/>
                  <w:color w:val="3051F2"/>
                </w:rPr>
                <w:t>Performance AB and Thomas Ingenlath.</w:t>
              </w:r>
            </w:hyperlink>
          </w:p>
        </w:tc>
        <w:tc>
          <w:tcPr>
            <w:tcW w:w="22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20" w:type="dxa"/>
            <w:vAlign w:val="bottom"/>
            <w:gridSpan w:val="5"/>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4.73+†</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54">
              <w:r>
                <w:rPr>
                  <w:rFonts w:ascii="Times New Roman" w:cs="Times New Roman" w:eastAsia="Times New Roman" w:hAnsi="Times New Roman"/>
                  <w:sz w:val="15"/>
                  <w:szCs w:val="15"/>
                  <w:color w:val="3051F2"/>
                </w:rPr>
                <w:t>Employment Agreement, dated as of September 17, 2021, by and between</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10.72</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00" w:type="dxa"/>
            <w:vAlign w:val="bottom"/>
            <w:tcBorders>
              <w:top w:val="single" w:sz="8" w:color="3051F2"/>
            </w:tcBorders>
            <w:gridSpan w:val="16"/>
          </w:tcPr>
          <w:p>
            <w:pPr>
              <w:spacing w:after="0" w:line="154" w:lineRule="exact"/>
              <w:rPr>
                <w:rFonts w:ascii="Times New Roman" w:cs="Times New Roman" w:eastAsia="Times New Roman" w:hAnsi="Times New Roman"/>
                <w:sz w:val="15"/>
                <w:szCs w:val="15"/>
                <w:color w:val="3051F2"/>
              </w:rPr>
            </w:pPr>
            <w:hyperlink r:id="rId154">
              <w:r>
                <w:rPr>
                  <w:rFonts w:ascii="Times New Roman" w:cs="Times New Roman" w:eastAsia="Times New Roman" w:hAnsi="Times New Roman"/>
                  <w:sz w:val="15"/>
                  <w:szCs w:val="15"/>
                  <w:color w:val="3051F2"/>
                </w:rPr>
                <w:t>Polestar Performance AB and Johan Malmqvist.</w:t>
              </w:r>
            </w:hyperlink>
          </w:p>
        </w:tc>
        <w:tc>
          <w:tcPr>
            <w:tcW w:w="120" w:type="dxa"/>
            <w:vAlign w:val="bottom"/>
            <w:gridSpan w:val="3"/>
          </w:tcPr>
          <w:p>
            <w:pPr>
              <w:spacing w:after="0"/>
              <w:rPr>
                <w:sz w:val="13"/>
                <w:szCs w:val="13"/>
                <w:color w:val="auto"/>
              </w:rPr>
            </w:pPr>
          </w:p>
        </w:tc>
        <w:tc>
          <w:tcPr>
            <w:tcW w:w="360" w:type="dxa"/>
            <w:vAlign w:val="bottom"/>
            <w:gridSpan w:val="9"/>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20" w:type="dxa"/>
            <w:vAlign w:val="bottom"/>
            <w:gridSpan w:val="5"/>
            <w:shd w:val="clear" w:color="auto" w:fill="3051F2"/>
          </w:tcPr>
          <w:p>
            <w:pPr>
              <w:spacing w:after="0" w:line="20" w:lineRule="exact"/>
              <w:rPr>
                <w:sz w:val="1"/>
                <w:szCs w:val="1"/>
                <w:color w:val="auto"/>
              </w:rPr>
            </w:pPr>
          </w:p>
        </w:tc>
        <w:tc>
          <w:tcPr>
            <w:tcW w:w="560" w:type="dxa"/>
            <w:vAlign w:val="bottom"/>
            <w:gridSpan w:val="4"/>
            <w:shd w:val="clear" w:color="auto" w:fill="3051F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4.74+†</w:t>
            </w:r>
          </w:p>
        </w:tc>
        <w:tc>
          <w:tcPr>
            <w:tcW w:w="5080" w:type="dxa"/>
            <w:vAlign w:val="bottom"/>
            <w:gridSpan w:val="28"/>
          </w:tcPr>
          <w:p>
            <w:pPr>
              <w:spacing w:after="0"/>
              <w:rPr>
                <w:rFonts w:ascii="Times New Roman" w:cs="Times New Roman" w:eastAsia="Times New Roman" w:hAnsi="Times New Roman"/>
                <w:sz w:val="15"/>
                <w:szCs w:val="15"/>
                <w:color w:val="3051F2"/>
              </w:rPr>
            </w:pPr>
            <w:hyperlink r:id="rId155">
              <w:r>
                <w:rPr>
                  <w:rFonts w:ascii="Times New Roman" w:cs="Times New Roman" w:eastAsia="Times New Roman" w:hAnsi="Times New Roman"/>
                  <w:sz w:val="15"/>
                  <w:szCs w:val="15"/>
                  <w:color w:val="3051F2"/>
                </w:rPr>
                <w:t>Employment Agreement, dated as of July 13, 2020, by and between Polestar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10.73</w:t>
            </w:r>
          </w:p>
        </w:tc>
        <w:tc>
          <w:tcPr>
            <w:tcW w:w="3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2420" w:type="dxa"/>
            <w:vAlign w:val="bottom"/>
            <w:tcBorders>
              <w:top w:val="single" w:sz="8" w:color="3051F2"/>
              <w:bottom w:val="single" w:sz="8" w:color="3051F2"/>
            </w:tcBorders>
            <w:gridSpan w:val="5"/>
          </w:tcPr>
          <w:p>
            <w:pPr>
              <w:spacing w:after="0" w:line="154" w:lineRule="exact"/>
              <w:rPr>
                <w:rFonts w:ascii="Times New Roman" w:cs="Times New Roman" w:eastAsia="Times New Roman" w:hAnsi="Times New Roman"/>
                <w:sz w:val="15"/>
                <w:szCs w:val="15"/>
                <w:color w:val="3051F2"/>
              </w:rPr>
            </w:pPr>
            <w:hyperlink r:id="rId155">
              <w:r>
                <w:rPr>
                  <w:rFonts w:ascii="Times New Roman" w:cs="Times New Roman" w:eastAsia="Times New Roman" w:hAnsi="Times New Roman"/>
                  <w:sz w:val="15"/>
                  <w:szCs w:val="15"/>
                  <w:color w:val="3051F2"/>
                </w:rPr>
                <w:t>Performance AB and Dennis Nobelius.</w:t>
              </w:r>
            </w:hyperlink>
          </w:p>
        </w:tc>
        <w:tc>
          <w:tcPr>
            <w:tcW w:w="2300" w:type="dxa"/>
            <w:vAlign w:val="bottom"/>
            <w:tcBorders>
              <w:top w:val="single" w:sz="8" w:color="3051F2"/>
            </w:tcBorders>
            <w:gridSpan w:val="14"/>
          </w:tcPr>
          <w:p>
            <w:pPr>
              <w:spacing w:after="0"/>
              <w:rPr>
                <w:sz w:val="13"/>
                <w:szCs w:val="13"/>
                <w:color w:val="auto"/>
              </w:rPr>
            </w:pPr>
          </w:p>
        </w:tc>
        <w:tc>
          <w:tcPr>
            <w:tcW w:w="360" w:type="dxa"/>
            <w:vAlign w:val="bottom"/>
            <w:gridSpan w:val="9"/>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778"/>
        </w:trPr>
        <w:tc>
          <w:tcPr>
            <w:tcW w:w="920" w:type="dxa"/>
            <w:vAlign w:val="bottom"/>
          </w:tcPr>
          <w:p>
            <w:pPr>
              <w:spacing w:after="0"/>
              <w:rPr>
                <w:sz w:val="24"/>
                <w:szCs w:val="24"/>
                <w:color w:val="auto"/>
              </w:rPr>
            </w:pPr>
          </w:p>
        </w:tc>
        <w:tc>
          <w:tcPr>
            <w:tcW w:w="4800" w:type="dxa"/>
            <w:vAlign w:val="bottom"/>
            <w:gridSpan w:val="20"/>
          </w:tcPr>
          <w:p>
            <w:pPr>
              <w:ind w:left="4620"/>
              <w:spacing w:after="0"/>
              <w:rPr>
                <w:sz w:val="20"/>
                <w:szCs w:val="20"/>
                <w:color w:val="auto"/>
              </w:rPr>
            </w:pPr>
            <w:r>
              <w:rPr>
                <w:rFonts w:ascii="Times New Roman" w:cs="Times New Roman" w:eastAsia="Times New Roman" w:hAnsi="Times New Roman"/>
                <w:sz w:val="15"/>
                <w:szCs w:val="15"/>
                <w:color w:val="auto"/>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559"/>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4.75</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58">
              <w:r>
                <w:rPr>
                  <w:rFonts w:ascii="Times New Roman" w:cs="Times New Roman" w:eastAsia="Times New Roman" w:hAnsi="Times New Roman"/>
                  <w:sz w:val="15"/>
                  <w:szCs w:val="15"/>
                  <w:color w:val="3051F2"/>
                </w:rPr>
                <w:t>Registration Rights Agreement Amendment No. 1, dated December 17, 2021,</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10.74</w:t>
            </w:r>
          </w:p>
        </w:tc>
        <w:tc>
          <w:tcPr>
            <w:tcW w:w="382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December 17, 2021</w:t>
            </w:r>
          </w:p>
        </w:tc>
      </w:tr>
      <w:tr>
        <w:trPr>
          <w:trHeight w:val="154"/>
        </w:trPr>
        <w:tc>
          <w:tcPr>
            <w:tcW w:w="920" w:type="dxa"/>
            <w:vAlign w:val="bottom"/>
          </w:tcPr>
          <w:p>
            <w:pPr>
              <w:spacing w:after="0"/>
              <w:rPr>
                <w:sz w:val="13"/>
                <w:szCs w:val="13"/>
                <w:color w:val="auto"/>
              </w:rPr>
            </w:pPr>
          </w:p>
        </w:tc>
        <w:tc>
          <w:tcPr>
            <w:tcW w:w="488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158">
              <w:r>
                <w:rPr>
                  <w:rFonts w:ascii="Times New Roman" w:cs="Times New Roman" w:eastAsia="Times New Roman" w:hAnsi="Times New Roman"/>
                  <w:sz w:val="15"/>
                  <w:szCs w:val="15"/>
                  <w:color w:val="3051F2"/>
                </w:rPr>
                <w:t>by and among Polestar Automotive Holding UK Limited, Gores Guggenheim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bottom w:val="single" w:sz="8" w:color="3051F2"/>
            </w:tcBorders>
            <w:gridSpan w:val="24"/>
          </w:tcPr>
          <w:p>
            <w:pPr>
              <w:spacing w:after="0" w:line="154" w:lineRule="exact"/>
              <w:rPr>
                <w:rFonts w:ascii="Times New Roman" w:cs="Times New Roman" w:eastAsia="Times New Roman" w:hAnsi="Times New Roman"/>
                <w:sz w:val="15"/>
                <w:szCs w:val="15"/>
                <w:color w:val="3051F2"/>
              </w:rPr>
            </w:pPr>
            <w:hyperlink r:id="rId158">
              <w:r>
                <w:rPr>
                  <w:rFonts w:ascii="Times New Roman" w:cs="Times New Roman" w:eastAsia="Times New Roman" w:hAnsi="Times New Roman"/>
                  <w:sz w:val="15"/>
                  <w:szCs w:val="15"/>
                  <w:color w:val="3051F2"/>
                </w:rPr>
                <w:t>Sponsor LLC, Randall Bort, Elizabeth Marcellino and Nancy Tellem, Polestar</w:t>
              </w:r>
            </w:hyperlink>
          </w:p>
        </w:tc>
        <w:tc>
          <w:tcPr>
            <w:tcW w:w="40" w:type="dxa"/>
            <w:vAlign w:val="bottom"/>
            <w:tcBorders>
              <w:bottom w:val="single" w:sz="8" w:color="3051F2"/>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00" w:type="dxa"/>
            <w:vAlign w:val="bottom"/>
            <w:gridSpan w:val="26"/>
          </w:tcPr>
          <w:p>
            <w:pPr>
              <w:spacing w:after="0" w:line="154" w:lineRule="exact"/>
              <w:rPr>
                <w:rFonts w:ascii="Times New Roman" w:cs="Times New Roman" w:eastAsia="Times New Roman" w:hAnsi="Times New Roman"/>
                <w:sz w:val="15"/>
                <w:szCs w:val="15"/>
                <w:color w:val="3051F2"/>
              </w:rPr>
            </w:pPr>
            <w:hyperlink r:id="rId158">
              <w:r>
                <w:rPr>
                  <w:rFonts w:ascii="Times New Roman" w:cs="Times New Roman" w:eastAsia="Times New Roman" w:hAnsi="Times New Roman"/>
                  <w:sz w:val="15"/>
                  <w:szCs w:val="15"/>
                  <w:color w:val="3051F2"/>
                </w:rPr>
                <w:t>Automotive Holding Limited and certain of its shareholders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80" w:type="dxa"/>
            <w:vAlign w:val="bottom"/>
            <w:tcBorders>
              <w:top w:val="single" w:sz="8" w:color="3051F2"/>
              <w:bottom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158">
              <w:r>
                <w:rPr>
                  <w:rFonts w:ascii="Times New Roman" w:cs="Times New Roman" w:eastAsia="Times New Roman" w:hAnsi="Times New Roman"/>
                  <w:sz w:val="15"/>
                  <w:szCs w:val="15"/>
                  <w:color w:val="3051F2"/>
                </w:rPr>
                <w:t>reference to Annex G-2 to the proxy statement/prospectus used in connection</w:t>
              </w:r>
            </w:hyperlink>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00" w:type="dxa"/>
            <w:vAlign w:val="bottom"/>
            <w:gridSpan w:val="21"/>
          </w:tcPr>
          <w:p>
            <w:pPr>
              <w:spacing w:after="0" w:line="154" w:lineRule="exact"/>
              <w:rPr>
                <w:rFonts w:ascii="Times New Roman" w:cs="Times New Roman" w:eastAsia="Times New Roman" w:hAnsi="Times New Roman"/>
                <w:sz w:val="15"/>
                <w:szCs w:val="15"/>
                <w:color w:val="3051F2"/>
              </w:rPr>
            </w:pPr>
            <w:hyperlink r:id="rId158">
              <w:r>
                <w:rPr>
                  <w:rFonts w:ascii="Times New Roman" w:cs="Times New Roman" w:eastAsia="Times New Roman" w:hAnsi="Times New Roman"/>
                  <w:sz w:val="15"/>
                  <w:szCs w:val="15"/>
                  <w:color w:val="3051F2"/>
                </w:rPr>
                <w:t>with the Business Combination).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4.76†</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59">
              <w:r>
                <w:rPr>
                  <w:rFonts w:ascii="Times New Roman" w:cs="Times New Roman" w:eastAsia="Times New Roman" w:hAnsi="Times New Roman"/>
                  <w:sz w:val="15"/>
                  <w:szCs w:val="15"/>
                  <w:color w:val="3051F2"/>
                </w:rPr>
                <w:t>Parts Supply and License Agreement, effective as of January 1, 2020, by and</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10.76</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76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159">
              <w:r>
                <w:rPr>
                  <w:rFonts w:ascii="Times New Roman" w:cs="Times New Roman" w:eastAsia="Times New Roman" w:hAnsi="Times New Roman"/>
                  <w:sz w:val="15"/>
                  <w:szCs w:val="15"/>
                  <w:color w:val="3051F2"/>
                </w:rPr>
                <w:t>between Polestar Performance AB and Volvo Car Corporation.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740" w:type="dxa"/>
            <w:vAlign w:val="bottom"/>
            <w:gridSpan w:val="2"/>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4.77</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Acknowledgement Agreement to the Shareholders Agreement, dated September</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10.77</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560" w:type="dxa"/>
            <w:vAlign w:val="bottom"/>
            <w:tcBorders>
              <w:top w:val="single" w:sz="8" w:color="3051F2"/>
              <w:bottom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27, 2021, by and among Volvo Car Corporation, Snita Holding B.V., PSD</w:t>
              </w:r>
            </w:hyperlink>
          </w:p>
        </w:tc>
        <w:tc>
          <w:tcPr>
            <w:tcW w:w="500" w:type="dxa"/>
            <w:vAlign w:val="bottom"/>
            <w:tcBorders>
              <w:top w:val="single" w:sz="8" w:color="3051F2"/>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40" w:type="dxa"/>
            <w:vAlign w:val="bottom"/>
            <w:tcBorders>
              <w:bottom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Investment Limited, PSINV AB, GLY New Mobility 1. LP, Northpole GLY 1</w:t>
              </w:r>
            </w:hyperlink>
          </w:p>
        </w:tc>
        <w:tc>
          <w:tcPr>
            <w:tcW w:w="240" w:type="dxa"/>
            <w:vAlign w:val="bottom"/>
            <w:gridSpan w:val="1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LP, Chongqing Liangjiang, Zibo Financial Holding Group Co., Ltd., Zibo High-</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40" w:type="dxa"/>
            <w:vAlign w:val="bottom"/>
            <w:tcBorders>
              <w:top w:val="single" w:sz="8" w:color="3051F2"/>
            </w:tcBorders>
            <w:gridSpan w:val="33"/>
          </w:tcPr>
          <w:p>
            <w:pPr>
              <w:spacing w:after="0" w:line="154"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Tech Industrial Investment Co., Ltd., Polestar Automotive Holding Limited and</w:t>
              </w:r>
            </w:hyperlink>
          </w:p>
        </w:tc>
        <w:tc>
          <w:tcPr>
            <w:tcW w:w="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00" w:type="dxa"/>
            <w:vAlign w:val="bottom"/>
            <w:tcBorders>
              <w:top w:val="single" w:sz="8" w:color="3051F2"/>
            </w:tcBorders>
            <w:gridSpan w:val="31"/>
          </w:tcPr>
          <w:p>
            <w:pPr>
              <w:spacing w:after="0" w:line="154"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Polestar Automotive Holding UK Limited (incorporated by reference to Annex</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29"/>
          </w:tcPr>
          <w:p>
            <w:pPr>
              <w:spacing w:after="0" w:line="154"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M-1 to the proxy statement/prospectus used in connection with the Business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42"/>
        </w:trPr>
        <w:tc>
          <w:tcPr>
            <w:tcW w:w="920" w:type="dxa"/>
            <w:vAlign w:val="bottom"/>
          </w:tcPr>
          <w:p>
            <w:pPr>
              <w:spacing w:after="0"/>
              <w:rPr>
                <w:sz w:val="12"/>
                <w:szCs w:val="12"/>
                <w:color w:val="auto"/>
              </w:rPr>
            </w:pPr>
          </w:p>
        </w:tc>
        <w:tc>
          <w:tcPr>
            <w:tcW w:w="900" w:type="dxa"/>
            <w:vAlign w:val="bottom"/>
            <w:tcBorders>
              <w:top w:val="single" w:sz="8" w:color="3051F2"/>
              <w:bottom w:val="single" w:sz="8" w:color="3051F2"/>
            </w:tcBorders>
            <w:gridSpan w:val="2"/>
          </w:tcPr>
          <w:p>
            <w:pPr>
              <w:spacing w:after="0" w:line="142" w:lineRule="exact"/>
              <w:rPr>
                <w:rFonts w:ascii="Times New Roman" w:cs="Times New Roman" w:eastAsia="Times New Roman" w:hAnsi="Times New Roman"/>
                <w:sz w:val="15"/>
                <w:szCs w:val="15"/>
                <w:color w:val="3051F2"/>
              </w:rPr>
            </w:pPr>
            <w:hyperlink r:id="rId160">
              <w:r>
                <w:rPr>
                  <w:rFonts w:ascii="Times New Roman" w:cs="Times New Roman" w:eastAsia="Times New Roman" w:hAnsi="Times New Roman"/>
                  <w:sz w:val="15"/>
                  <w:szCs w:val="15"/>
                  <w:color w:val="3051F2"/>
                </w:rPr>
                <w:t>Combination).</w:t>
              </w:r>
            </w:hyperlink>
          </w:p>
        </w:tc>
        <w:tc>
          <w:tcPr>
            <w:tcW w:w="3820" w:type="dxa"/>
            <w:vAlign w:val="bottom"/>
            <w:tcBorders>
              <w:top w:val="single" w:sz="8" w:color="3051F2"/>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4.78</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Form of Amendment to Acknowledgement Agreement to the Shareholders</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10.78</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120" w:type="dxa"/>
            <w:vAlign w:val="bottom"/>
            <w:gridSpan w:val="3"/>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380" w:type="dxa"/>
            <w:vAlign w:val="bottom"/>
            <w:gridSpan w:val="3"/>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tcBorders>
              <w:bottom w:val="single" w:sz="8" w:color="3051F2"/>
            </w:tcBorders>
            <w:gridSpan w:val="35"/>
          </w:tcPr>
          <w:p>
            <w:pPr>
              <w:spacing w:after="0" w:line="154"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Agreement, by and among Volvo Car Corporation, Snita Holding B.V., Zhejiang</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Geely Holding Group Co., Ltd., PSD Investment Limited, PSINV AB, GLY</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00" w:type="dxa"/>
            <w:vAlign w:val="bottom"/>
            <w:tcBorders>
              <w:top w:val="single" w:sz="8" w:color="3051F2"/>
            </w:tcBorders>
            <w:gridSpan w:val="16"/>
          </w:tcPr>
          <w:p>
            <w:pPr>
              <w:spacing w:after="0" w:line="154"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New Mobility 1. LP, Northpole GLY 1 LP, Chongqing Liangjiang, Zibo</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420" w:type="dxa"/>
            <w:vAlign w:val="bottom"/>
            <w:tcBorders>
              <w:top w:val="single" w:sz="8" w:color="3051F2"/>
            </w:tcBorders>
            <w:gridSpan w:val="10"/>
          </w:tcPr>
          <w:p>
            <w:pPr>
              <w:spacing w:after="0" w:line="154" w:lineRule="exact"/>
              <w:rPr>
                <w:rFonts w:ascii="Times New Roman" w:cs="Times New Roman" w:eastAsia="Times New Roman" w:hAnsi="Times New Roman"/>
                <w:sz w:val="15"/>
                <w:szCs w:val="15"/>
                <w:color w:val="3051F2"/>
                <w:w w:val="99"/>
              </w:rPr>
            </w:pPr>
            <w:hyperlink r:id="rId161">
              <w:r>
                <w:rPr>
                  <w:rFonts w:ascii="Times New Roman" w:cs="Times New Roman" w:eastAsia="Times New Roman" w:hAnsi="Times New Roman"/>
                  <w:sz w:val="15"/>
                  <w:szCs w:val="15"/>
                  <w:color w:val="3051F2"/>
                  <w:w w:val="99"/>
                </w:rPr>
                <w:t>Financial Holding Group Co., Ltd., Zibo High-Tech Industrial Investment</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2"/>
          </w:tcPr>
          <w:p>
            <w:pPr>
              <w:ind w:left="20"/>
              <w:spacing w:after="0" w:line="154"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Co.,</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20" w:type="dxa"/>
            <w:vAlign w:val="bottom"/>
            <w:tcBorders>
              <w:top w:val="single" w:sz="8" w:color="3051F2"/>
            </w:tcBorders>
            <w:gridSpan w:val="27"/>
          </w:tcPr>
          <w:p>
            <w:pPr>
              <w:spacing w:after="0" w:line="154"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Ltd., Polestar Automotive Holding Limited and Polestar Automotive Holding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40" w:type="dxa"/>
            <w:vAlign w:val="bottom"/>
            <w:tcBorders>
              <w:top w:val="single" w:sz="8" w:color="3051F2"/>
            </w:tcBorders>
            <w:gridSpan w:val="23"/>
          </w:tcPr>
          <w:p>
            <w:pPr>
              <w:spacing w:after="0" w:line="154"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UK Limited (incorporated by reference to Annex M-2 to the proxy</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120" w:type="dxa"/>
            <w:vAlign w:val="bottom"/>
            <w:gridSpan w:val="3"/>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380" w:type="dxa"/>
            <w:vAlign w:val="bottom"/>
            <w:gridSpan w:val="3"/>
            <w:shd w:val="clear" w:color="auto" w:fill="3051F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42"/>
        </w:trPr>
        <w:tc>
          <w:tcPr>
            <w:tcW w:w="920" w:type="dxa"/>
            <w:vAlign w:val="bottom"/>
          </w:tcPr>
          <w:p>
            <w:pPr>
              <w:spacing w:after="0"/>
              <w:rPr>
                <w:sz w:val="12"/>
                <w:szCs w:val="12"/>
                <w:color w:val="auto"/>
              </w:rPr>
            </w:pPr>
          </w:p>
        </w:tc>
        <w:tc>
          <w:tcPr>
            <w:tcW w:w="4560" w:type="dxa"/>
            <w:vAlign w:val="bottom"/>
            <w:tcBorders>
              <w:bottom w:val="single" w:sz="8" w:color="3051F2"/>
            </w:tcBorders>
            <w:gridSpan w:val="12"/>
          </w:tcPr>
          <w:p>
            <w:pPr>
              <w:spacing w:after="0" w:line="142" w:lineRule="exact"/>
              <w:rPr>
                <w:rFonts w:ascii="Times New Roman" w:cs="Times New Roman" w:eastAsia="Times New Roman" w:hAnsi="Times New Roman"/>
                <w:sz w:val="15"/>
                <w:szCs w:val="15"/>
                <w:color w:val="3051F2"/>
              </w:rPr>
            </w:pPr>
            <w:hyperlink r:id="rId161">
              <w:r>
                <w:rPr>
                  <w:rFonts w:ascii="Times New Roman" w:cs="Times New Roman" w:eastAsia="Times New Roman" w:hAnsi="Times New Roman"/>
                  <w:sz w:val="15"/>
                  <w:szCs w:val="15"/>
                  <w:color w:val="3051F2"/>
                </w:rPr>
                <w:t>statement/prospectus used in connection with the Business Combination).</w:t>
              </w:r>
            </w:hyperlink>
          </w:p>
        </w:tc>
        <w:tc>
          <w:tcPr>
            <w:tcW w:w="520" w:type="dxa"/>
            <w:vAlign w:val="bottom"/>
            <w:gridSpan w:val="23"/>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20" w:type="dxa"/>
            <w:vAlign w:val="bottom"/>
          </w:tcPr>
          <w:p>
            <w:pPr>
              <w:spacing w:after="0"/>
              <w:rPr>
                <w:sz w:val="12"/>
                <w:szCs w:val="12"/>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4.79†</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62">
              <w:r>
                <w:rPr>
                  <w:rFonts w:ascii="Times New Roman" w:cs="Times New Roman" w:eastAsia="Times New Roman" w:hAnsi="Times New Roman"/>
                  <w:sz w:val="15"/>
                  <w:szCs w:val="15"/>
                  <w:color w:val="3051F2"/>
                </w:rPr>
                <w:t>New, Used and Demonstrator Funding Agreement, dated June 14, 2021, by and</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10.79</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980" w:type="dxa"/>
            <w:vAlign w:val="bottom"/>
            <w:tcBorders>
              <w:top w:val="single" w:sz="8" w:color="3051F2"/>
            </w:tcBorders>
            <w:gridSpan w:val="30"/>
          </w:tcPr>
          <w:p>
            <w:pPr>
              <w:spacing w:after="0" w:line="154" w:lineRule="exact"/>
              <w:rPr>
                <w:rFonts w:ascii="Times New Roman" w:cs="Times New Roman" w:eastAsia="Times New Roman" w:hAnsi="Times New Roman"/>
                <w:sz w:val="15"/>
                <w:szCs w:val="15"/>
                <w:color w:val="3051F2"/>
              </w:rPr>
            </w:pPr>
            <w:hyperlink r:id="rId162">
              <w:r>
                <w:rPr>
                  <w:rFonts w:ascii="Times New Roman" w:cs="Times New Roman" w:eastAsia="Times New Roman" w:hAnsi="Times New Roman"/>
                  <w:sz w:val="15"/>
                  <w:szCs w:val="15"/>
                  <w:color w:val="3051F2"/>
                </w:rPr>
                <w:t>among Volvo Car Financial Services UK Limited and Polestar Automotive UK</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40" w:type="dxa"/>
            <w:vAlign w:val="bottom"/>
            <w:tcBorders>
              <w:top w:val="single" w:sz="8" w:color="3051F2"/>
            </w:tcBorders>
            <w:gridSpan w:val="28"/>
          </w:tcPr>
          <w:p>
            <w:pPr>
              <w:spacing w:after="0" w:line="154" w:lineRule="exact"/>
              <w:rPr>
                <w:rFonts w:ascii="Times New Roman" w:cs="Times New Roman" w:eastAsia="Times New Roman" w:hAnsi="Times New Roman"/>
                <w:sz w:val="15"/>
                <w:szCs w:val="15"/>
                <w:color w:val="3051F2"/>
              </w:rPr>
            </w:pPr>
            <w:hyperlink r:id="rId162">
              <w:r>
                <w:rPr>
                  <w:rFonts w:ascii="Times New Roman" w:cs="Times New Roman" w:eastAsia="Times New Roman" w:hAnsi="Times New Roman"/>
                  <w:sz w:val="15"/>
                  <w:szCs w:val="15"/>
                  <w:color w:val="3051F2"/>
                </w:rPr>
                <w:t>Limited.</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4.80†</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63">
              <w:r>
                <w:rPr>
                  <w:rFonts w:ascii="Times New Roman" w:cs="Times New Roman" w:eastAsia="Times New Roman" w:hAnsi="Times New Roman"/>
                  <w:sz w:val="15"/>
                  <w:szCs w:val="15"/>
                  <w:color w:val="3051F2"/>
                </w:rPr>
                <w:t>Service Agreement, effective as of January 28, 2022, by and between Volvo</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10.80</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3160" w:type="dxa"/>
            <w:vAlign w:val="bottom"/>
            <w:tcBorders>
              <w:top w:val="single" w:sz="8" w:color="3051F2"/>
              <w:bottom w:val="single" w:sz="8" w:color="3051F2"/>
            </w:tcBorders>
            <w:gridSpan w:val="5"/>
          </w:tcPr>
          <w:p>
            <w:pPr>
              <w:spacing w:after="0" w:line="154" w:lineRule="exact"/>
              <w:rPr>
                <w:rFonts w:ascii="Times New Roman" w:cs="Times New Roman" w:eastAsia="Times New Roman" w:hAnsi="Times New Roman"/>
                <w:sz w:val="15"/>
                <w:szCs w:val="15"/>
                <w:color w:val="3051F2"/>
              </w:rPr>
            </w:pPr>
            <w:hyperlink r:id="rId163">
              <w:r>
                <w:rPr>
                  <w:rFonts w:ascii="Times New Roman" w:cs="Times New Roman" w:eastAsia="Times New Roman" w:hAnsi="Times New Roman"/>
                  <w:sz w:val="15"/>
                  <w:szCs w:val="15"/>
                  <w:color w:val="3051F2"/>
                </w:rPr>
                <w:t>Cars USA LLC and Polestar Automotive USA Inc.</w:t>
              </w:r>
            </w:hyperlink>
          </w:p>
        </w:tc>
        <w:tc>
          <w:tcPr>
            <w:tcW w:w="1520" w:type="dxa"/>
            <w:vAlign w:val="bottom"/>
            <w:tcBorders>
              <w:top w:val="single" w:sz="8" w:color="3051F2"/>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4.81†</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164">
              <w:r>
                <w:rPr>
                  <w:rFonts w:ascii="Times New Roman" w:cs="Times New Roman" w:eastAsia="Times New Roman" w:hAnsi="Times New Roman"/>
                  <w:sz w:val="15"/>
                  <w:szCs w:val="15"/>
                  <w:color w:val="3051F2"/>
                </w:rPr>
                <w:t>Finance Cooperation Agreement, dated May 28, 2021, by and between Volvo</w:t>
              </w:r>
            </w:hyperlink>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10.81</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820" w:type="dxa"/>
            <w:vAlign w:val="bottom"/>
            <w:tcBorders>
              <w:top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164">
              <w:r>
                <w:rPr>
                  <w:rFonts w:ascii="Times New Roman" w:cs="Times New Roman" w:eastAsia="Times New Roman" w:hAnsi="Times New Roman"/>
                  <w:sz w:val="15"/>
                  <w:szCs w:val="15"/>
                  <w:color w:val="3051F2"/>
                </w:rPr>
                <w:t>Car Financial Services UK Limited and Polestar Automotive UK Limited.</w:t>
              </w:r>
            </w:hyperlink>
          </w:p>
        </w:tc>
        <w:tc>
          <w:tcPr>
            <w:tcW w:w="20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4.82†</w:t>
            </w:r>
          </w:p>
        </w:tc>
        <w:tc>
          <w:tcPr>
            <w:tcW w:w="4580" w:type="dxa"/>
            <w:vAlign w:val="bottom"/>
            <w:tcBorders>
              <w:top w:val="single" w:sz="8" w:color="3051F2"/>
            </w:tcBorders>
            <w:gridSpan w:val="13"/>
          </w:tcPr>
          <w:p>
            <w:pPr>
              <w:spacing w:after="0"/>
              <w:rPr>
                <w:rFonts w:ascii="Times New Roman" w:cs="Times New Roman" w:eastAsia="Times New Roman" w:hAnsi="Times New Roman"/>
                <w:sz w:val="15"/>
                <w:szCs w:val="15"/>
                <w:color w:val="3051F2"/>
              </w:rPr>
            </w:pPr>
            <w:hyperlink r:id="rId165">
              <w:r>
                <w:rPr>
                  <w:rFonts w:ascii="Times New Roman" w:cs="Times New Roman" w:eastAsia="Times New Roman" w:hAnsi="Times New Roman"/>
                  <w:sz w:val="15"/>
                  <w:szCs w:val="15"/>
                  <w:color w:val="3051F2"/>
                </w:rPr>
                <w:t>Corporate Guarantee and Indemnity Relating to Polestar Automotive UK</w:t>
              </w:r>
            </w:hyperlink>
          </w:p>
        </w:tc>
        <w:tc>
          <w:tcPr>
            <w:tcW w:w="500" w:type="dxa"/>
            <w:vAlign w:val="bottom"/>
            <w:gridSpan w:val="22"/>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F-4/A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10.82</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520" w:type="dxa"/>
            <w:vAlign w:val="bottom"/>
            <w:tcBorders>
              <w:top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165">
              <w:r>
                <w:rPr>
                  <w:rFonts w:ascii="Times New Roman" w:cs="Times New Roman" w:eastAsia="Times New Roman" w:hAnsi="Times New Roman"/>
                  <w:sz w:val="15"/>
                  <w:szCs w:val="15"/>
                  <w:color w:val="3051F2"/>
                </w:rPr>
                <w:t>Limited, dated June 14, 2021, by and between Polestar Performance AB</w:t>
              </w:r>
            </w:hyperlink>
          </w:p>
        </w:tc>
        <w:tc>
          <w:tcPr>
            <w:tcW w:w="560" w:type="dxa"/>
            <w:vAlign w:val="bottom"/>
            <w:gridSpan w:val="24"/>
          </w:tcPr>
          <w:p>
            <w:pPr>
              <w:spacing w:after="0" w:line="154" w:lineRule="exact"/>
              <w:rPr>
                <w:rFonts w:ascii="Times New Roman" w:cs="Times New Roman" w:eastAsia="Times New Roman" w:hAnsi="Times New Roman"/>
                <w:sz w:val="15"/>
                <w:szCs w:val="15"/>
                <w:color w:val="3051F2"/>
              </w:rPr>
            </w:pPr>
            <w:hyperlink r:id="rId165">
              <w:r>
                <w:rPr>
                  <w:rFonts w:ascii="Times New Roman" w:cs="Times New Roman" w:eastAsia="Times New Roman" w:hAnsi="Times New Roman"/>
                  <w:sz w:val="15"/>
                  <w:szCs w:val="15"/>
                  <w:color w:val="3051F2"/>
                </w:rPr>
                <w:t>and</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640" w:type="dxa"/>
            <w:vAlign w:val="bottom"/>
            <w:tcBorders>
              <w:top w:val="single" w:sz="8" w:color="3051F2"/>
              <w:bottom w:val="single" w:sz="8" w:color="3051F2"/>
            </w:tcBorders>
            <w:gridSpan w:val="4"/>
          </w:tcPr>
          <w:p>
            <w:pPr>
              <w:spacing w:after="0" w:line="154" w:lineRule="exact"/>
              <w:rPr>
                <w:rFonts w:ascii="Times New Roman" w:cs="Times New Roman" w:eastAsia="Times New Roman" w:hAnsi="Times New Roman"/>
                <w:sz w:val="15"/>
                <w:szCs w:val="15"/>
                <w:color w:val="3051F2"/>
              </w:rPr>
            </w:pPr>
            <w:hyperlink r:id="rId165">
              <w:r>
                <w:rPr>
                  <w:rFonts w:ascii="Times New Roman" w:cs="Times New Roman" w:eastAsia="Times New Roman" w:hAnsi="Times New Roman"/>
                  <w:sz w:val="15"/>
                  <w:szCs w:val="15"/>
                  <w:color w:val="3051F2"/>
                </w:rPr>
                <w:t>Volvo Car Financial Services UK Limited.</w:t>
              </w:r>
            </w:hyperlink>
          </w:p>
        </w:tc>
        <w:tc>
          <w:tcPr>
            <w:tcW w:w="2100" w:type="dxa"/>
            <w:vAlign w:val="bottom"/>
            <w:tcBorders>
              <w:top w:val="single" w:sz="8" w:color="3051F2"/>
            </w:tcBorders>
            <w:gridSpan w:val="14"/>
          </w:tcPr>
          <w:p>
            <w:pPr>
              <w:spacing w:after="0"/>
              <w:rPr>
                <w:sz w:val="13"/>
                <w:szCs w:val="13"/>
                <w:color w:val="auto"/>
              </w:rPr>
            </w:pPr>
          </w:p>
        </w:tc>
        <w:tc>
          <w:tcPr>
            <w:tcW w:w="280" w:type="dxa"/>
            <w:vAlign w:val="bottom"/>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93"/>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4.83</w:t>
            </w:r>
          </w:p>
        </w:tc>
        <w:tc>
          <w:tcPr>
            <w:tcW w:w="5080" w:type="dxa"/>
            <w:vAlign w:val="bottom"/>
            <w:gridSpan w:val="35"/>
          </w:tcPr>
          <w:p>
            <w:pPr>
              <w:spacing w:after="0"/>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Amendment No. 2 to Registration Rights Agreement, dated March 24, 2022, by</w:t>
              </w:r>
            </w:hyperlink>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w:t>
            </w:r>
          </w:p>
        </w:tc>
        <w:tc>
          <w:tcPr>
            <w:tcW w:w="382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March 25, 2022</w:t>
            </w:r>
          </w:p>
        </w:tc>
      </w:tr>
      <w:tr>
        <w:trPr>
          <w:trHeight w:val="154"/>
        </w:trPr>
        <w:tc>
          <w:tcPr>
            <w:tcW w:w="920" w:type="dxa"/>
            <w:vAlign w:val="bottom"/>
          </w:tcPr>
          <w:p>
            <w:pPr>
              <w:spacing w:after="0"/>
              <w:rPr>
                <w:sz w:val="13"/>
                <w:szCs w:val="13"/>
                <w:color w:val="auto"/>
              </w:rPr>
            </w:pPr>
          </w:p>
        </w:tc>
        <w:tc>
          <w:tcPr>
            <w:tcW w:w="5020" w:type="dxa"/>
            <w:vAlign w:val="bottom"/>
            <w:tcBorders>
              <w:top w:val="single" w:sz="8" w:color="3051F2"/>
            </w:tcBorders>
            <w:gridSpan w:val="32"/>
          </w:tcPr>
          <w:p>
            <w:pPr>
              <w:spacing w:after="0" w:line="154" w:lineRule="exact"/>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and among Polestar Automotive Holding UK Limited, Gores Guggenheim</w:t>
              </w:r>
            </w:hyperlink>
          </w:p>
        </w:tc>
        <w:tc>
          <w:tcPr>
            <w:tcW w:w="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740" w:type="dxa"/>
            <w:vAlign w:val="bottom"/>
            <w:gridSpan w:val="6"/>
            <w:shd w:val="clear" w:color="auto" w:fill="3051F2"/>
          </w:tcPr>
          <w:p>
            <w:pPr>
              <w:spacing w:after="0" w:line="20" w:lineRule="exact"/>
              <w:rPr>
                <w:sz w:val="1"/>
                <w:szCs w:val="1"/>
                <w:color w:val="auto"/>
              </w:rPr>
            </w:pPr>
          </w:p>
        </w:tc>
        <w:tc>
          <w:tcPr>
            <w:tcW w:w="860" w:type="dxa"/>
            <w:vAlign w:val="bottom"/>
            <w:gridSpan w:val="8"/>
            <w:shd w:val="clear" w:color="auto" w:fill="3051F2"/>
          </w:tcPr>
          <w:p>
            <w:pPr>
              <w:spacing w:after="0" w:line="20" w:lineRule="exact"/>
              <w:rPr>
                <w:sz w:val="1"/>
                <w:szCs w:val="1"/>
                <w:color w:val="auto"/>
              </w:rPr>
            </w:pPr>
          </w:p>
        </w:tc>
        <w:tc>
          <w:tcPr>
            <w:tcW w:w="480" w:type="dxa"/>
            <w:vAlign w:val="bottom"/>
            <w:gridSpan w:val="2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35"/>
          </w:tcPr>
          <w:p>
            <w:pPr>
              <w:spacing w:after="0" w:line="154" w:lineRule="exact"/>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Sponsor LLC, Randall Bort, Elizabeth Marcellino and Nancy Tellem, Polestar</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740" w:type="dxa"/>
            <w:vAlign w:val="bottom"/>
            <w:tcBorders>
              <w:top w:val="single" w:sz="8" w:color="3051F2"/>
              <w:bottom w:val="single" w:sz="8" w:color="3051F2"/>
            </w:tcBorders>
            <w:gridSpan w:val="6"/>
          </w:tcPr>
          <w:p>
            <w:pPr>
              <w:spacing w:after="0" w:line="154" w:lineRule="exact"/>
              <w:rPr>
                <w:rFonts w:ascii="Times New Roman" w:cs="Times New Roman" w:eastAsia="Times New Roman" w:hAnsi="Times New Roman"/>
                <w:sz w:val="15"/>
                <w:szCs w:val="15"/>
                <w:color w:val="3051F2"/>
              </w:rPr>
            </w:pPr>
            <w:hyperlink r:id="rId73">
              <w:r>
                <w:rPr>
                  <w:rFonts w:ascii="Times New Roman" w:cs="Times New Roman" w:eastAsia="Times New Roman" w:hAnsi="Times New Roman"/>
                  <w:sz w:val="15"/>
                  <w:szCs w:val="15"/>
                  <w:color w:val="3051F2"/>
                </w:rPr>
                <w:t>Automotive Holding Limited and certain of its shareholders.</w:t>
              </w:r>
            </w:hyperlink>
          </w:p>
        </w:tc>
        <w:tc>
          <w:tcPr>
            <w:tcW w:w="1160" w:type="dxa"/>
            <w:vAlign w:val="bottom"/>
            <w:tcBorders>
              <w:top w:val="single" w:sz="8" w:color="3051F2"/>
            </w:tcBorders>
            <w:gridSpan w:val="20"/>
          </w:tcPr>
          <w:p>
            <w:pPr>
              <w:spacing w:after="0"/>
              <w:rPr>
                <w:sz w:val="13"/>
                <w:szCs w:val="13"/>
                <w:color w:val="auto"/>
              </w:rPr>
            </w:pPr>
          </w:p>
        </w:tc>
        <w:tc>
          <w:tcPr>
            <w:tcW w:w="180" w:type="dxa"/>
            <w:vAlign w:val="bottom"/>
            <w:gridSpan w:val="9"/>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732"/>
        </w:trPr>
        <w:tc>
          <w:tcPr>
            <w:tcW w:w="920" w:type="dxa"/>
            <w:vAlign w:val="bottom"/>
          </w:tcPr>
          <w:p>
            <w:pPr>
              <w:spacing w:after="0"/>
              <w:rPr>
                <w:sz w:val="24"/>
                <w:szCs w:val="24"/>
                <w:color w:val="auto"/>
              </w:rPr>
            </w:pPr>
          </w:p>
        </w:tc>
        <w:tc>
          <w:tcPr>
            <w:tcW w:w="4820" w:type="dxa"/>
            <w:vAlign w:val="bottom"/>
            <w:gridSpan w:val="22"/>
          </w:tcPr>
          <w:p>
            <w:pPr>
              <w:ind w:left="4620"/>
              <w:spacing w:after="0"/>
              <w:rPr>
                <w:sz w:val="20"/>
                <w:szCs w:val="20"/>
                <w:color w:val="auto"/>
              </w:rPr>
            </w:pPr>
            <w:r>
              <w:rPr>
                <w:rFonts w:ascii="Times New Roman" w:cs="Times New Roman" w:eastAsia="Times New Roman" w:hAnsi="Times New Roman"/>
                <w:sz w:val="15"/>
                <w:szCs w:val="15"/>
                <w:color w:val="auto"/>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gridSpan w:val="23"/>
          </w:tcPr>
          <w:p>
            <w:pPr>
              <w:jc w:val="center"/>
              <w:ind w:right="42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559"/>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4.84†</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68">
              <w:r>
                <w:rPr>
                  <w:rFonts w:ascii="Times New Roman" w:cs="Times New Roman" w:eastAsia="Times New Roman" w:hAnsi="Times New Roman"/>
                  <w:sz w:val="15"/>
                  <w:szCs w:val="15"/>
                  <w:color w:val="3051F2"/>
                </w:rPr>
                <w:t>Cooperation Agreement, dated April 1, 2020, by and between Polestar</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F-4/A</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10.85</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May 23, 2022</w:t>
            </w: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34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80" w:type="dxa"/>
            <w:vAlign w:val="bottom"/>
            <w:gridSpan w:val="29"/>
          </w:tcPr>
          <w:p>
            <w:pPr>
              <w:spacing w:after="0" w:line="154" w:lineRule="exact"/>
              <w:rPr>
                <w:rFonts w:ascii="Times New Roman" w:cs="Times New Roman" w:eastAsia="Times New Roman" w:hAnsi="Times New Roman"/>
                <w:sz w:val="15"/>
                <w:szCs w:val="15"/>
                <w:color w:val="3051F2"/>
              </w:rPr>
            </w:pPr>
            <w:hyperlink r:id="rId168">
              <w:r>
                <w:rPr>
                  <w:rFonts w:ascii="Times New Roman" w:cs="Times New Roman" w:eastAsia="Times New Roman" w:hAnsi="Times New Roman"/>
                  <w:sz w:val="15"/>
                  <w:szCs w:val="15"/>
                  <w:color w:val="3051F2"/>
                </w:rPr>
                <w:t>Automotive China Distribution Co., Ltd. and Hangzhou Easybao Technology</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3051F2"/>
              <w:bottom w:val="single" w:sz="8" w:color="3051F2"/>
            </w:tcBorders>
            <w:gridSpan w:val="2"/>
          </w:tcPr>
          <w:p>
            <w:pPr>
              <w:spacing w:after="0" w:line="154" w:lineRule="exact"/>
              <w:rPr>
                <w:rFonts w:ascii="Times New Roman" w:cs="Times New Roman" w:eastAsia="Times New Roman" w:hAnsi="Times New Roman"/>
                <w:sz w:val="15"/>
                <w:szCs w:val="15"/>
                <w:color w:val="3051F2"/>
              </w:rPr>
            </w:pPr>
            <w:hyperlink r:id="rId168">
              <w:r>
                <w:rPr>
                  <w:rFonts w:ascii="Times New Roman" w:cs="Times New Roman" w:eastAsia="Times New Roman" w:hAnsi="Times New Roman"/>
                  <w:sz w:val="15"/>
                  <w:szCs w:val="15"/>
                  <w:color w:val="3051F2"/>
                </w:rPr>
                <w:t>Co., Ltd.</w:t>
              </w:r>
            </w:hyperlink>
          </w:p>
        </w:tc>
        <w:tc>
          <w:tcPr>
            <w:tcW w:w="4220" w:type="dxa"/>
            <w:vAlign w:val="bottom"/>
            <w:tcBorders>
              <w:top w:val="single" w:sz="8" w:color="3051F2"/>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4.85†</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69">
              <w:r>
                <w:rPr>
                  <w:rFonts w:ascii="Times New Roman" w:cs="Times New Roman" w:eastAsia="Times New Roman" w:hAnsi="Times New Roman"/>
                  <w:sz w:val="15"/>
                  <w:szCs w:val="15"/>
                  <w:color w:val="3051F2"/>
                </w:rPr>
                <w:t>Finance Cooperation Agreement, dated as of June 1, 2021, between Polestar</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F-4/A</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10.86</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May 23, 2022</w:t>
            </w:r>
          </w:p>
        </w:tc>
      </w:tr>
      <w:tr>
        <w:trPr>
          <w:trHeight w:val="154"/>
        </w:trPr>
        <w:tc>
          <w:tcPr>
            <w:tcW w:w="920" w:type="dxa"/>
            <w:vAlign w:val="bottom"/>
          </w:tcPr>
          <w:p>
            <w:pPr>
              <w:spacing w:after="0"/>
              <w:rPr>
                <w:sz w:val="13"/>
                <w:szCs w:val="13"/>
                <w:color w:val="auto"/>
              </w:rPr>
            </w:pPr>
          </w:p>
        </w:tc>
        <w:tc>
          <w:tcPr>
            <w:tcW w:w="4680" w:type="dxa"/>
            <w:vAlign w:val="bottom"/>
            <w:tcBorders>
              <w:top w:val="single" w:sz="8" w:color="3051F2"/>
              <w:bottom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69">
              <w:r>
                <w:rPr>
                  <w:rFonts w:ascii="Times New Roman" w:cs="Times New Roman" w:eastAsia="Times New Roman" w:hAnsi="Times New Roman"/>
                  <w:sz w:val="15"/>
                  <w:szCs w:val="15"/>
                  <w:color w:val="3051F2"/>
                </w:rPr>
                <w:t>Automotive China Distribution Co., Ltd and Genius Auto Finance Co., Ltd.</w:t>
              </w:r>
            </w:hyperlink>
          </w:p>
        </w:tc>
        <w:tc>
          <w:tcPr>
            <w:tcW w:w="60" w:type="dxa"/>
            <w:vAlign w:val="bottom"/>
            <w:tcBorders>
              <w:top w:val="single" w:sz="8" w:color="3051F2"/>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4.86†</w:t>
            </w:r>
          </w:p>
        </w:tc>
        <w:tc>
          <w:tcPr>
            <w:tcW w:w="4880" w:type="dxa"/>
            <w:vAlign w:val="bottom"/>
            <w:tcBorders>
              <w:bottom w:val="single" w:sz="8" w:color="3051F2"/>
            </w:tcBorders>
            <w:gridSpan w:val="22"/>
          </w:tcPr>
          <w:p>
            <w:pPr>
              <w:spacing w:after="0"/>
              <w:rPr>
                <w:rFonts w:ascii="Times New Roman" w:cs="Times New Roman" w:eastAsia="Times New Roman" w:hAnsi="Times New Roman"/>
                <w:sz w:val="15"/>
                <w:szCs w:val="15"/>
                <w:color w:val="3051F2"/>
              </w:rPr>
            </w:pPr>
            <w:hyperlink r:id="rId170">
              <w:r>
                <w:rPr>
                  <w:rFonts w:ascii="Times New Roman" w:cs="Times New Roman" w:eastAsia="Times New Roman" w:hAnsi="Times New Roman"/>
                  <w:sz w:val="15"/>
                  <w:szCs w:val="15"/>
                  <w:color w:val="3051F2"/>
                </w:rPr>
                <w:t>Framework Agreement on Import &amp; Export Polestar Vehicles, dated as of June</w:t>
              </w:r>
            </w:hyperlink>
          </w:p>
        </w:tc>
        <w:tc>
          <w:tcPr>
            <w:tcW w:w="200" w:type="dxa"/>
            <w:vAlign w:val="bottom"/>
            <w:gridSpan w:val="7"/>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4.91</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June 29, 2022</w:t>
            </w:r>
          </w:p>
        </w:tc>
      </w:tr>
      <w:tr>
        <w:trPr>
          <w:trHeight w:val="154"/>
        </w:trPr>
        <w:tc>
          <w:tcPr>
            <w:tcW w:w="920" w:type="dxa"/>
            <w:vAlign w:val="bottom"/>
          </w:tcPr>
          <w:p>
            <w:pPr>
              <w:spacing w:after="0"/>
              <w:rPr>
                <w:sz w:val="13"/>
                <w:szCs w:val="13"/>
                <w:color w:val="auto"/>
              </w:rPr>
            </w:pPr>
          </w:p>
        </w:tc>
        <w:tc>
          <w:tcPr>
            <w:tcW w:w="5000" w:type="dxa"/>
            <w:vAlign w:val="bottom"/>
            <w:tcBorders>
              <w:bottom w:val="single" w:sz="8" w:color="3051F2"/>
            </w:tcBorders>
            <w:gridSpan w:val="28"/>
          </w:tcPr>
          <w:p>
            <w:pPr>
              <w:spacing w:after="0" w:line="154" w:lineRule="exact"/>
              <w:rPr>
                <w:rFonts w:ascii="Times New Roman" w:cs="Times New Roman" w:eastAsia="Times New Roman" w:hAnsi="Times New Roman"/>
                <w:sz w:val="15"/>
                <w:szCs w:val="15"/>
                <w:color w:val="3051F2"/>
              </w:rPr>
            </w:pPr>
            <w:hyperlink r:id="rId170">
              <w:r>
                <w:rPr>
                  <w:rFonts w:ascii="Times New Roman" w:cs="Times New Roman" w:eastAsia="Times New Roman" w:hAnsi="Times New Roman"/>
                  <w:sz w:val="15"/>
                  <w:szCs w:val="15"/>
                  <w:color w:val="3051F2"/>
                </w:rPr>
                <w:t>21, 2022, by and between Volvo Car Corporation and Polestar Performance AB.</w:t>
              </w:r>
            </w:hyperlink>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4.87†</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1">
              <w:r>
                <w:rPr>
                  <w:rFonts w:ascii="Times New Roman" w:cs="Times New Roman" w:eastAsia="Times New Roman" w:hAnsi="Times New Roman"/>
                  <w:sz w:val="15"/>
                  <w:szCs w:val="15"/>
                  <w:color w:val="3051F2"/>
                </w:rPr>
                <w:t>Sale &amp; Purchase Agreement, dated as of June 21, 2022, by and between Volvo</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4.92</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June 29, 2022</w:t>
            </w:r>
          </w:p>
        </w:tc>
      </w:tr>
      <w:tr>
        <w:trPr>
          <w:trHeight w:val="154"/>
        </w:trPr>
        <w:tc>
          <w:tcPr>
            <w:tcW w:w="920" w:type="dxa"/>
            <w:vAlign w:val="bottom"/>
          </w:tcPr>
          <w:p>
            <w:pPr>
              <w:spacing w:after="0"/>
              <w:rPr>
                <w:sz w:val="13"/>
                <w:szCs w:val="13"/>
                <w:color w:val="auto"/>
              </w:rPr>
            </w:pPr>
          </w:p>
        </w:tc>
        <w:tc>
          <w:tcPr>
            <w:tcW w:w="3100" w:type="dxa"/>
            <w:vAlign w:val="bottom"/>
            <w:tcBorders>
              <w:top w:val="single" w:sz="8" w:color="3051F2"/>
              <w:bottom w:val="single" w:sz="8" w:color="3051F2"/>
            </w:tcBorders>
            <w:gridSpan w:val="6"/>
          </w:tcPr>
          <w:p>
            <w:pPr>
              <w:spacing w:after="0" w:line="154" w:lineRule="exact"/>
              <w:rPr>
                <w:rFonts w:ascii="Times New Roman" w:cs="Times New Roman" w:eastAsia="Times New Roman" w:hAnsi="Times New Roman"/>
                <w:sz w:val="15"/>
                <w:szCs w:val="15"/>
                <w:color w:val="3051F2"/>
              </w:rPr>
            </w:pPr>
            <w:hyperlink r:id="rId171">
              <w:r>
                <w:rPr>
                  <w:rFonts w:ascii="Times New Roman" w:cs="Times New Roman" w:eastAsia="Times New Roman" w:hAnsi="Times New Roman"/>
                  <w:sz w:val="15"/>
                  <w:szCs w:val="15"/>
                  <w:color w:val="3051F2"/>
                </w:rPr>
                <w:t>Car USA LLC and Polestar Automotive USA Inc.</w:t>
              </w:r>
            </w:hyperlink>
          </w:p>
        </w:tc>
        <w:tc>
          <w:tcPr>
            <w:tcW w:w="1760" w:type="dxa"/>
            <w:vAlign w:val="bottom"/>
            <w:tcBorders>
              <w:top w:val="single" w:sz="8" w:color="3051F2"/>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4.88†</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2">
              <w:r>
                <w:rPr>
                  <w:rFonts w:ascii="Times New Roman" w:cs="Times New Roman" w:eastAsia="Times New Roman" w:hAnsi="Times New Roman"/>
                  <w:sz w:val="15"/>
                  <w:szCs w:val="15"/>
                  <w:color w:val="3051F2"/>
                </w:rPr>
                <w:t>Importer Agreement, dated as of June 21, 2022, by and between Polestar</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4.93</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June 29, 2022</w:t>
            </w:r>
          </w:p>
        </w:tc>
      </w:tr>
      <w:tr>
        <w:trPr>
          <w:trHeight w:val="154"/>
        </w:trPr>
        <w:tc>
          <w:tcPr>
            <w:tcW w:w="920" w:type="dxa"/>
            <w:vAlign w:val="bottom"/>
          </w:tcPr>
          <w:p>
            <w:pPr>
              <w:spacing w:after="0"/>
              <w:rPr>
                <w:sz w:val="13"/>
                <w:szCs w:val="13"/>
                <w:color w:val="auto"/>
              </w:rPr>
            </w:pPr>
          </w:p>
        </w:tc>
        <w:tc>
          <w:tcPr>
            <w:tcW w:w="4500" w:type="dxa"/>
            <w:vAlign w:val="bottom"/>
            <w:tcBorders>
              <w:top w:val="single" w:sz="8" w:color="3051F2"/>
            </w:tcBorders>
            <w:gridSpan w:val="11"/>
          </w:tcPr>
          <w:p>
            <w:pPr>
              <w:spacing w:after="0" w:line="154" w:lineRule="exact"/>
              <w:rPr>
                <w:rFonts w:ascii="Times New Roman" w:cs="Times New Roman" w:eastAsia="Times New Roman" w:hAnsi="Times New Roman"/>
                <w:sz w:val="15"/>
                <w:szCs w:val="15"/>
                <w:color w:val="3051F2"/>
              </w:rPr>
            </w:pPr>
            <w:hyperlink r:id="rId172">
              <w:r>
                <w:rPr>
                  <w:rFonts w:ascii="Times New Roman" w:cs="Times New Roman" w:eastAsia="Times New Roman" w:hAnsi="Times New Roman"/>
                  <w:sz w:val="15"/>
                  <w:szCs w:val="15"/>
                  <w:color w:val="3051F2"/>
                </w:rPr>
                <w:t>Performance AB and Volvo Car USA LLC.</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640" w:type="dxa"/>
            <w:vAlign w:val="bottom"/>
            <w:gridSpan w:val="2"/>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3"/>
        </w:trPr>
        <w:tc>
          <w:tcPr>
            <w:tcW w:w="9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4.89†</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3">
              <w:r>
                <w:rPr>
                  <w:rFonts w:ascii="Times New Roman" w:cs="Times New Roman" w:eastAsia="Times New Roman" w:hAnsi="Times New Roman"/>
                  <w:sz w:val="15"/>
                  <w:szCs w:val="15"/>
                  <w:color w:val="3051F2"/>
                </w:rPr>
                <w:t>Form of Letter of Appointment as Non-Executive Director of Polestar</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4.94</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June 29, 2022</w:t>
            </w:r>
          </w:p>
        </w:tc>
      </w:tr>
      <w:tr>
        <w:trPr>
          <w:trHeight w:val="154"/>
        </w:trPr>
        <w:tc>
          <w:tcPr>
            <w:tcW w:w="920" w:type="dxa"/>
            <w:vAlign w:val="bottom"/>
          </w:tcPr>
          <w:p>
            <w:pPr>
              <w:spacing w:after="0"/>
              <w:rPr>
                <w:sz w:val="13"/>
                <w:szCs w:val="13"/>
                <w:color w:val="auto"/>
              </w:rPr>
            </w:pPr>
          </w:p>
        </w:tc>
        <w:tc>
          <w:tcPr>
            <w:tcW w:w="4340" w:type="dxa"/>
            <w:vAlign w:val="bottom"/>
            <w:tcBorders>
              <w:top w:val="single" w:sz="8" w:color="3051F2"/>
            </w:tcBorders>
            <w:gridSpan w:val="10"/>
          </w:tcPr>
          <w:p>
            <w:pPr>
              <w:spacing w:after="0" w:line="154" w:lineRule="exact"/>
              <w:rPr>
                <w:rFonts w:ascii="Times New Roman" w:cs="Times New Roman" w:eastAsia="Times New Roman" w:hAnsi="Times New Roman"/>
                <w:sz w:val="15"/>
                <w:szCs w:val="15"/>
                <w:color w:val="3051F2"/>
              </w:rPr>
            </w:pPr>
            <w:hyperlink r:id="rId173">
              <w:r>
                <w:rPr>
                  <w:rFonts w:ascii="Times New Roman" w:cs="Times New Roman" w:eastAsia="Times New Roman" w:hAnsi="Times New Roman"/>
                  <w:sz w:val="15"/>
                  <w:szCs w:val="15"/>
                  <w:color w:val="3051F2"/>
                </w:rPr>
                <w:t>Automotive Holding UK PLC.</w:t>
              </w:r>
            </w:hyperlink>
          </w:p>
        </w:tc>
        <w:tc>
          <w:tcPr>
            <w:tcW w:w="2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640" w:type="dxa"/>
            <w:vAlign w:val="bottom"/>
            <w:gridSpan w:val="2"/>
            <w:shd w:val="clear" w:color="auto" w:fill="3051F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3"/>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4.90†</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4">
              <w:r>
                <w:rPr>
                  <w:rFonts w:ascii="Times New Roman" w:cs="Times New Roman" w:eastAsia="Times New Roman" w:hAnsi="Times New Roman"/>
                  <w:sz w:val="15"/>
                  <w:szCs w:val="15"/>
                  <w:color w:val="3051F2"/>
                </w:rPr>
                <w:t>Research and Development Frame Agreement, dated as of July 5, 2022, by and</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F-1/A</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10.91</w:t>
            </w:r>
          </w:p>
        </w:tc>
        <w:tc>
          <w:tcPr>
            <w:tcW w:w="3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August 18, 2022</w:t>
            </w:r>
          </w:p>
        </w:tc>
      </w:tr>
      <w:tr>
        <w:trPr>
          <w:trHeight w:val="154"/>
        </w:trPr>
        <w:tc>
          <w:tcPr>
            <w:tcW w:w="920" w:type="dxa"/>
            <w:vAlign w:val="bottom"/>
          </w:tcPr>
          <w:p>
            <w:pPr>
              <w:spacing w:after="0"/>
              <w:rPr>
                <w:sz w:val="13"/>
                <w:szCs w:val="13"/>
                <w:color w:val="auto"/>
              </w:rPr>
            </w:pPr>
          </w:p>
        </w:tc>
        <w:tc>
          <w:tcPr>
            <w:tcW w:w="4720" w:type="dxa"/>
            <w:vAlign w:val="bottom"/>
            <w:tcBorders>
              <w:top w:val="single" w:sz="8" w:color="3051F2"/>
              <w:bottom w:val="single" w:sz="8" w:color="3051F2"/>
            </w:tcBorders>
            <w:gridSpan w:val="15"/>
          </w:tcPr>
          <w:p>
            <w:pPr>
              <w:spacing w:after="0" w:line="154" w:lineRule="exact"/>
              <w:rPr>
                <w:rFonts w:ascii="Times New Roman" w:cs="Times New Roman" w:eastAsia="Times New Roman" w:hAnsi="Times New Roman"/>
                <w:sz w:val="15"/>
                <w:szCs w:val="15"/>
                <w:color w:val="3051F2"/>
              </w:rPr>
            </w:pPr>
            <w:hyperlink r:id="rId174">
              <w:r>
                <w:rPr>
                  <w:rFonts w:ascii="Times New Roman" w:cs="Times New Roman" w:eastAsia="Times New Roman" w:hAnsi="Times New Roman"/>
                  <w:sz w:val="15"/>
                  <w:szCs w:val="15"/>
                  <w:color w:val="3051F2"/>
                </w:rPr>
                <w:t>between Polestar Performance AB and China Euro Vehicle Technology AB.</w:t>
              </w:r>
            </w:hyperlink>
          </w:p>
        </w:tc>
        <w:tc>
          <w:tcPr>
            <w:tcW w:w="180" w:type="dxa"/>
            <w:vAlign w:val="bottom"/>
            <w:tcBorders>
              <w:top w:val="single" w:sz="8" w:color="3051F2"/>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46"/>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4.91†</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5">
              <w:r>
                <w:rPr>
                  <w:rFonts w:ascii="Times New Roman" w:cs="Times New Roman" w:eastAsia="Times New Roman" w:hAnsi="Times New Roman"/>
                  <w:sz w:val="15"/>
                  <w:szCs w:val="15"/>
                  <w:color w:val="3051F2"/>
                </w:rPr>
                <w:t>Service Agreement, dated as of July 4, 2022, between Zhongjia Automobile</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F-1/A</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10.92</w:t>
            </w:r>
          </w:p>
        </w:tc>
        <w:tc>
          <w:tcPr>
            <w:tcW w:w="3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August 18, 2022</w:t>
            </w:r>
          </w:p>
        </w:tc>
      </w:tr>
      <w:tr>
        <w:trPr>
          <w:trHeight w:val="154"/>
        </w:trPr>
        <w:tc>
          <w:tcPr>
            <w:tcW w:w="920" w:type="dxa"/>
            <w:vAlign w:val="bottom"/>
          </w:tcPr>
          <w:p>
            <w:pPr>
              <w:spacing w:after="0"/>
              <w:rPr>
                <w:sz w:val="13"/>
                <w:szCs w:val="13"/>
                <w:color w:val="auto"/>
              </w:rPr>
            </w:pPr>
          </w:p>
        </w:tc>
        <w:tc>
          <w:tcPr>
            <w:tcW w:w="4700" w:type="dxa"/>
            <w:vAlign w:val="bottom"/>
            <w:tcBorders>
              <w:top w:val="single" w:sz="8" w:color="3051F2"/>
              <w:bottom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175">
              <w:r>
                <w:rPr>
                  <w:rFonts w:ascii="Times New Roman" w:cs="Times New Roman" w:eastAsia="Times New Roman" w:hAnsi="Times New Roman"/>
                  <w:sz w:val="15"/>
                  <w:szCs w:val="15"/>
                  <w:color w:val="3051F2"/>
                </w:rPr>
                <w:t>Manufacturing (Chengdu) and Polestar Automotive China Distribution Co.</w:t>
              </w:r>
            </w:hyperlink>
          </w:p>
        </w:tc>
        <w:tc>
          <w:tcPr>
            <w:tcW w:w="240" w:type="dxa"/>
            <w:vAlign w:val="bottom"/>
            <w:tcBorders>
              <w:bottom w:val="single" w:sz="8" w:color="3051F2"/>
            </w:tcBorders>
            <w:gridSpan w:val="11"/>
          </w:tcPr>
          <w:p>
            <w:pPr>
              <w:spacing w:after="0" w:line="154" w:lineRule="exact"/>
              <w:rPr>
                <w:rFonts w:ascii="Times New Roman" w:cs="Times New Roman" w:eastAsia="Times New Roman" w:hAnsi="Times New Roman"/>
                <w:sz w:val="15"/>
                <w:szCs w:val="15"/>
                <w:color w:val="3051F2"/>
                <w:w w:val="89"/>
              </w:rPr>
            </w:pPr>
            <w:hyperlink r:id="rId175">
              <w:r>
                <w:rPr>
                  <w:rFonts w:ascii="Times New Roman" w:cs="Times New Roman" w:eastAsia="Times New Roman" w:hAnsi="Times New Roman"/>
                  <w:sz w:val="15"/>
                  <w:szCs w:val="15"/>
                  <w:color w:val="3051F2"/>
                  <w:w w:val="89"/>
                </w:rPr>
                <w:t>Ltd.</w:t>
              </w:r>
            </w:hyperlink>
          </w:p>
        </w:tc>
        <w:tc>
          <w:tcPr>
            <w:tcW w:w="14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58"/>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4.92†</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6">
              <w:r>
                <w:rPr>
                  <w:rFonts w:ascii="Times New Roman" w:cs="Times New Roman" w:eastAsia="Times New Roman" w:hAnsi="Times New Roman"/>
                  <w:sz w:val="15"/>
                  <w:szCs w:val="15"/>
                  <w:color w:val="3051F2"/>
                </w:rPr>
                <w:t>Prototype Supply Agreement, dated as of July 26, 2022, between Asia Europe</w:t>
              </w:r>
            </w:hyperlink>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F-1/A</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10.95</w:t>
            </w:r>
          </w:p>
        </w:tc>
        <w:tc>
          <w:tcPr>
            <w:tcW w:w="3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August 18, 2022</w:t>
            </w:r>
          </w:p>
        </w:tc>
      </w:tr>
      <w:tr>
        <w:trPr>
          <w:trHeight w:val="154"/>
        </w:trPr>
        <w:tc>
          <w:tcPr>
            <w:tcW w:w="920" w:type="dxa"/>
            <w:vAlign w:val="bottom"/>
          </w:tcPr>
          <w:p>
            <w:pPr>
              <w:spacing w:after="0"/>
              <w:rPr>
                <w:sz w:val="13"/>
                <w:szCs w:val="13"/>
                <w:color w:val="auto"/>
              </w:rPr>
            </w:pPr>
          </w:p>
        </w:tc>
        <w:tc>
          <w:tcPr>
            <w:tcW w:w="4840" w:type="dxa"/>
            <w:vAlign w:val="bottom"/>
            <w:tcBorders>
              <w:top w:val="single" w:sz="8" w:color="3051F2"/>
            </w:tcBorders>
            <w:gridSpan w:val="20"/>
          </w:tcPr>
          <w:p>
            <w:pPr>
              <w:spacing w:after="0" w:line="154" w:lineRule="exact"/>
              <w:rPr>
                <w:rFonts w:ascii="Times New Roman" w:cs="Times New Roman" w:eastAsia="Times New Roman" w:hAnsi="Times New Roman"/>
                <w:sz w:val="15"/>
                <w:szCs w:val="15"/>
                <w:color w:val="3051F2"/>
              </w:rPr>
            </w:pPr>
            <w:hyperlink r:id="rId176">
              <w:r>
                <w:rPr>
                  <w:rFonts w:ascii="Times New Roman" w:cs="Times New Roman" w:eastAsia="Times New Roman" w:hAnsi="Times New Roman"/>
                  <w:sz w:val="15"/>
                  <w:szCs w:val="15"/>
                  <w:color w:val="3051F2"/>
                </w:rPr>
                <w:t>New Energy Vehicle Manufacturing (Chongqing) Co., Ltd., Polestar</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040" w:type="dxa"/>
            <w:vAlign w:val="bottom"/>
            <w:tcBorders>
              <w:top w:val="single" w:sz="8" w:color="3051F2"/>
              <w:bottom w:val="single" w:sz="8" w:color="3051F2"/>
            </w:tcBorders>
            <w:gridSpan w:val="8"/>
          </w:tcPr>
          <w:p>
            <w:pPr>
              <w:spacing w:after="0" w:line="154" w:lineRule="exact"/>
              <w:rPr>
                <w:rFonts w:ascii="Times New Roman" w:cs="Times New Roman" w:eastAsia="Times New Roman" w:hAnsi="Times New Roman"/>
                <w:sz w:val="15"/>
                <w:szCs w:val="15"/>
                <w:color w:val="3051F2"/>
              </w:rPr>
            </w:pPr>
            <w:hyperlink r:id="rId176">
              <w:r>
                <w:rPr>
                  <w:rFonts w:ascii="Times New Roman" w:cs="Times New Roman" w:eastAsia="Times New Roman" w:hAnsi="Times New Roman"/>
                  <w:sz w:val="15"/>
                  <w:szCs w:val="15"/>
                  <w:color w:val="3051F2"/>
                </w:rPr>
                <w:t>Performance AB and Polestar Automotive (Chongqing) Co., Ltd.</w:t>
              </w:r>
            </w:hyperlink>
          </w:p>
        </w:tc>
        <w:tc>
          <w:tcPr>
            <w:tcW w:w="180" w:type="dxa"/>
            <w:vAlign w:val="bottom"/>
            <w:tcBorders>
              <w:top w:val="single" w:sz="8" w:color="3051F2"/>
            </w:tcBorders>
          </w:tcPr>
          <w:p>
            <w:pPr>
              <w:spacing w:after="0"/>
              <w:rPr>
                <w:sz w:val="13"/>
                <w:szCs w:val="13"/>
                <w:color w:val="auto"/>
              </w:rPr>
            </w:pPr>
          </w:p>
        </w:tc>
        <w:tc>
          <w:tcPr>
            <w:tcW w:w="4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81"/>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4.93†</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7">
              <w:r>
                <w:rPr>
                  <w:rFonts w:ascii="Times New Roman" w:cs="Times New Roman" w:eastAsia="Times New Roman" w:hAnsi="Times New Roman"/>
                  <w:sz w:val="15"/>
                  <w:szCs w:val="15"/>
                  <w:color w:val="3051F2"/>
                </w:rPr>
                <w:t>Service Agreement, executed as of September 27, 2022, between Volvo Car</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4.93</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680" w:type="dxa"/>
            <w:vAlign w:val="bottom"/>
            <w:tcBorders>
              <w:top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77">
              <w:r>
                <w:rPr>
                  <w:rFonts w:ascii="Times New Roman" w:cs="Times New Roman" w:eastAsia="Times New Roman" w:hAnsi="Times New Roman"/>
                  <w:sz w:val="15"/>
                  <w:szCs w:val="15"/>
                  <w:color w:val="3051F2"/>
                </w:rPr>
                <w:t>Corporation and Polestar Performance AB.</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400" w:type="dxa"/>
            <w:vAlign w:val="bottom"/>
            <w:gridSpan w:val="3"/>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46"/>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4.94†</w:t>
            </w:r>
          </w:p>
        </w:tc>
        <w:tc>
          <w:tcPr>
            <w:tcW w:w="5080" w:type="dxa"/>
            <w:vAlign w:val="bottom"/>
            <w:gridSpan w:val="29"/>
          </w:tcPr>
          <w:p>
            <w:pPr>
              <w:spacing w:after="0"/>
              <w:rPr>
                <w:rFonts w:ascii="Times New Roman" w:cs="Times New Roman" w:eastAsia="Times New Roman" w:hAnsi="Times New Roman"/>
                <w:sz w:val="15"/>
                <w:szCs w:val="15"/>
                <w:color w:val="0000FF"/>
              </w:rPr>
            </w:pPr>
            <w:hyperlink r:id="rId178">
              <w:r>
                <w:rPr>
                  <w:rFonts w:ascii="Times New Roman" w:cs="Times New Roman" w:eastAsia="Times New Roman" w:hAnsi="Times New Roman"/>
                  <w:sz w:val="15"/>
                  <w:szCs w:val="15"/>
                  <w:color w:val="0000FF"/>
                </w:rPr>
                <w:t>Amendment Agreement 1 to Prototype Supply Agreement, dated as of February</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4.94</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5"/>
                <w:szCs w:val="15"/>
                <w:color w:val="0000FF"/>
              </w:rPr>
            </w:pPr>
            <w:hyperlink r:id="rId178">
              <w:r>
                <w:rPr>
                  <w:rFonts w:ascii="Times New Roman" w:cs="Times New Roman" w:eastAsia="Times New Roman" w:hAnsi="Times New Roman"/>
                  <w:sz w:val="15"/>
                  <w:szCs w:val="15"/>
                  <w:color w:val="0000FF"/>
                </w:rPr>
                <w:t>3, 2023, between Asia Europe New Energy Vehicle Manufacturing (Chongqing)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00" w:type="dxa"/>
            <w:vAlign w:val="bottom"/>
            <w:gridSpan w:val="28"/>
          </w:tcPr>
          <w:p>
            <w:pPr>
              <w:spacing w:after="0" w:line="154" w:lineRule="exact"/>
              <w:rPr>
                <w:rFonts w:ascii="Times New Roman" w:cs="Times New Roman" w:eastAsia="Times New Roman" w:hAnsi="Times New Roman"/>
                <w:sz w:val="15"/>
                <w:szCs w:val="15"/>
                <w:color w:val="0000FF"/>
              </w:rPr>
            </w:pPr>
            <w:hyperlink r:id="rId178">
              <w:r>
                <w:rPr>
                  <w:rFonts w:ascii="Times New Roman" w:cs="Times New Roman" w:eastAsia="Times New Roman" w:hAnsi="Times New Roman"/>
                  <w:sz w:val="15"/>
                  <w:szCs w:val="15"/>
                  <w:color w:val="0000FF"/>
                </w:rPr>
                <w:t>Co., Ltd., Polestar Performance AB and Polestar Automotive (Chongqing) Co.,</w:t>
              </w:r>
            </w:hyperlink>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w w:val="97"/>
              </w:rPr>
            </w:pPr>
            <w:hyperlink r:id="rId178">
              <w:r>
                <w:rPr>
                  <w:rFonts w:ascii="Times New Roman" w:cs="Times New Roman" w:eastAsia="Times New Roman" w:hAnsi="Times New Roman"/>
                  <w:sz w:val="15"/>
                  <w:szCs w:val="15"/>
                  <w:color w:val="0000FF"/>
                  <w:w w:val="97"/>
                </w:rPr>
                <w:t>Ltd.</w:t>
              </w:r>
            </w:hyperlink>
          </w:p>
        </w:tc>
        <w:tc>
          <w:tcPr>
            <w:tcW w:w="46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58"/>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4.95†</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79">
              <w:r>
                <w:rPr>
                  <w:rFonts w:ascii="Times New Roman" w:cs="Times New Roman" w:eastAsia="Times New Roman" w:hAnsi="Times New Roman"/>
                  <w:sz w:val="15"/>
                  <w:szCs w:val="15"/>
                  <w:color w:val="3051F2"/>
                </w:rPr>
                <w:t>Framework Service Agreement, dated as of December 23, 2022, between Volvo</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4.95</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94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179">
              <w:r>
                <w:rPr>
                  <w:rFonts w:ascii="Times New Roman" w:cs="Times New Roman" w:eastAsia="Times New Roman" w:hAnsi="Times New Roman"/>
                  <w:sz w:val="15"/>
                  <w:szCs w:val="15"/>
                  <w:color w:val="3051F2"/>
                </w:rPr>
                <w:t>Car Corporation and Polestar Performance AB.</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920" w:type="dxa"/>
            <w:vAlign w:val="bottom"/>
            <w:gridSpan w:val="5"/>
            <w:shd w:val="clear" w:color="auto" w:fill="3051F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46"/>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4.96†</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80">
              <w:r>
                <w:rPr>
                  <w:rFonts w:ascii="Times New Roman" w:cs="Times New Roman" w:eastAsia="Times New Roman" w:hAnsi="Times New Roman"/>
                  <w:sz w:val="15"/>
                  <w:szCs w:val="15"/>
                  <w:color w:val="3051F2"/>
                </w:rPr>
                <w:t>Amendment Agreement No. 1 to the Polestar 2 Model Year Program License,</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4.96</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820" w:type="dxa"/>
            <w:vAlign w:val="bottom"/>
            <w:tcBorders>
              <w:top w:val="single" w:sz="8" w:color="3051F2"/>
            </w:tcBorders>
            <w:gridSpan w:val="19"/>
          </w:tcPr>
          <w:p>
            <w:pPr>
              <w:spacing w:after="0" w:line="154" w:lineRule="exact"/>
              <w:rPr>
                <w:rFonts w:ascii="Times New Roman" w:cs="Times New Roman" w:eastAsia="Times New Roman" w:hAnsi="Times New Roman"/>
                <w:sz w:val="15"/>
                <w:szCs w:val="15"/>
                <w:color w:val="3051F2"/>
              </w:rPr>
            </w:pPr>
            <w:hyperlink r:id="rId180">
              <w:r>
                <w:rPr>
                  <w:rFonts w:ascii="Times New Roman" w:cs="Times New Roman" w:eastAsia="Times New Roman" w:hAnsi="Times New Roman"/>
                  <w:sz w:val="15"/>
                  <w:szCs w:val="15"/>
                  <w:color w:val="3051F2"/>
                </w:rPr>
                <w:t>License Assignment and Service Agreement, dated as of December 13, 2022,</w:t>
              </w:r>
            </w:hyperlink>
          </w:p>
        </w:tc>
        <w:tc>
          <w:tcPr>
            <w:tcW w:w="1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00" w:type="dxa"/>
            <w:vAlign w:val="bottom"/>
            <w:tcBorders>
              <w:top w:val="single" w:sz="8" w:color="3051F2"/>
            </w:tcBorders>
            <w:gridSpan w:val="18"/>
          </w:tcPr>
          <w:p>
            <w:pPr>
              <w:spacing w:after="0" w:line="154" w:lineRule="exact"/>
              <w:rPr>
                <w:rFonts w:ascii="Times New Roman" w:cs="Times New Roman" w:eastAsia="Times New Roman" w:hAnsi="Times New Roman"/>
                <w:sz w:val="15"/>
                <w:szCs w:val="15"/>
                <w:color w:val="3051F2"/>
              </w:rPr>
            </w:pPr>
            <w:hyperlink r:id="rId180">
              <w:r>
                <w:rPr>
                  <w:rFonts w:ascii="Times New Roman" w:cs="Times New Roman" w:eastAsia="Times New Roman" w:hAnsi="Times New Roman"/>
                  <w:sz w:val="15"/>
                  <w:szCs w:val="15"/>
                  <w:color w:val="3051F2"/>
                </w:rPr>
                <w:t>between Volvo Car Corporation and Polestar Automotive China Distribution</w:t>
              </w:r>
            </w:hyperlink>
          </w:p>
        </w:tc>
        <w:tc>
          <w:tcPr>
            <w:tcW w:w="280" w:type="dxa"/>
            <w:vAlign w:val="bottom"/>
            <w:gridSpan w:val="11"/>
          </w:tcPr>
          <w:p>
            <w:pPr>
              <w:spacing w:after="0" w:line="154" w:lineRule="exact"/>
              <w:rPr>
                <w:rFonts w:ascii="Times New Roman" w:cs="Times New Roman" w:eastAsia="Times New Roman" w:hAnsi="Times New Roman"/>
                <w:sz w:val="15"/>
                <w:szCs w:val="15"/>
                <w:color w:val="3051F2"/>
              </w:rPr>
            </w:pPr>
            <w:hyperlink r:id="rId180">
              <w:r>
                <w:rPr>
                  <w:rFonts w:ascii="Times New Roman" w:cs="Times New Roman" w:eastAsia="Times New Roman" w:hAnsi="Times New Roman"/>
                  <w:sz w:val="15"/>
                  <w:szCs w:val="15"/>
                  <w:color w:val="3051F2"/>
                </w:rPr>
                <w:t>Co</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60" w:type="dxa"/>
            <w:vAlign w:val="bottom"/>
            <w:tcBorders>
              <w:top w:val="single" w:sz="8" w:color="3051F2"/>
              <w:bottom w:val="single" w:sz="8" w:color="3051F2"/>
            </w:tcBorders>
          </w:tcPr>
          <w:p>
            <w:pPr>
              <w:spacing w:after="0" w:line="154" w:lineRule="exact"/>
              <w:rPr>
                <w:rFonts w:ascii="Times New Roman" w:cs="Times New Roman" w:eastAsia="Times New Roman" w:hAnsi="Times New Roman"/>
                <w:sz w:val="15"/>
                <w:szCs w:val="15"/>
                <w:color w:val="3051F2"/>
                <w:w w:val="97"/>
              </w:rPr>
            </w:pPr>
            <w:hyperlink r:id="rId180">
              <w:r>
                <w:rPr>
                  <w:rFonts w:ascii="Times New Roman" w:cs="Times New Roman" w:eastAsia="Times New Roman" w:hAnsi="Times New Roman"/>
                  <w:sz w:val="15"/>
                  <w:szCs w:val="15"/>
                  <w:color w:val="3051F2"/>
                  <w:w w:val="97"/>
                </w:rPr>
                <w:t>Ltd.</w:t>
              </w:r>
            </w:hyperlink>
          </w:p>
        </w:tc>
        <w:tc>
          <w:tcPr>
            <w:tcW w:w="4720" w:type="dxa"/>
            <w:vAlign w:val="bottom"/>
            <w:tcBorders>
              <w:top w:val="single" w:sz="8" w:color="3051F2"/>
            </w:tcBorders>
            <w:gridSpan w:val="26"/>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46"/>
        </w:trPr>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4.97†</w:t>
            </w:r>
          </w:p>
        </w:tc>
        <w:tc>
          <w:tcPr>
            <w:tcW w:w="5080" w:type="dxa"/>
            <w:vAlign w:val="bottom"/>
            <w:gridSpan w:val="29"/>
          </w:tcPr>
          <w:p>
            <w:pPr>
              <w:spacing w:after="0"/>
              <w:rPr>
                <w:rFonts w:ascii="Times New Roman" w:cs="Times New Roman" w:eastAsia="Times New Roman" w:hAnsi="Times New Roman"/>
                <w:sz w:val="15"/>
                <w:szCs w:val="15"/>
                <w:color w:val="3051F2"/>
              </w:rPr>
            </w:pPr>
            <w:hyperlink r:id="rId181">
              <w:r>
                <w:rPr>
                  <w:rFonts w:ascii="Times New Roman" w:cs="Times New Roman" w:eastAsia="Times New Roman" w:hAnsi="Times New Roman"/>
                  <w:sz w:val="15"/>
                  <w:szCs w:val="15"/>
                  <w:color w:val="3051F2"/>
                </w:rPr>
                <w:t>Change Management Agreement, dated as of December 31, 2022, between</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4.97</w:t>
            </w:r>
          </w:p>
        </w:tc>
        <w:tc>
          <w:tcPr>
            <w:tcW w:w="3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620" w:type="dxa"/>
            <w:vAlign w:val="bottom"/>
            <w:tcBorders>
              <w:top w:val="single" w:sz="8" w:color="3051F2"/>
            </w:tcBorders>
            <w:gridSpan w:val="12"/>
          </w:tcPr>
          <w:p>
            <w:pPr>
              <w:spacing w:after="0" w:line="154" w:lineRule="exact"/>
              <w:rPr>
                <w:rFonts w:ascii="Times New Roman" w:cs="Times New Roman" w:eastAsia="Times New Roman" w:hAnsi="Times New Roman"/>
                <w:sz w:val="15"/>
                <w:szCs w:val="15"/>
                <w:color w:val="3051F2"/>
              </w:rPr>
            </w:pPr>
            <w:hyperlink r:id="rId181">
              <w:r>
                <w:rPr>
                  <w:rFonts w:ascii="Times New Roman" w:cs="Times New Roman" w:eastAsia="Times New Roman" w:hAnsi="Times New Roman"/>
                  <w:sz w:val="15"/>
                  <w:szCs w:val="15"/>
                  <w:color w:val="3051F2"/>
                </w:rPr>
                <w:t>Volvo Car Corporation and Polestar Performance AB.</w:t>
              </w:r>
            </w:hyperlink>
          </w:p>
        </w:tc>
        <w:tc>
          <w:tcPr>
            <w:tcW w:w="460" w:type="dxa"/>
            <w:vAlign w:val="bottom"/>
            <w:gridSpan w:val="17"/>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732"/>
        </w:trPr>
        <w:tc>
          <w:tcPr>
            <w:tcW w:w="920" w:type="dxa"/>
            <w:vAlign w:val="bottom"/>
          </w:tcPr>
          <w:p>
            <w:pPr>
              <w:spacing w:after="0"/>
              <w:rPr>
                <w:sz w:val="24"/>
                <w:szCs w:val="24"/>
                <w:color w:val="auto"/>
              </w:rPr>
            </w:pPr>
          </w:p>
        </w:tc>
        <w:tc>
          <w:tcPr>
            <w:tcW w:w="3320" w:type="dxa"/>
            <w:vAlign w:val="bottom"/>
            <w:tcBorders>
              <w:top w:val="single" w:sz="8" w:color="3051F2"/>
            </w:tcBorders>
            <w:gridSpan w:val="7"/>
          </w:tcPr>
          <w:p>
            <w:pPr>
              <w:spacing w:after="0"/>
              <w:rPr>
                <w:sz w:val="24"/>
                <w:szCs w:val="24"/>
                <w:color w:val="auto"/>
              </w:rPr>
            </w:pPr>
          </w:p>
        </w:tc>
        <w:tc>
          <w:tcPr>
            <w:tcW w:w="1500" w:type="dxa"/>
            <w:vAlign w:val="bottom"/>
            <w:gridSpan w:val="12"/>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gridSpan w:val="33"/>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7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559"/>
        </w:trPr>
        <w:tc>
          <w:tcPr>
            <w:tcW w:w="92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4.98†</w:t>
            </w:r>
          </w:p>
        </w:tc>
        <w:tc>
          <w:tcPr>
            <w:tcW w:w="5100" w:type="dxa"/>
            <w:vAlign w:val="bottom"/>
            <w:gridSpan w:val="42"/>
          </w:tcPr>
          <w:p>
            <w:pPr>
              <w:spacing w:after="0"/>
              <w:rPr>
                <w:rFonts w:ascii="Times New Roman" w:cs="Times New Roman" w:eastAsia="Times New Roman" w:hAnsi="Times New Roman"/>
                <w:sz w:val="15"/>
                <w:szCs w:val="15"/>
                <w:color w:val="3051F2"/>
              </w:rPr>
            </w:pPr>
            <w:hyperlink r:id="rId184">
              <w:r>
                <w:rPr>
                  <w:rFonts w:ascii="Times New Roman" w:cs="Times New Roman" w:eastAsia="Times New Roman" w:hAnsi="Times New Roman"/>
                  <w:sz w:val="15"/>
                  <w:szCs w:val="15"/>
                  <w:color w:val="3051F2"/>
                </w:rPr>
                <w:t>Service Agreement, dated as of July 7, 2022, between Volvo Car Corporation</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4.98</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780" w:type="dxa"/>
            <w:vAlign w:val="bottom"/>
            <w:tcBorders>
              <w:top w:val="single" w:sz="8" w:color="3051F2"/>
            </w:tcBorders>
            <w:gridSpan w:val="27"/>
          </w:tcPr>
          <w:p>
            <w:pPr>
              <w:spacing w:after="0" w:line="154" w:lineRule="exact"/>
              <w:rPr>
                <w:rFonts w:ascii="Times New Roman" w:cs="Times New Roman" w:eastAsia="Times New Roman" w:hAnsi="Times New Roman"/>
                <w:sz w:val="15"/>
                <w:szCs w:val="15"/>
                <w:color w:val="3051F2"/>
              </w:rPr>
            </w:pPr>
            <w:hyperlink r:id="rId184">
              <w:r>
                <w:rPr>
                  <w:rFonts w:ascii="Times New Roman" w:cs="Times New Roman" w:eastAsia="Times New Roman" w:hAnsi="Times New Roman"/>
                  <w:sz w:val="15"/>
                  <w:szCs w:val="15"/>
                  <w:color w:val="3051F2"/>
                </w:rPr>
                <w:t>and Polestar Automotive China Distribution Co. Ltd., as amended by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280" w:type="dxa"/>
            <w:vAlign w:val="bottom"/>
            <w:tcBorders>
              <w:top w:val="single" w:sz="8" w:color="3051F2"/>
            </w:tcBorders>
            <w:gridSpan w:val="14"/>
          </w:tcPr>
          <w:p>
            <w:pPr>
              <w:spacing w:after="0" w:line="154" w:lineRule="exact"/>
              <w:rPr>
                <w:rFonts w:ascii="Times New Roman" w:cs="Times New Roman" w:eastAsia="Times New Roman" w:hAnsi="Times New Roman"/>
                <w:sz w:val="15"/>
                <w:szCs w:val="15"/>
                <w:color w:val="3051F2"/>
              </w:rPr>
            </w:pPr>
            <w:hyperlink r:id="rId184">
              <w:r>
                <w:rPr>
                  <w:rFonts w:ascii="Times New Roman" w:cs="Times New Roman" w:eastAsia="Times New Roman" w:hAnsi="Times New Roman"/>
                  <w:sz w:val="15"/>
                  <w:szCs w:val="15"/>
                  <w:color w:val="3051F2"/>
                </w:rPr>
                <w:t>Amendment Agreement No 1, dated as of March 22, 2023, between</w:t>
              </w:r>
            </w:hyperlink>
          </w:p>
        </w:tc>
        <w:tc>
          <w:tcPr>
            <w:tcW w:w="820" w:type="dxa"/>
            <w:vAlign w:val="bottom"/>
            <w:gridSpan w:val="28"/>
          </w:tcPr>
          <w:p>
            <w:pPr>
              <w:spacing w:after="0" w:line="154" w:lineRule="exact"/>
              <w:rPr>
                <w:rFonts w:ascii="Times New Roman" w:cs="Times New Roman" w:eastAsia="Times New Roman" w:hAnsi="Times New Roman"/>
                <w:sz w:val="15"/>
                <w:szCs w:val="15"/>
                <w:color w:val="3051F2"/>
              </w:rPr>
            </w:pPr>
            <w:hyperlink r:id="rId184">
              <w:r>
                <w:rPr>
                  <w:rFonts w:ascii="Times New Roman" w:cs="Times New Roman" w:eastAsia="Times New Roman" w:hAnsi="Times New Roman"/>
                  <w:sz w:val="15"/>
                  <w:szCs w:val="15"/>
                  <w:color w:val="3051F2"/>
                </w:rPr>
                <w:t>Volvo Car</w:t>
              </w:r>
            </w:hyperlink>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40" w:type="dxa"/>
            <w:vAlign w:val="bottom"/>
            <w:tcBorders>
              <w:top w:val="single" w:sz="8" w:color="3051F2"/>
            </w:tcBorders>
            <w:gridSpan w:val="34"/>
          </w:tcPr>
          <w:p>
            <w:pPr>
              <w:spacing w:after="0" w:line="154" w:lineRule="exact"/>
              <w:rPr>
                <w:rFonts w:ascii="Times New Roman" w:cs="Times New Roman" w:eastAsia="Times New Roman" w:hAnsi="Times New Roman"/>
                <w:sz w:val="15"/>
                <w:szCs w:val="15"/>
                <w:color w:val="3051F2"/>
              </w:rPr>
            </w:pPr>
            <w:hyperlink r:id="rId184">
              <w:r>
                <w:rPr>
                  <w:rFonts w:ascii="Times New Roman" w:cs="Times New Roman" w:eastAsia="Times New Roman" w:hAnsi="Times New Roman"/>
                  <w:sz w:val="15"/>
                  <w:szCs w:val="15"/>
                  <w:color w:val="3051F2"/>
                </w:rPr>
                <w:t>Corporation and Polestar Automotive China Distribution Co.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500" w:type="dxa"/>
            <w:vAlign w:val="bottom"/>
            <w:tcBorders>
              <w:righ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4.99</w:t>
            </w:r>
          </w:p>
        </w:tc>
        <w:tc>
          <w:tcPr>
            <w:tcW w:w="5100" w:type="dxa"/>
            <w:vAlign w:val="bottom"/>
            <w:gridSpan w:val="42"/>
          </w:tcPr>
          <w:p>
            <w:pPr>
              <w:spacing w:after="0"/>
              <w:rPr>
                <w:rFonts w:ascii="Times New Roman" w:cs="Times New Roman" w:eastAsia="Times New Roman" w:hAnsi="Times New Roman"/>
                <w:sz w:val="15"/>
                <w:szCs w:val="15"/>
                <w:color w:val="3051F2"/>
              </w:rPr>
            </w:pPr>
            <w:hyperlink r:id="rId185">
              <w:r>
                <w:rPr>
                  <w:rFonts w:ascii="Times New Roman" w:cs="Times New Roman" w:eastAsia="Times New Roman" w:hAnsi="Times New Roman"/>
                  <w:sz w:val="15"/>
                  <w:szCs w:val="15"/>
                  <w:color w:val="3051F2"/>
                </w:rPr>
                <w:t>Term Loan Facility, dated November 3, 2022, by and between Polestar</w:t>
              </w:r>
            </w:hyperlink>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6-K</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380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November 3, 2022</w:t>
            </w:r>
          </w:p>
        </w:tc>
      </w:tr>
      <w:tr>
        <w:trPr>
          <w:trHeight w:val="154"/>
        </w:trPr>
        <w:tc>
          <w:tcPr>
            <w:tcW w:w="920" w:type="dxa"/>
            <w:vAlign w:val="bottom"/>
          </w:tcPr>
          <w:p>
            <w:pPr>
              <w:spacing w:after="0"/>
              <w:rPr>
                <w:sz w:val="13"/>
                <w:szCs w:val="13"/>
                <w:color w:val="auto"/>
              </w:rPr>
            </w:pPr>
          </w:p>
        </w:tc>
        <w:tc>
          <w:tcPr>
            <w:tcW w:w="4380" w:type="dxa"/>
            <w:vAlign w:val="bottom"/>
            <w:tcBorders>
              <w:top w:val="single" w:sz="8" w:color="3051F2"/>
            </w:tcBorders>
            <w:gridSpan w:val="17"/>
          </w:tcPr>
          <w:p>
            <w:pPr>
              <w:spacing w:after="0" w:line="154" w:lineRule="exact"/>
              <w:rPr>
                <w:rFonts w:ascii="Times New Roman" w:cs="Times New Roman" w:eastAsia="Times New Roman" w:hAnsi="Times New Roman"/>
                <w:sz w:val="15"/>
                <w:szCs w:val="15"/>
                <w:color w:val="3051F2"/>
              </w:rPr>
            </w:pPr>
            <w:hyperlink r:id="rId185">
              <w:r>
                <w:rPr>
                  <w:rFonts w:ascii="Times New Roman" w:cs="Times New Roman" w:eastAsia="Times New Roman" w:hAnsi="Times New Roman"/>
                  <w:sz w:val="15"/>
                  <w:szCs w:val="15"/>
                  <w:color w:val="3051F2"/>
                </w:rPr>
                <w:t>Automotive Holding UK PLC, as borrower, and Snita Holding B.V., as</w:t>
              </w:r>
            </w:hyperlink>
          </w:p>
        </w:tc>
        <w:tc>
          <w:tcPr>
            <w:tcW w:w="20" w:type="dxa"/>
            <w:vAlign w:val="bottom"/>
          </w:tcPr>
          <w:p>
            <w:pPr>
              <w:spacing w:after="0"/>
              <w:rPr>
                <w:sz w:val="13"/>
                <w:szCs w:val="13"/>
                <w:color w:val="auto"/>
              </w:rPr>
            </w:pPr>
          </w:p>
        </w:tc>
        <w:tc>
          <w:tcPr>
            <w:tcW w:w="700" w:type="dxa"/>
            <w:vAlign w:val="bottom"/>
            <w:gridSpan w:val="24"/>
          </w:tcPr>
          <w:p>
            <w:pPr>
              <w:ind w:left="20"/>
              <w:spacing w:after="0" w:line="154" w:lineRule="exact"/>
              <w:rPr>
                <w:rFonts w:ascii="Times New Roman" w:cs="Times New Roman" w:eastAsia="Times New Roman" w:hAnsi="Times New Roman"/>
                <w:sz w:val="15"/>
                <w:szCs w:val="15"/>
                <w:color w:val="3051F2"/>
              </w:rPr>
            </w:pPr>
            <w:hyperlink r:id="rId185">
              <w:r>
                <w:rPr>
                  <w:rFonts w:ascii="Times New Roman" w:cs="Times New Roman" w:eastAsia="Times New Roman" w:hAnsi="Times New Roman"/>
                  <w:sz w:val="15"/>
                  <w:szCs w:val="15"/>
                  <w:color w:val="3051F2"/>
                </w:rPr>
                <w:t>original</w:t>
              </w:r>
            </w:hyperlink>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00" w:type="dxa"/>
            <w:vAlign w:val="bottom"/>
            <w:tcBorders>
              <w:top w:val="single" w:sz="8" w:color="3051F2"/>
            </w:tcBorders>
            <w:gridSpan w:val="37"/>
          </w:tcPr>
          <w:p>
            <w:pPr>
              <w:spacing w:after="0" w:line="154" w:lineRule="exact"/>
              <w:rPr>
                <w:rFonts w:ascii="Times New Roman" w:cs="Times New Roman" w:eastAsia="Times New Roman" w:hAnsi="Times New Roman"/>
                <w:sz w:val="15"/>
                <w:szCs w:val="15"/>
                <w:color w:val="3051F2"/>
              </w:rPr>
            </w:pPr>
            <w:hyperlink r:id="rId185">
              <w:r>
                <w:rPr>
                  <w:rFonts w:ascii="Times New Roman" w:cs="Times New Roman" w:eastAsia="Times New Roman" w:hAnsi="Times New Roman"/>
                  <w:sz w:val="15"/>
                  <w:szCs w:val="15"/>
                  <w:color w:val="3051F2"/>
                </w:rPr>
                <w:t>lender and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58"/>
        </w:trPr>
        <w:tc>
          <w:tcPr>
            <w:tcW w:w="92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4.100†</w:t>
            </w:r>
          </w:p>
        </w:tc>
        <w:tc>
          <w:tcPr>
            <w:tcW w:w="5100" w:type="dxa"/>
            <w:vAlign w:val="bottom"/>
            <w:gridSpan w:val="42"/>
          </w:tcPr>
          <w:p>
            <w:pPr>
              <w:spacing w:after="0"/>
              <w:rPr>
                <w:rFonts w:ascii="Times New Roman" w:cs="Times New Roman" w:eastAsia="Times New Roman" w:hAnsi="Times New Roman"/>
                <w:sz w:val="15"/>
                <w:szCs w:val="15"/>
                <w:color w:val="3051F2"/>
              </w:rPr>
            </w:pPr>
            <w:hyperlink r:id="rId186">
              <w:r>
                <w:rPr>
                  <w:rFonts w:ascii="Times New Roman" w:cs="Times New Roman" w:eastAsia="Times New Roman" w:hAnsi="Times New Roman"/>
                  <w:sz w:val="15"/>
                  <w:szCs w:val="15"/>
                  <w:color w:val="3051F2"/>
                </w:rPr>
                <w:t>Amendment and Restatement Agreement to Trade Finance Facility Agreement,</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4.100</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980" w:type="dxa"/>
            <w:vAlign w:val="bottom"/>
            <w:tcBorders>
              <w:top w:val="single" w:sz="8" w:color="3051F2"/>
            </w:tcBorders>
            <w:gridSpan w:val="36"/>
          </w:tcPr>
          <w:p>
            <w:pPr>
              <w:spacing w:after="0" w:line="154" w:lineRule="exact"/>
              <w:rPr>
                <w:rFonts w:ascii="Times New Roman" w:cs="Times New Roman" w:eastAsia="Times New Roman" w:hAnsi="Times New Roman"/>
                <w:sz w:val="15"/>
                <w:szCs w:val="15"/>
                <w:color w:val="3051F2"/>
              </w:rPr>
            </w:pPr>
            <w:hyperlink r:id="rId186">
              <w:r>
                <w:rPr>
                  <w:rFonts w:ascii="Times New Roman" w:cs="Times New Roman" w:eastAsia="Times New Roman" w:hAnsi="Times New Roman"/>
                  <w:sz w:val="15"/>
                  <w:szCs w:val="15"/>
                  <w:color w:val="3051F2"/>
                </w:rPr>
                <w:t>dated February 26, 2023, between Polestar Performance AB, as Borrower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20" w:type="dxa"/>
            <w:vAlign w:val="bottom"/>
            <w:tcBorders>
              <w:top w:val="single" w:sz="8" w:color="3051F2"/>
            </w:tcBorders>
            <w:gridSpan w:val="28"/>
          </w:tcPr>
          <w:p>
            <w:pPr>
              <w:spacing w:after="0" w:line="154" w:lineRule="exact"/>
              <w:rPr>
                <w:rFonts w:ascii="Times New Roman" w:cs="Times New Roman" w:eastAsia="Times New Roman" w:hAnsi="Times New Roman"/>
                <w:sz w:val="15"/>
                <w:szCs w:val="15"/>
                <w:color w:val="3051F2"/>
              </w:rPr>
            </w:pPr>
            <w:hyperlink r:id="rId186">
              <w:r>
                <w:rPr>
                  <w:rFonts w:ascii="Times New Roman" w:cs="Times New Roman" w:eastAsia="Times New Roman" w:hAnsi="Times New Roman"/>
                  <w:sz w:val="15"/>
                  <w:szCs w:val="15"/>
                  <w:color w:val="3051F2"/>
                </w:rPr>
                <w:t>Obligors’ Agent, Standard Charter Bank, as Agent, and Standard Chartered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560" w:type="dxa"/>
            <w:vAlign w:val="bottom"/>
            <w:tcBorders>
              <w:top w:val="single" w:sz="8" w:color="3051F2"/>
              <w:bottom w:val="single" w:sz="8" w:color="3051F2"/>
            </w:tcBorders>
            <w:gridSpan w:val="5"/>
          </w:tcPr>
          <w:p>
            <w:pPr>
              <w:spacing w:after="0" w:line="154" w:lineRule="exact"/>
              <w:rPr>
                <w:rFonts w:ascii="Times New Roman" w:cs="Times New Roman" w:eastAsia="Times New Roman" w:hAnsi="Times New Roman"/>
                <w:sz w:val="15"/>
                <w:szCs w:val="15"/>
                <w:color w:val="3051F2"/>
              </w:rPr>
            </w:pPr>
            <w:hyperlink r:id="rId186">
              <w:r>
                <w:rPr>
                  <w:rFonts w:ascii="Times New Roman" w:cs="Times New Roman" w:eastAsia="Times New Roman" w:hAnsi="Times New Roman"/>
                  <w:sz w:val="15"/>
                  <w:szCs w:val="15"/>
                  <w:color w:val="3051F2"/>
                </w:rPr>
                <w:t>Bank, as Security Agent.</w:t>
              </w:r>
            </w:hyperlink>
          </w:p>
        </w:tc>
        <w:tc>
          <w:tcPr>
            <w:tcW w:w="3100" w:type="dxa"/>
            <w:vAlign w:val="bottom"/>
            <w:tcBorders>
              <w:top w:val="single" w:sz="8" w:color="3051F2"/>
            </w:tcBorders>
            <w:gridSpan w:val="2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81"/>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4.101†</w:t>
            </w:r>
          </w:p>
        </w:tc>
        <w:tc>
          <w:tcPr>
            <w:tcW w:w="5100" w:type="dxa"/>
            <w:vAlign w:val="bottom"/>
            <w:gridSpan w:val="42"/>
          </w:tcPr>
          <w:p>
            <w:pPr>
              <w:spacing w:after="0"/>
              <w:rPr>
                <w:rFonts w:ascii="Times New Roman" w:cs="Times New Roman" w:eastAsia="Times New Roman" w:hAnsi="Times New Roman"/>
                <w:sz w:val="15"/>
                <w:szCs w:val="15"/>
                <w:color w:val="3051F2"/>
              </w:rPr>
            </w:pPr>
            <w:hyperlink r:id="rId187">
              <w:r>
                <w:rPr>
                  <w:rFonts w:ascii="Times New Roman" w:cs="Times New Roman" w:eastAsia="Times New Roman" w:hAnsi="Times New Roman"/>
                  <w:sz w:val="15"/>
                  <w:szCs w:val="15"/>
                  <w:color w:val="3051F2"/>
                </w:rPr>
                <w:t>Amendment Agreement No. 1, dated September 22, 2022, between Volvo Car</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4.101</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860" w:type="dxa"/>
            <w:vAlign w:val="bottom"/>
            <w:tcBorders>
              <w:top w:val="single" w:sz="8" w:color="3051F2"/>
            </w:tcBorders>
            <w:gridSpan w:val="30"/>
          </w:tcPr>
          <w:p>
            <w:pPr>
              <w:spacing w:after="0" w:line="154" w:lineRule="exact"/>
              <w:rPr>
                <w:rFonts w:ascii="Times New Roman" w:cs="Times New Roman" w:eastAsia="Times New Roman" w:hAnsi="Times New Roman"/>
                <w:sz w:val="15"/>
                <w:szCs w:val="15"/>
                <w:color w:val="3051F2"/>
              </w:rPr>
            </w:pPr>
            <w:hyperlink r:id="rId187">
              <w:r>
                <w:rPr>
                  <w:rFonts w:ascii="Times New Roman" w:cs="Times New Roman" w:eastAsia="Times New Roman" w:hAnsi="Times New Roman"/>
                  <w:sz w:val="15"/>
                  <w:szCs w:val="15"/>
                  <w:color w:val="3051F2"/>
                </w:rPr>
                <w:t>Corporation and Polestar Performance AB.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780" w:type="dxa"/>
            <w:vAlign w:val="bottom"/>
            <w:gridSpan w:val="2"/>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4.102†</w:t>
            </w:r>
          </w:p>
        </w:tc>
        <w:tc>
          <w:tcPr>
            <w:tcW w:w="5100" w:type="dxa"/>
            <w:vAlign w:val="bottom"/>
            <w:gridSpan w:val="42"/>
          </w:tcPr>
          <w:p>
            <w:pPr>
              <w:spacing w:after="0"/>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Service Agreement, dated November 22, 2022, between Zhongjia Automobile</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4.102</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April 14, 2023</w:t>
            </w:r>
          </w:p>
        </w:tc>
      </w:tr>
      <w:tr>
        <w:trPr>
          <w:trHeight w:val="154"/>
        </w:trPr>
        <w:tc>
          <w:tcPr>
            <w:tcW w:w="920" w:type="dxa"/>
            <w:vAlign w:val="bottom"/>
          </w:tcPr>
          <w:p>
            <w:pPr>
              <w:spacing w:after="0"/>
              <w:rPr>
                <w:sz w:val="13"/>
                <w:szCs w:val="13"/>
                <w:color w:val="auto"/>
              </w:rPr>
            </w:pPr>
          </w:p>
        </w:tc>
        <w:tc>
          <w:tcPr>
            <w:tcW w:w="4900" w:type="dxa"/>
            <w:vAlign w:val="bottom"/>
            <w:tcBorders>
              <w:top w:val="single" w:sz="8" w:color="3051F2"/>
            </w:tcBorders>
            <w:gridSpan w:val="32"/>
          </w:tcPr>
          <w:p>
            <w:pPr>
              <w:spacing w:after="0" w:line="154" w:lineRule="exact"/>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Manufacturing (Chengdu) CO., Ltd. and Polestar Automotive China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220" w:type="dxa"/>
            <w:vAlign w:val="bottom"/>
            <w:tcBorders>
              <w:top w:val="single" w:sz="8" w:color="3051F2"/>
            </w:tcBorders>
            <w:gridSpan w:val="13"/>
          </w:tcPr>
          <w:p>
            <w:pPr>
              <w:spacing w:after="0" w:line="154" w:lineRule="exact"/>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Distribution Co. Ltd., as amended by Amendment Agreement No 1,</w:t>
              </w:r>
            </w:hyperlink>
          </w:p>
        </w:tc>
        <w:tc>
          <w:tcPr>
            <w:tcW w:w="880" w:type="dxa"/>
            <w:vAlign w:val="bottom"/>
            <w:gridSpan w:val="29"/>
          </w:tcPr>
          <w:p>
            <w:pPr>
              <w:ind w:left="20"/>
              <w:spacing w:after="0" w:line="154" w:lineRule="exact"/>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dated</w:t>
              </w:r>
            </w:hyperlink>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560" w:type="dxa"/>
            <w:vAlign w:val="bottom"/>
            <w:tcBorders>
              <w:top w:val="single" w:sz="8" w:color="3051F2"/>
            </w:tcBorders>
            <w:gridSpan w:val="22"/>
          </w:tcPr>
          <w:p>
            <w:pPr>
              <w:spacing w:after="0" w:line="154" w:lineRule="exact"/>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March 22, 2023, between Zhongjia Automobile Manufacturing (Chengdu)</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8"/>
          </w:tcPr>
          <w:p>
            <w:pPr>
              <w:ind w:left="40"/>
              <w:spacing w:after="0" w:line="154" w:lineRule="exact"/>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Co.,</w:t>
              </w:r>
            </w:hyperlink>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60" w:type="dxa"/>
            <w:vAlign w:val="bottom"/>
            <w:tcBorders>
              <w:top w:val="single" w:sz="8" w:color="3051F2"/>
            </w:tcBorders>
            <w:gridSpan w:val="35"/>
          </w:tcPr>
          <w:p>
            <w:pPr>
              <w:spacing w:after="0" w:line="154" w:lineRule="exact"/>
              <w:rPr>
                <w:rFonts w:ascii="Times New Roman" w:cs="Times New Roman" w:eastAsia="Times New Roman" w:hAnsi="Times New Roman"/>
                <w:sz w:val="15"/>
                <w:szCs w:val="15"/>
                <w:color w:val="3051F2"/>
              </w:rPr>
            </w:pPr>
            <w:hyperlink r:id="rId188">
              <w:r>
                <w:rPr>
                  <w:rFonts w:ascii="Times New Roman" w:cs="Times New Roman" w:eastAsia="Times New Roman" w:hAnsi="Times New Roman"/>
                  <w:sz w:val="15"/>
                  <w:szCs w:val="15"/>
                  <w:color w:val="3051F2"/>
                </w:rPr>
                <w:t>Ltd. and Polestar Automotive China Distribution Co. Ltd.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780" w:type="dxa"/>
            <w:vAlign w:val="bottom"/>
            <w:gridSpan w:val="2"/>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4.103†</w:t>
            </w:r>
          </w:p>
        </w:tc>
        <w:tc>
          <w:tcPr>
            <w:tcW w:w="4300" w:type="dxa"/>
            <w:vAlign w:val="bottom"/>
            <w:tcBorders>
              <w:bottom w:val="single" w:sz="8" w:color="0000FF"/>
            </w:tcBorders>
            <w:gridSpan w:val="15"/>
          </w:tcPr>
          <w:p>
            <w:pPr>
              <w:spacing w:after="0"/>
              <w:rPr>
                <w:rFonts w:ascii="Times New Roman" w:cs="Times New Roman" w:eastAsia="Times New Roman" w:hAnsi="Times New Roman"/>
                <w:sz w:val="15"/>
                <w:szCs w:val="15"/>
                <w:color w:val="0000FF"/>
              </w:rPr>
            </w:pPr>
            <w:hyperlink r:id="rId189">
              <w:r>
                <w:rPr>
                  <w:rFonts w:ascii="Times New Roman" w:cs="Times New Roman" w:eastAsia="Times New Roman" w:hAnsi="Times New Roman"/>
                  <w:sz w:val="15"/>
                  <w:szCs w:val="15"/>
                  <w:color w:val="0000FF"/>
                </w:rPr>
                <w:t>Service Agreement, effective as of January 1, 2021, between Polestar</w:t>
              </w:r>
            </w:hyperlink>
          </w:p>
        </w:tc>
        <w:tc>
          <w:tcPr>
            <w:tcW w:w="800" w:type="dxa"/>
            <w:vAlign w:val="bottom"/>
            <w:gridSpan w:val="27"/>
          </w:tcPr>
          <w:p>
            <w:pPr>
              <w:spacing w:after="0"/>
              <w:rPr>
                <w:sz w:val="17"/>
                <w:szCs w:val="17"/>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4.103</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5100" w:type="dxa"/>
            <w:vAlign w:val="bottom"/>
            <w:gridSpan w:val="42"/>
          </w:tcPr>
          <w:p>
            <w:pPr>
              <w:spacing w:after="0" w:line="154" w:lineRule="exact"/>
              <w:rPr>
                <w:rFonts w:ascii="Times New Roman" w:cs="Times New Roman" w:eastAsia="Times New Roman" w:hAnsi="Times New Roman"/>
                <w:sz w:val="15"/>
                <w:szCs w:val="15"/>
                <w:color w:val="0000FF"/>
              </w:rPr>
            </w:pPr>
            <w:hyperlink r:id="rId189">
              <w:r>
                <w:rPr>
                  <w:rFonts w:ascii="Times New Roman" w:cs="Times New Roman" w:eastAsia="Times New Roman" w:hAnsi="Times New Roman"/>
                  <w:sz w:val="15"/>
                  <w:szCs w:val="15"/>
                  <w:color w:val="0000FF"/>
                </w:rPr>
                <w:t>Automotive (Chongqing) Co. Ltd. and Asia Europe New Energy Vehicle</w:t>
              </w:r>
            </w:hyperlink>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5"/>
                <w:szCs w:val="15"/>
                <w:color w:val="0000FF"/>
              </w:rPr>
            </w:pPr>
            <w:hyperlink r:id="rId189">
              <w:r>
                <w:rPr>
                  <w:rFonts w:ascii="Times New Roman" w:cs="Times New Roman" w:eastAsia="Times New Roman" w:hAnsi="Times New Roman"/>
                  <w:sz w:val="15"/>
                  <w:szCs w:val="15"/>
                  <w:color w:val="0000FF"/>
                </w:rPr>
                <w:t>(Chongqing) Co., Ltd</w:t>
              </w:r>
            </w:hyperlink>
          </w:p>
        </w:tc>
        <w:tc>
          <w:tcPr>
            <w:tcW w:w="31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4.104†</w:t>
            </w:r>
          </w:p>
        </w:tc>
        <w:tc>
          <w:tcPr>
            <w:tcW w:w="5100" w:type="dxa"/>
            <w:vAlign w:val="bottom"/>
            <w:gridSpan w:val="42"/>
          </w:tcPr>
          <w:p>
            <w:pPr>
              <w:spacing w:after="0"/>
              <w:rPr>
                <w:rFonts w:ascii="Times New Roman" w:cs="Times New Roman" w:eastAsia="Times New Roman" w:hAnsi="Times New Roman"/>
                <w:sz w:val="15"/>
                <w:szCs w:val="15"/>
                <w:color w:val="0000FF"/>
              </w:rPr>
            </w:pPr>
            <w:hyperlink r:id="rId190">
              <w:r>
                <w:rPr>
                  <w:rFonts w:ascii="Times New Roman" w:cs="Times New Roman" w:eastAsia="Times New Roman" w:hAnsi="Times New Roman"/>
                  <w:sz w:val="15"/>
                  <w:szCs w:val="15"/>
                  <w:color w:val="0000FF"/>
                </w:rPr>
                <w:t>Service Agreement PX2 Development Services, dated as of November 29,</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4.104</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600" w:type="dxa"/>
            <w:vAlign w:val="bottom"/>
            <w:tcBorders>
              <w:top w:val="single" w:sz="8" w:color="0000FF"/>
            </w:tcBorders>
            <w:gridSpan w:val="24"/>
          </w:tcPr>
          <w:p>
            <w:pPr>
              <w:spacing w:after="0" w:line="154" w:lineRule="exact"/>
              <w:rPr>
                <w:rFonts w:ascii="Times New Roman" w:cs="Times New Roman" w:eastAsia="Times New Roman" w:hAnsi="Times New Roman"/>
                <w:sz w:val="15"/>
                <w:szCs w:val="15"/>
                <w:color w:val="0000FF"/>
              </w:rPr>
            </w:pPr>
            <w:hyperlink r:id="rId190">
              <w:r>
                <w:rPr>
                  <w:rFonts w:ascii="Times New Roman" w:cs="Times New Roman" w:eastAsia="Times New Roman" w:hAnsi="Times New Roman"/>
                  <w:sz w:val="15"/>
                  <w:szCs w:val="15"/>
                  <w:color w:val="0000FF"/>
                </w:rPr>
                <w:t>2023, between Polestar Performance AB, Wuxi InfiMotion Propulsion</w:t>
              </w:r>
            </w:hyperlink>
          </w:p>
        </w:tc>
        <w:tc>
          <w:tcPr>
            <w:tcW w:w="1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5"/>
                <w:szCs w:val="15"/>
                <w:color w:val="0000FF"/>
              </w:rPr>
            </w:pPr>
            <w:hyperlink r:id="rId190">
              <w:r>
                <w:rPr>
                  <w:rFonts w:ascii="Times New Roman" w:cs="Times New Roman" w:eastAsia="Times New Roman" w:hAnsi="Times New Roman"/>
                  <w:sz w:val="15"/>
                  <w:szCs w:val="15"/>
                  <w:color w:val="0000FF"/>
                </w:rPr>
                <w:t>Technology Co., Ltd, InfiMotion Technology Europe AB, and Polestar</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520" w:type="dxa"/>
            <w:vAlign w:val="bottom"/>
            <w:tcBorders>
              <w:bottom w:val="single" w:sz="8" w:color="0000FF"/>
            </w:tcBorders>
            <w:gridSpan w:val="7"/>
          </w:tcPr>
          <w:p>
            <w:pPr>
              <w:spacing w:after="0" w:line="154" w:lineRule="exact"/>
              <w:rPr>
                <w:rFonts w:ascii="Times New Roman" w:cs="Times New Roman" w:eastAsia="Times New Roman" w:hAnsi="Times New Roman"/>
                <w:sz w:val="15"/>
                <w:szCs w:val="15"/>
                <w:color w:val="0000FF"/>
              </w:rPr>
            </w:pPr>
            <w:hyperlink r:id="rId190">
              <w:r>
                <w:rPr>
                  <w:rFonts w:ascii="Times New Roman" w:cs="Times New Roman" w:eastAsia="Times New Roman" w:hAnsi="Times New Roman"/>
                  <w:sz w:val="15"/>
                  <w:szCs w:val="15"/>
                  <w:color w:val="0000FF"/>
                </w:rPr>
                <w:t>Automotive China Distribution Co., Ltd.</w:t>
              </w:r>
            </w:hyperlink>
          </w:p>
        </w:tc>
        <w:tc>
          <w:tcPr>
            <w:tcW w:w="1880" w:type="dxa"/>
            <w:vAlign w:val="bottom"/>
            <w:gridSpan w:val="11"/>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4.105†</w:t>
            </w:r>
          </w:p>
        </w:tc>
        <w:tc>
          <w:tcPr>
            <w:tcW w:w="5100" w:type="dxa"/>
            <w:vAlign w:val="bottom"/>
            <w:gridSpan w:val="42"/>
          </w:tcPr>
          <w:p>
            <w:pPr>
              <w:spacing w:after="0"/>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Termination Agreement, dated as of May 6, 2023, between Polestar</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4.105</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180" w:type="dxa"/>
            <w:vAlign w:val="bottom"/>
            <w:tcBorders>
              <w:top w:val="single" w:sz="8" w:color="0000FF"/>
            </w:tcBorders>
            <w:gridSpan w:val="12"/>
          </w:tcPr>
          <w:p>
            <w:pPr>
              <w:spacing w:after="0" w:line="154"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Performance AB, Polestar Automotive China Distribution Co., Ltd.,</w:t>
              </w:r>
            </w:hyperlink>
          </w:p>
        </w:tc>
        <w:tc>
          <w:tcPr>
            <w:tcW w:w="920" w:type="dxa"/>
            <w:vAlign w:val="bottom"/>
            <w:gridSpan w:val="30"/>
          </w:tcPr>
          <w:p>
            <w:pPr>
              <w:ind w:left="60"/>
              <w:spacing w:after="0" w:line="154"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and Wuxi</w:t>
              </w:r>
            </w:hyperlink>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InfiMotion Propulsion Technology Co., Ltd.</w:t>
              </w:r>
            </w:hyperlink>
          </w:p>
        </w:tc>
        <w:tc>
          <w:tcPr>
            <w:tcW w:w="218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4.106†</w:t>
            </w:r>
          </w:p>
        </w:tc>
        <w:tc>
          <w:tcPr>
            <w:tcW w:w="5100" w:type="dxa"/>
            <w:vAlign w:val="bottom"/>
            <w:gridSpan w:val="42"/>
          </w:tcPr>
          <w:p>
            <w:pPr>
              <w:spacing w:after="0"/>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Asset Transfer Agreement, effective as of December 26, 2023, between Polestar</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4.106</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5060" w:type="dxa"/>
            <w:vAlign w:val="bottom"/>
            <w:tcBorders>
              <w:top w:val="single" w:sz="8" w:color="0000FF"/>
            </w:tcBorders>
            <w:gridSpan w:val="40"/>
          </w:tcPr>
          <w:p>
            <w:pPr>
              <w:spacing w:after="0" w:line="154" w:lineRule="exact"/>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Automotive China Distribution Co., Ltd and Chengdu Jisu New Energy Vehicle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Co., Ltd.</w:t>
              </w:r>
            </w:hyperlink>
          </w:p>
        </w:tc>
        <w:tc>
          <w:tcPr>
            <w:tcW w:w="446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4.107†</w:t>
            </w:r>
          </w:p>
        </w:tc>
        <w:tc>
          <w:tcPr>
            <w:tcW w:w="5100" w:type="dxa"/>
            <w:vAlign w:val="bottom"/>
            <w:gridSpan w:val="42"/>
          </w:tcPr>
          <w:p>
            <w:pPr>
              <w:spacing w:after="0"/>
              <w:rPr>
                <w:rFonts w:ascii="Times New Roman" w:cs="Times New Roman" w:eastAsia="Times New Roman" w:hAnsi="Times New Roman"/>
                <w:sz w:val="15"/>
                <w:szCs w:val="15"/>
                <w:color w:val="0000FF"/>
              </w:rPr>
            </w:pPr>
            <w:hyperlink r:id="rId193">
              <w:r>
                <w:rPr>
                  <w:rFonts w:ascii="Times New Roman" w:cs="Times New Roman" w:eastAsia="Times New Roman" w:hAnsi="Times New Roman"/>
                  <w:sz w:val="15"/>
                  <w:szCs w:val="15"/>
                  <w:color w:val="0000FF"/>
                </w:rPr>
                <w:t>Technology License Agreement, dated as of September 28, 2023, between</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4.107</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580" w:type="dxa"/>
            <w:vAlign w:val="bottom"/>
            <w:tcBorders>
              <w:top w:val="single" w:sz="8" w:color="0000FF"/>
            </w:tcBorders>
            <w:gridSpan w:val="23"/>
          </w:tcPr>
          <w:p>
            <w:pPr>
              <w:spacing w:after="0" w:line="154" w:lineRule="exact"/>
              <w:rPr>
                <w:rFonts w:ascii="Times New Roman" w:cs="Times New Roman" w:eastAsia="Times New Roman" w:hAnsi="Times New Roman"/>
                <w:sz w:val="15"/>
                <w:szCs w:val="15"/>
                <w:color w:val="0000FF"/>
              </w:rPr>
            </w:pPr>
            <w:hyperlink r:id="rId193">
              <w:r>
                <w:rPr>
                  <w:rFonts w:ascii="Times New Roman" w:cs="Times New Roman" w:eastAsia="Times New Roman" w:hAnsi="Times New Roman"/>
                  <w:sz w:val="15"/>
                  <w:szCs w:val="15"/>
                  <w:color w:val="0000FF"/>
                </w:rPr>
                <w:t>Zhejiang Liankong Technologies Co., Ltd and Polestar Performance AB</w:t>
              </w:r>
            </w:hyperlink>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0" w:type="dxa"/>
            <w:vAlign w:val="bottom"/>
            <w:gridSpan w:val="1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4.108†</w:t>
            </w:r>
          </w:p>
        </w:tc>
        <w:tc>
          <w:tcPr>
            <w:tcW w:w="5100" w:type="dxa"/>
            <w:vAlign w:val="bottom"/>
            <w:gridSpan w:val="42"/>
          </w:tcPr>
          <w:p>
            <w:pPr>
              <w:spacing w:after="0"/>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Contract for the Transfer of 100% of the Shares of Polestar New Energy Vehicle</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4.108</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5080" w:type="dxa"/>
            <w:vAlign w:val="bottom"/>
            <w:tcBorders>
              <w:top w:val="single" w:sz="8" w:color="0000FF"/>
            </w:tcBorders>
            <w:gridSpan w:val="41"/>
          </w:tcPr>
          <w:p>
            <w:pPr>
              <w:spacing w:after="0" w:line="15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Co., Ltd., dated July 5, 2023, by and among Polestar (China) Group Co., Ltd.,</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40" w:type="dxa"/>
            <w:vAlign w:val="bottom"/>
            <w:tcBorders>
              <w:top w:val="single" w:sz="8" w:color="0000FF"/>
            </w:tcBorders>
            <w:gridSpan w:val="29"/>
          </w:tcPr>
          <w:p>
            <w:pPr>
              <w:spacing w:after="0" w:line="15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Zhejiang Geely Property Investment Holding Co. Ltd., and Polestar New</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5"/>
                <w:szCs w:val="15"/>
                <w:color w:val="0000FF"/>
              </w:rPr>
            </w:pPr>
            <w:hyperlink r:id="rId194">
              <w:r>
                <w:rPr>
                  <w:rFonts w:ascii="Times New Roman" w:cs="Times New Roman" w:eastAsia="Times New Roman" w:hAnsi="Times New Roman"/>
                  <w:sz w:val="15"/>
                  <w:szCs w:val="15"/>
                  <w:color w:val="0000FF"/>
                </w:rPr>
                <w:t>Energy Vehicle Co., Ltd.</w:t>
              </w:r>
            </w:hyperlink>
          </w:p>
        </w:tc>
        <w:tc>
          <w:tcPr>
            <w:tcW w:w="2980" w:type="dxa"/>
            <w:vAlign w:val="bottom"/>
            <w:tcBorders>
              <w:top w:val="single" w:sz="8" w:color="0000FF"/>
            </w:tcBorders>
            <w:gridSpan w:val="17"/>
          </w:tcPr>
          <w:p>
            <w:pPr>
              <w:spacing w:after="0"/>
              <w:rPr>
                <w:sz w:val="13"/>
                <w:szCs w:val="13"/>
                <w:color w:val="auto"/>
              </w:rPr>
            </w:pPr>
          </w:p>
        </w:tc>
        <w:tc>
          <w:tcPr>
            <w:tcW w:w="220" w:type="dxa"/>
            <w:vAlign w:val="bottom"/>
            <w:gridSpan w:val="5"/>
          </w:tcPr>
          <w:p>
            <w:pPr>
              <w:spacing w:after="0"/>
              <w:rPr>
                <w:sz w:val="13"/>
                <w:szCs w:val="13"/>
                <w:color w:val="auto"/>
              </w:rPr>
            </w:pPr>
          </w:p>
        </w:tc>
        <w:tc>
          <w:tcPr>
            <w:tcW w:w="14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4.109†</w:t>
            </w:r>
          </w:p>
        </w:tc>
        <w:tc>
          <w:tcPr>
            <w:tcW w:w="5100" w:type="dxa"/>
            <w:vAlign w:val="bottom"/>
            <w:gridSpan w:val="42"/>
          </w:tcPr>
          <w:p>
            <w:pPr>
              <w:spacing w:after="0"/>
              <w:rPr>
                <w:rFonts w:ascii="Times New Roman" w:cs="Times New Roman" w:eastAsia="Times New Roman" w:hAnsi="Times New Roman"/>
                <w:sz w:val="15"/>
                <w:szCs w:val="15"/>
                <w:color w:val="0000FF"/>
              </w:rPr>
            </w:pPr>
            <w:hyperlink r:id="rId195">
              <w:r>
                <w:rPr>
                  <w:rFonts w:ascii="Times New Roman" w:cs="Times New Roman" w:eastAsia="Times New Roman" w:hAnsi="Times New Roman"/>
                  <w:sz w:val="15"/>
                  <w:szCs w:val="15"/>
                  <w:color w:val="0000FF"/>
                </w:rPr>
                <w:t>Manufacturing and Vehicle Supply Agreement (Domestic), dated July 24, 2023,</w:t>
              </w:r>
            </w:hyperlink>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4.109</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5040" w:type="dxa"/>
            <w:vAlign w:val="bottom"/>
            <w:tcBorders>
              <w:top w:val="single" w:sz="8" w:color="0000FF"/>
            </w:tcBorders>
            <w:gridSpan w:val="39"/>
          </w:tcPr>
          <w:p>
            <w:pPr>
              <w:spacing w:after="0" w:line="154" w:lineRule="exact"/>
              <w:rPr>
                <w:rFonts w:ascii="Times New Roman" w:cs="Times New Roman" w:eastAsia="Times New Roman" w:hAnsi="Times New Roman"/>
                <w:sz w:val="15"/>
                <w:szCs w:val="15"/>
                <w:color w:val="0000FF"/>
              </w:rPr>
            </w:pPr>
            <w:hyperlink r:id="rId195">
              <w:r>
                <w:rPr>
                  <w:rFonts w:ascii="Times New Roman" w:cs="Times New Roman" w:eastAsia="Times New Roman" w:hAnsi="Times New Roman"/>
                  <w:sz w:val="15"/>
                  <w:szCs w:val="15"/>
                  <w:color w:val="0000FF"/>
                </w:rPr>
                <w:t>between Polestar Automotive China Distribution Co., Ltd., Ningbo Hangzhou</w:t>
              </w:r>
            </w:hyperlink>
          </w:p>
        </w:tc>
        <w:tc>
          <w:tcPr>
            <w:tcW w:w="6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80" w:type="dxa"/>
            <w:vAlign w:val="bottom"/>
            <w:tcBorders>
              <w:top w:val="single" w:sz="8" w:color="0000FF"/>
            </w:tcBorders>
            <w:gridSpan w:val="31"/>
          </w:tcPr>
          <w:p>
            <w:pPr>
              <w:spacing w:after="0" w:line="154" w:lineRule="exact"/>
              <w:rPr>
                <w:rFonts w:ascii="Times New Roman" w:cs="Times New Roman" w:eastAsia="Times New Roman" w:hAnsi="Times New Roman"/>
                <w:sz w:val="15"/>
                <w:szCs w:val="15"/>
                <w:color w:val="0000FF"/>
              </w:rPr>
            </w:pPr>
            <w:hyperlink r:id="rId195">
              <w:r>
                <w:rPr>
                  <w:rFonts w:ascii="Times New Roman" w:cs="Times New Roman" w:eastAsia="Times New Roman" w:hAnsi="Times New Roman"/>
                  <w:sz w:val="15"/>
                  <w:szCs w:val="15"/>
                  <w:color w:val="0000FF"/>
                </w:rPr>
                <w:t>Bay Geely Automotive Parts Co., Ltd., and Zhejiang Geely Automobile Co.,</w:t>
              </w:r>
            </w:hyperlink>
          </w:p>
        </w:tc>
        <w:tc>
          <w:tcPr>
            <w:tcW w:w="220" w:type="dxa"/>
            <w:vAlign w:val="bottom"/>
            <w:gridSpan w:val="11"/>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5"/>
                <w:szCs w:val="15"/>
                <w:color w:val="0000FF"/>
              </w:rPr>
            </w:pPr>
            <w:hyperlink r:id="rId195">
              <w:r>
                <w:rPr>
                  <w:rFonts w:ascii="Times New Roman" w:cs="Times New Roman" w:eastAsia="Times New Roman" w:hAnsi="Times New Roman"/>
                  <w:sz w:val="15"/>
                  <w:szCs w:val="15"/>
                  <w:color w:val="0000FF"/>
                </w:rPr>
                <w:t>Ltd. Ningbo Hangzhou Bay Factory.</w:t>
              </w:r>
            </w:hyperlink>
          </w:p>
        </w:tc>
        <w:tc>
          <w:tcPr>
            <w:tcW w:w="2480" w:type="dxa"/>
            <w:vAlign w:val="bottom"/>
            <w:tcBorders>
              <w:top w:val="single" w:sz="8" w:color="0000FF"/>
            </w:tcBorders>
            <w:gridSpan w:val="20"/>
          </w:tcPr>
          <w:p>
            <w:pPr>
              <w:spacing w:after="0"/>
              <w:rPr>
                <w:sz w:val="13"/>
                <w:szCs w:val="13"/>
                <w:color w:val="auto"/>
              </w:rPr>
            </w:pPr>
          </w:p>
        </w:tc>
        <w:tc>
          <w:tcPr>
            <w:tcW w:w="360" w:type="dxa"/>
            <w:vAlign w:val="bottom"/>
            <w:gridSpan w:val="16"/>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686"/>
        </w:trPr>
        <w:tc>
          <w:tcPr>
            <w:tcW w:w="920" w:type="dxa"/>
            <w:vAlign w:val="bottom"/>
          </w:tcPr>
          <w:p>
            <w:pPr>
              <w:spacing w:after="0"/>
              <w:rPr>
                <w:sz w:val="24"/>
                <w:szCs w:val="24"/>
                <w:color w:val="auto"/>
              </w:rPr>
            </w:pPr>
          </w:p>
        </w:tc>
        <w:tc>
          <w:tcPr>
            <w:tcW w:w="4820" w:type="dxa"/>
            <w:vAlign w:val="bottom"/>
            <w:gridSpan w:val="28"/>
          </w:tcPr>
          <w:p>
            <w:pPr>
              <w:ind w:left="4620"/>
              <w:spacing w:after="0"/>
              <w:rPr>
                <w:sz w:val="20"/>
                <w:szCs w:val="20"/>
                <w:color w:val="auto"/>
              </w:rPr>
            </w:pPr>
            <w:r>
              <w:rPr>
                <w:rFonts w:ascii="Times New Roman" w:cs="Times New Roman" w:eastAsia="Times New Roman" w:hAnsi="Times New Roman"/>
                <w:sz w:val="15"/>
                <w:szCs w:val="15"/>
                <w:color w:val="auto"/>
              </w:rPr>
              <w:t>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3"/>
          </w:tcPr>
          <w:p>
            <w:pPr>
              <w:jc w:val="center"/>
              <w:ind w:right="44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4.110†</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Manufacturing and Vehicle Supply Agreement (Export), dated July 17, 2023,</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4.110</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29"/>
          </w:tcPr>
          <w:p>
            <w:pPr>
              <w:spacing w:after="0" w:line="154" w:lineRule="exact"/>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between Polestar Performance AB, Ningbo Hangzhou Bay Geely Automotive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840" w:type="dxa"/>
            <w:vAlign w:val="bottom"/>
            <w:gridSpan w:val="31"/>
          </w:tcPr>
          <w:p>
            <w:pPr>
              <w:spacing w:after="0" w:line="154" w:lineRule="exact"/>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Parts Co., Ltd., Zhejiang Geely Automobile Co., Ltd. Ningbo Hangzhou Bay</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5"/>
                <w:szCs w:val="15"/>
                <w:color w:val="0000FF"/>
              </w:rPr>
            </w:pPr>
            <w:hyperlink r:id="rId198">
              <w:r>
                <w:rPr>
                  <w:rFonts w:ascii="Times New Roman" w:cs="Times New Roman" w:eastAsia="Times New Roman" w:hAnsi="Times New Roman"/>
                  <w:sz w:val="15"/>
                  <w:szCs w:val="15"/>
                  <w:color w:val="0000FF"/>
                </w:rPr>
                <w:t>Factory, and Shanghai Global Trading Corporation.</w:t>
              </w:r>
            </w:hyperlink>
          </w:p>
        </w:tc>
        <w:tc>
          <w:tcPr>
            <w:tcW w:w="15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4.111†</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199">
              <w:r>
                <w:rPr>
                  <w:rFonts w:ascii="Times New Roman" w:cs="Times New Roman" w:eastAsia="Times New Roman" w:hAnsi="Times New Roman"/>
                  <w:sz w:val="15"/>
                  <w:szCs w:val="15"/>
                  <w:color w:val="0000FF"/>
                </w:rPr>
                <w:t>Amendment Agreement no 2, dated December 1, 2023 to Prototype Supply</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4.111</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680" w:type="dxa"/>
            <w:vAlign w:val="bottom"/>
            <w:tcBorders>
              <w:top w:val="single" w:sz="8" w:color="0000FF"/>
            </w:tcBorders>
            <w:gridSpan w:val="23"/>
          </w:tcPr>
          <w:p>
            <w:pPr>
              <w:spacing w:after="0" w:line="154" w:lineRule="exact"/>
              <w:rPr>
                <w:rFonts w:ascii="Times New Roman" w:cs="Times New Roman" w:eastAsia="Times New Roman" w:hAnsi="Times New Roman"/>
                <w:sz w:val="15"/>
                <w:szCs w:val="15"/>
                <w:color w:val="0000FF"/>
              </w:rPr>
            </w:pPr>
            <w:hyperlink r:id="rId199">
              <w:r>
                <w:rPr>
                  <w:rFonts w:ascii="Times New Roman" w:cs="Times New Roman" w:eastAsia="Times New Roman" w:hAnsi="Times New Roman"/>
                  <w:sz w:val="15"/>
                  <w:szCs w:val="15"/>
                  <w:color w:val="0000FF"/>
                </w:rPr>
                <w:t>Agreement, effective as of July 1, 2022, between Asia Europe New Energy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660" w:type="dxa"/>
            <w:vAlign w:val="bottom"/>
            <w:tcBorders>
              <w:top w:val="single" w:sz="8" w:color="0000FF"/>
            </w:tcBorders>
            <w:gridSpan w:val="22"/>
          </w:tcPr>
          <w:p>
            <w:pPr>
              <w:spacing w:after="0" w:line="154" w:lineRule="exact"/>
              <w:rPr>
                <w:rFonts w:ascii="Times New Roman" w:cs="Times New Roman" w:eastAsia="Times New Roman" w:hAnsi="Times New Roman"/>
                <w:sz w:val="15"/>
                <w:szCs w:val="15"/>
                <w:color w:val="0000FF"/>
              </w:rPr>
            </w:pPr>
            <w:hyperlink r:id="rId199">
              <w:r>
                <w:rPr>
                  <w:rFonts w:ascii="Times New Roman" w:cs="Times New Roman" w:eastAsia="Times New Roman" w:hAnsi="Times New Roman"/>
                  <w:sz w:val="15"/>
                  <w:szCs w:val="15"/>
                  <w:color w:val="0000FF"/>
                </w:rPr>
                <w:t>Vehicle Manufacturing (Chongqing) Co., Ltd., Polestar Performance AB,</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560" w:type="dxa"/>
            <w:vAlign w:val="bottom"/>
            <w:tcBorders>
              <w:top w:val="single" w:sz="8" w:color="0000FF"/>
            </w:tcBorders>
            <w:gridSpan w:val="18"/>
          </w:tcPr>
          <w:p>
            <w:pPr>
              <w:spacing w:after="0" w:line="154" w:lineRule="exact"/>
              <w:rPr>
                <w:rFonts w:ascii="Times New Roman" w:cs="Times New Roman" w:eastAsia="Times New Roman" w:hAnsi="Times New Roman"/>
                <w:sz w:val="15"/>
                <w:szCs w:val="15"/>
                <w:color w:val="0000FF"/>
              </w:rPr>
            </w:pPr>
            <w:hyperlink r:id="rId199">
              <w:r>
                <w:rPr>
                  <w:rFonts w:ascii="Times New Roman" w:cs="Times New Roman" w:eastAsia="Times New Roman" w:hAnsi="Times New Roman"/>
                  <w:sz w:val="15"/>
                  <w:szCs w:val="15"/>
                  <w:color w:val="0000FF"/>
                </w:rPr>
                <w:t>Polestar Automotive (Chongqing) Co., Ltd, Polestar Automotive (China)</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5"/>
                <w:szCs w:val="15"/>
                <w:color w:val="0000FF"/>
              </w:rPr>
            </w:pPr>
            <w:hyperlink r:id="rId199">
              <w:r>
                <w:rPr>
                  <w:rFonts w:ascii="Times New Roman" w:cs="Times New Roman" w:eastAsia="Times New Roman" w:hAnsi="Times New Roman"/>
                  <w:sz w:val="15"/>
                  <w:szCs w:val="15"/>
                  <w:color w:val="0000FF"/>
                </w:rPr>
                <w:t>Distribution Co., Ltd. and Polestar Automotive (China) R&amp;D Branch</w:t>
              </w:r>
            </w:hyperlink>
          </w:p>
        </w:tc>
        <w:tc>
          <w:tcPr>
            <w:tcW w:w="2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4.112†</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0">
              <w:r>
                <w:rPr>
                  <w:rFonts w:ascii="Times New Roman" w:cs="Times New Roman" w:eastAsia="Times New Roman" w:hAnsi="Times New Roman"/>
                  <w:sz w:val="15"/>
                  <w:szCs w:val="15"/>
                  <w:color w:val="0000FF"/>
                </w:rPr>
                <w:t>Service Agreement, dated as of November 29, 2023, between Zhejiang ZEEKR</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4.112</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5"/>
                <w:szCs w:val="15"/>
                <w:color w:val="0000FF"/>
              </w:rPr>
            </w:pPr>
            <w:hyperlink r:id="rId200">
              <w:r>
                <w:rPr>
                  <w:rFonts w:ascii="Times New Roman" w:cs="Times New Roman" w:eastAsia="Times New Roman" w:hAnsi="Times New Roman"/>
                  <w:sz w:val="15"/>
                  <w:szCs w:val="15"/>
                  <w:color w:val="0000FF"/>
                </w:rPr>
                <w:t>Automobile Research &amp; Development Co., Ltd and Polestar Performance AB</w:t>
              </w:r>
            </w:hyperlink>
          </w:p>
        </w:tc>
        <w:tc>
          <w:tcPr>
            <w:tcW w:w="1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4.113†</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1">
              <w:r>
                <w:rPr>
                  <w:rFonts w:ascii="Times New Roman" w:cs="Times New Roman" w:eastAsia="Times New Roman" w:hAnsi="Times New Roman"/>
                  <w:sz w:val="15"/>
                  <w:szCs w:val="15"/>
                  <w:color w:val="0000FF"/>
                </w:rPr>
                <w:t>Three Parties Agreement, dated as of November 30, 2023, between Polestar</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4.113</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700" w:type="dxa"/>
            <w:vAlign w:val="bottom"/>
            <w:tcBorders>
              <w:top w:val="single" w:sz="8" w:color="0000FF"/>
            </w:tcBorders>
            <w:gridSpan w:val="24"/>
          </w:tcPr>
          <w:p>
            <w:pPr>
              <w:spacing w:after="0" w:line="154" w:lineRule="exact"/>
              <w:rPr>
                <w:rFonts w:ascii="Times New Roman" w:cs="Times New Roman" w:eastAsia="Times New Roman" w:hAnsi="Times New Roman"/>
                <w:sz w:val="15"/>
                <w:szCs w:val="15"/>
                <w:color w:val="0000FF"/>
              </w:rPr>
            </w:pPr>
            <w:hyperlink r:id="rId201">
              <w:r>
                <w:rPr>
                  <w:rFonts w:ascii="Times New Roman" w:cs="Times New Roman" w:eastAsia="Times New Roman" w:hAnsi="Times New Roman"/>
                  <w:sz w:val="15"/>
                  <w:szCs w:val="15"/>
                  <w:color w:val="0000FF"/>
                </w:rPr>
                <w:t>Performance AB, Ningbo Geely Automobile Research &amp; Development Co.,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5"/>
          </w:tcPr>
          <w:p>
            <w:pPr>
              <w:spacing w:after="0" w:line="154" w:lineRule="exact"/>
              <w:rPr>
                <w:rFonts w:ascii="Times New Roman" w:cs="Times New Roman" w:eastAsia="Times New Roman" w:hAnsi="Times New Roman"/>
                <w:sz w:val="15"/>
                <w:szCs w:val="15"/>
                <w:color w:val="0000FF"/>
              </w:rPr>
            </w:pPr>
            <w:hyperlink r:id="rId201">
              <w:r>
                <w:rPr>
                  <w:rFonts w:ascii="Times New Roman" w:cs="Times New Roman" w:eastAsia="Times New Roman" w:hAnsi="Times New Roman"/>
                  <w:sz w:val="15"/>
                  <w:szCs w:val="15"/>
                  <w:color w:val="0000FF"/>
                </w:rPr>
                <w:t>Ltd</w:t>
              </w:r>
            </w:hyperlink>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5"/>
                <w:szCs w:val="15"/>
                <w:color w:val="0000FF"/>
              </w:rPr>
            </w:pPr>
            <w:hyperlink r:id="rId201">
              <w:r>
                <w:rPr>
                  <w:rFonts w:ascii="Times New Roman" w:cs="Times New Roman" w:eastAsia="Times New Roman" w:hAnsi="Times New Roman"/>
                  <w:sz w:val="15"/>
                  <w:szCs w:val="15"/>
                  <w:color w:val="0000FF"/>
                </w:rPr>
                <w:t>and Polestar Technology (Zhongshan) Co., Ltd.</w:t>
              </w:r>
            </w:hyperlink>
          </w:p>
        </w:tc>
        <w:tc>
          <w:tcPr>
            <w:tcW w:w="20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4.114†</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2">
              <w:r>
                <w:rPr>
                  <w:rFonts w:ascii="Times New Roman" w:cs="Times New Roman" w:eastAsia="Times New Roman" w:hAnsi="Times New Roman"/>
                  <w:sz w:val="15"/>
                  <w:szCs w:val="15"/>
                  <w:color w:val="0000FF"/>
                </w:rPr>
                <w:t>Asset Purchase Agreement, dated as of November 28, 2023, between Polestar</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4.114</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5"/>
                <w:szCs w:val="15"/>
                <w:color w:val="0000FF"/>
              </w:rPr>
            </w:pPr>
            <w:hyperlink r:id="rId202">
              <w:r>
                <w:rPr>
                  <w:rFonts w:ascii="Times New Roman" w:cs="Times New Roman" w:eastAsia="Times New Roman" w:hAnsi="Times New Roman"/>
                  <w:sz w:val="15"/>
                  <w:szCs w:val="15"/>
                  <w:color w:val="0000FF"/>
                </w:rPr>
                <w:t>Automotive China Distribution Co., Ltd. and Polestar Technology (Zhongshan)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20" w:type="dxa"/>
            <w:vAlign w:val="bottom"/>
            <w:tcBorders>
              <w:bottom w:val="single" w:sz="8" w:color="0000FF"/>
            </w:tcBorders>
            <w:gridSpan w:val="2"/>
          </w:tcPr>
          <w:p>
            <w:pPr>
              <w:spacing w:after="0" w:line="154" w:lineRule="exact"/>
              <w:rPr>
                <w:rFonts w:ascii="Times New Roman" w:cs="Times New Roman" w:eastAsia="Times New Roman" w:hAnsi="Times New Roman"/>
                <w:sz w:val="15"/>
                <w:szCs w:val="15"/>
                <w:color w:val="0000FF"/>
              </w:rPr>
            </w:pPr>
            <w:hyperlink r:id="rId202">
              <w:r>
                <w:rPr>
                  <w:rFonts w:ascii="Times New Roman" w:cs="Times New Roman" w:eastAsia="Times New Roman" w:hAnsi="Times New Roman"/>
                  <w:sz w:val="15"/>
                  <w:szCs w:val="15"/>
                  <w:color w:val="0000FF"/>
                </w:rPr>
                <w:t>Co., Ltd</w:t>
              </w:r>
            </w:hyperlink>
          </w:p>
        </w:tc>
        <w:tc>
          <w:tcPr>
            <w:tcW w:w="4400" w:type="dxa"/>
            <w:vAlign w:val="bottom"/>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4.115†</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3">
              <w:r>
                <w:rPr>
                  <w:rFonts w:ascii="Times New Roman" w:cs="Times New Roman" w:eastAsia="Times New Roman" w:hAnsi="Times New Roman"/>
                  <w:sz w:val="15"/>
                  <w:szCs w:val="15"/>
                  <w:color w:val="0000FF"/>
                </w:rPr>
                <w:t>Supplementary Asset Purchase Agreement, dated as of November 28, 2023,</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4.115</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720" w:type="dxa"/>
            <w:vAlign w:val="bottom"/>
            <w:tcBorders>
              <w:top w:val="single" w:sz="8" w:color="0000FF"/>
            </w:tcBorders>
            <w:gridSpan w:val="25"/>
          </w:tcPr>
          <w:p>
            <w:pPr>
              <w:spacing w:after="0" w:line="154" w:lineRule="exact"/>
              <w:rPr>
                <w:rFonts w:ascii="Times New Roman" w:cs="Times New Roman" w:eastAsia="Times New Roman" w:hAnsi="Times New Roman"/>
                <w:sz w:val="15"/>
                <w:szCs w:val="15"/>
                <w:color w:val="0000FF"/>
              </w:rPr>
            </w:pPr>
            <w:hyperlink r:id="rId203">
              <w:r>
                <w:rPr>
                  <w:rFonts w:ascii="Times New Roman" w:cs="Times New Roman" w:eastAsia="Times New Roman" w:hAnsi="Times New Roman"/>
                  <w:sz w:val="15"/>
                  <w:szCs w:val="15"/>
                  <w:color w:val="0000FF"/>
                </w:rPr>
                <w:t>between Polestar Automotive China Distribution Co., Ltd. and Polestar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400" w:type="dxa"/>
            <w:vAlign w:val="bottom"/>
            <w:tcBorders>
              <w:top w:val="single" w:sz="8" w:color="0000FF"/>
            </w:tcBorders>
            <w:gridSpan w:val="13"/>
          </w:tcPr>
          <w:p>
            <w:pPr>
              <w:spacing w:after="0" w:line="154" w:lineRule="exact"/>
              <w:rPr>
                <w:rFonts w:ascii="Times New Roman" w:cs="Times New Roman" w:eastAsia="Times New Roman" w:hAnsi="Times New Roman"/>
                <w:sz w:val="15"/>
                <w:szCs w:val="15"/>
                <w:color w:val="0000FF"/>
              </w:rPr>
            </w:pPr>
            <w:hyperlink r:id="rId203">
              <w:r>
                <w:rPr>
                  <w:rFonts w:ascii="Times New Roman" w:cs="Times New Roman" w:eastAsia="Times New Roman" w:hAnsi="Times New Roman"/>
                  <w:sz w:val="15"/>
                  <w:szCs w:val="15"/>
                  <w:color w:val="0000FF"/>
                </w:rPr>
                <w:t>Technology (Zhongshan) Co.,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4.116†</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Brand License Agreement, dated as of November 14, 2023, between Polestar</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4.116</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Performance AB and Polestar Technology (Shaoxing) Co., Ltd</w:t>
              </w:r>
            </w:hyperlink>
          </w:p>
        </w:tc>
        <w:tc>
          <w:tcPr>
            <w:tcW w:w="9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4.117†</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Vehicle Sale and Purchase Agreement, dated as of December 14, 2023, between</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4.117</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980" w:type="dxa"/>
            <w:vAlign w:val="bottom"/>
            <w:tcBorders>
              <w:top w:val="single" w:sz="8" w:color="0000FF"/>
            </w:tcBorders>
            <w:gridSpan w:val="37"/>
          </w:tcPr>
          <w:p>
            <w:pPr>
              <w:spacing w:after="0" w:line="15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Polestar Automotive China Distribution Co., Ltd. Shanghai Polestar Shida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600" w:type="dxa"/>
            <w:vAlign w:val="bottom"/>
            <w:tcBorders>
              <w:top w:val="single" w:sz="8" w:color="0000FF"/>
            </w:tcBorders>
            <w:gridSpan w:val="19"/>
          </w:tcPr>
          <w:p>
            <w:pPr>
              <w:spacing w:after="0" w:line="154" w:lineRule="exact"/>
              <w:rPr>
                <w:rFonts w:ascii="Times New Roman" w:cs="Times New Roman" w:eastAsia="Times New Roman" w:hAnsi="Times New Roman"/>
                <w:sz w:val="15"/>
                <w:szCs w:val="15"/>
                <w:color w:val="0000FF"/>
              </w:rPr>
            </w:pPr>
            <w:hyperlink r:id="rId205">
              <w:r>
                <w:rPr>
                  <w:rFonts w:ascii="Times New Roman" w:cs="Times New Roman" w:eastAsia="Times New Roman" w:hAnsi="Times New Roman"/>
                  <w:sz w:val="15"/>
                  <w:szCs w:val="15"/>
                  <w:color w:val="0000FF"/>
                </w:rPr>
                <w:t>Automotive Distribution Co., Ltd., and Polestar Technology (Zhongshan)</w:t>
              </w:r>
            </w:hyperlink>
          </w:p>
        </w:tc>
        <w:tc>
          <w:tcPr>
            <w:tcW w:w="460" w:type="dxa"/>
            <w:vAlign w:val="bottom"/>
            <w:gridSpan w:val="22"/>
          </w:tcPr>
          <w:p>
            <w:pPr>
              <w:jc w:val="center"/>
              <w:ind w:right="220"/>
              <w:spacing w:after="0" w:line="154" w:lineRule="exact"/>
              <w:rPr>
                <w:rFonts w:ascii="Times New Roman" w:cs="Times New Roman" w:eastAsia="Times New Roman" w:hAnsi="Times New Roman"/>
                <w:sz w:val="15"/>
                <w:szCs w:val="15"/>
                <w:color w:val="0000FF"/>
                <w:w w:val="95"/>
              </w:rPr>
            </w:pPr>
            <w:hyperlink r:id="rId205">
              <w:r>
                <w:rPr>
                  <w:rFonts w:ascii="Times New Roman" w:cs="Times New Roman" w:eastAsia="Times New Roman" w:hAnsi="Times New Roman"/>
                  <w:sz w:val="15"/>
                  <w:szCs w:val="15"/>
                  <w:color w:val="0000FF"/>
                  <w:w w:val="95"/>
                </w:rPr>
                <w:t>Co.,</w:t>
              </w:r>
            </w:hyperlink>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w w:val="97"/>
              </w:rPr>
            </w:pPr>
            <w:hyperlink r:id="rId205">
              <w:r>
                <w:rPr>
                  <w:rFonts w:ascii="Times New Roman" w:cs="Times New Roman" w:eastAsia="Times New Roman" w:hAnsi="Times New Roman"/>
                  <w:sz w:val="15"/>
                  <w:szCs w:val="15"/>
                  <w:color w:val="0000FF"/>
                  <w:w w:val="97"/>
                </w:rPr>
                <w:t>Ltd.</w:t>
              </w:r>
            </w:hyperlink>
          </w:p>
        </w:tc>
        <w:tc>
          <w:tcPr>
            <w:tcW w:w="4600" w:type="dxa"/>
            <w:vAlign w:val="bottom"/>
            <w:tcBorders>
              <w:top w:val="single" w:sz="8" w:color="0000FF"/>
            </w:tcBorders>
            <w:gridSpan w:val="31"/>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4.118†</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Transitional Service Agreement dated as of December 14, 2023, between</w:t>
              </w:r>
            </w:hyperlink>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4.118</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Polestar Automotive China Distribution Co., Ltd, and Polestar Technology</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1240" w:type="dxa"/>
            <w:vAlign w:val="bottom"/>
            <w:tcBorders>
              <w:bottom w:val="single" w:sz="8" w:color="0000FF"/>
            </w:tcBorders>
            <w:gridSpan w:val="4"/>
          </w:tcPr>
          <w:p>
            <w:pPr>
              <w:spacing w:after="0" w:line="154" w:lineRule="exact"/>
              <w:rPr>
                <w:rFonts w:ascii="Times New Roman" w:cs="Times New Roman" w:eastAsia="Times New Roman" w:hAnsi="Times New Roman"/>
                <w:sz w:val="15"/>
                <w:szCs w:val="15"/>
                <w:color w:val="0000FF"/>
              </w:rPr>
            </w:pPr>
            <w:hyperlink r:id="rId206">
              <w:r>
                <w:rPr>
                  <w:rFonts w:ascii="Times New Roman" w:cs="Times New Roman" w:eastAsia="Times New Roman" w:hAnsi="Times New Roman"/>
                  <w:sz w:val="15"/>
                  <w:szCs w:val="15"/>
                  <w:color w:val="0000FF"/>
                </w:rPr>
                <w:t>(Shaoxing) Co., Ltd</w:t>
              </w:r>
            </w:hyperlink>
          </w:p>
        </w:tc>
        <w:tc>
          <w:tcPr>
            <w:tcW w:w="33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4.119†</w:t>
            </w:r>
          </w:p>
        </w:tc>
        <w:tc>
          <w:tcPr>
            <w:tcW w:w="5060" w:type="dxa"/>
            <w:vAlign w:val="bottom"/>
            <w:gridSpan w:val="41"/>
            <w:vMerge w:val="restart"/>
          </w:tcPr>
          <w:p>
            <w:pPr>
              <w:spacing w:after="0"/>
              <w:rPr>
                <w:rFonts w:ascii="Times New Roman" w:cs="Times New Roman" w:eastAsia="Times New Roman" w:hAnsi="Times New Roman"/>
                <w:sz w:val="15"/>
                <w:szCs w:val="15"/>
                <w:color w:val="0000FF"/>
              </w:rPr>
            </w:pPr>
            <w:hyperlink r:id="rId207">
              <w:r>
                <w:rPr>
                  <w:rFonts w:ascii="Times New Roman" w:cs="Times New Roman" w:eastAsia="Times New Roman" w:hAnsi="Times New Roman"/>
                  <w:sz w:val="15"/>
                  <w:szCs w:val="15"/>
                  <w:color w:val="0000FF"/>
                </w:rPr>
                <w:t>Amendment No. 1, dated July 16, 2024, to the Change Management Agreement,</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4.119</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5060" w:type="dxa"/>
            <w:vAlign w:val="bottom"/>
            <w:gridSpan w:val="41"/>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39"/>
          </w:tcPr>
          <w:p>
            <w:pPr>
              <w:spacing w:after="0" w:line="154" w:lineRule="exact"/>
              <w:rPr>
                <w:rFonts w:ascii="Times New Roman" w:cs="Times New Roman" w:eastAsia="Times New Roman" w:hAnsi="Times New Roman"/>
                <w:sz w:val="15"/>
                <w:szCs w:val="15"/>
                <w:color w:val="0000FF"/>
              </w:rPr>
            </w:pPr>
            <w:hyperlink r:id="rId207">
              <w:r>
                <w:rPr>
                  <w:rFonts w:ascii="Times New Roman" w:cs="Times New Roman" w:eastAsia="Times New Roman" w:hAnsi="Times New Roman"/>
                  <w:sz w:val="15"/>
                  <w:szCs w:val="15"/>
                  <w:color w:val="0000FF"/>
                </w:rPr>
                <w:t>effective as of January 1, 2022, between Polestar Performance AB and Volvo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5040" w:type="dxa"/>
            <w:vAlign w:val="bottom"/>
            <w:gridSpan w:val="40"/>
          </w:tcPr>
          <w:p>
            <w:pPr>
              <w:spacing w:after="0" w:line="154" w:lineRule="exact"/>
              <w:rPr>
                <w:rFonts w:ascii="Times New Roman" w:cs="Times New Roman" w:eastAsia="Times New Roman" w:hAnsi="Times New Roman"/>
                <w:sz w:val="15"/>
                <w:szCs w:val="15"/>
                <w:color w:val="0000FF"/>
              </w:rPr>
            </w:pPr>
            <w:hyperlink r:id="rId207">
              <w:r>
                <w:rPr>
                  <w:rFonts w:ascii="Times New Roman" w:cs="Times New Roman" w:eastAsia="Times New Roman" w:hAnsi="Times New Roman"/>
                  <w:sz w:val="15"/>
                  <w:szCs w:val="15"/>
                  <w:color w:val="0000FF"/>
                </w:rPr>
                <w:t>Car Corporation</w:t>
              </w:r>
            </w:hyperlink>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4.120†</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8">
              <w:r>
                <w:rPr>
                  <w:rFonts w:ascii="Times New Roman" w:cs="Times New Roman" w:eastAsia="Times New Roman" w:hAnsi="Times New Roman"/>
                  <w:sz w:val="15"/>
                  <w:szCs w:val="15"/>
                  <w:color w:val="0000FF"/>
                </w:rPr>
                <w:t>Amendment Agreement No 1 Spare Parts Supply Temporary Agreement, dated</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4.120</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900" w:type="dxa"/>
            <w:vAlign w:val="bottom"/>
            <w:tcBorders>
              <w:top w:val="single" w:sz="8" w:color="0000FF"/>
            </w:tcBorders>
            <w:gridSpan w:val="33"/>
          </w:tcPr>
          <w:p>
            <w:pPr>
              <w:spacing w:after="0" w:line="154" w:lineRule="exact"/>
              <w:rPr>
                <w:rFonts w:ascii="Times New Roman" w:cs="Times New Roman" w:eastAsia="Times New Roman" w:hAnsi="Times New Roman"/>
                <w:sz w:val="15"/>
                <w:szCs w:val="15"/>
                <w:color w:val="0000FF"/>
              </w:rPr>
            </w:pPr>
            <w:hyperlink r:id="rId208">
              <w:r>
                <w:rPr>
                  <w:rFonts w:ascii="Times New Roman" w:cs="Times New Roman" w:eastAsia="Times New Roman" w:hAnsi="Times New Roman"/>
                  <w:sz w:val="15"/>
                  <w:szCs w:val="15"/>
                  <w:color w:val="0000FF"/>
                </w:rPr>
                <w:t>as of April 8, 2024, between Polestar Performance AB and Lynk &amp; Co</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5"/>
                <w:szCs w:val="15"/>
                <w:color w:val="0000FF"/>
              </w:rPr>
            </w:pPr>
            <w:hyperlink r:id="rId208">
              <w:r>
                <w:rPr>
                  <w:rFonts w:ascii="Times New Roman" w:cs="Times New Roman" w:eastAsia="Times New Roman" w:hAnsi="Times New Roman"/>
                  <w:sz w:val="15"/>
                  <w:szCs w:val="15"/>
                  <w:color w:val="0000FF"/>
                </w:rPr>
                <w:t>Automobile Sales Co., Ltd.</w:t>
              </w:r>
            </w:hyperlink>
          </w:p>
        </w:tc>
        <w:tc>
          <w:tcPr>
            <w:tcW w:w="2660" w:type="dxa"/>
            <w:vAlign w:val="bottom"/>
            <w:tcBorders>
              <w:top w:val="single" w:sz="8" w:color="0000FF"/>
            </w:tcBorders>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4.121†</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Amendment No. 1 to the Three Parties Agreement, dated July 16, 2024,</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4.121</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440" w:type="dxa"/>
            <w:vAlign w:val="bottom"/>
            <w:tcBorders>
              <w:top w:val="single" w:sz="8" w:color="0000FF"/>
            </w:tcBorders>
            <w:gridSpan w:val="15"/>
          </w:tcPr>
          <w:p>
            <w:pPr>
              <w:spacing w:after="0" w:line="154" w:lineRule="exact"/>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between Polestar Performance AB, Ningbo Geely Automobile Research</w:t>
              </w:r>
            </w:hyperlink>
          </w:p>
        </w:tc>
        <w:tc>
          <w:tcPr>
            <w:tcW w:w="620" w:type="dxa"/>
            <w:vAlign w:val="bottom"/>
            <w:gridSpan w:val="26"/>
          </w:tcPr>
          <w:p>
            <w:pPr>
              <w:ind w:left="60"/>
              <w:spacing w:after="0" w:line="154" w:lineRule="exact"/>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and</w:t>
              </w:r>
            </w:hyperlink>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5"/>
                <w:szCs w:val="15"/>
                <w:color w:val="0000FF"/>
              </w:rPr>
            </w:pPr>
            <w:hyperlink r:id="rId209">
              <w:r>
                <w:rPr>
                  <w:rFonts w:ascii="Times New Roman" w:cs="Times New Roman" w:eastAsia="Times New Roman" w:hAnsi="Times New Roman"/>
                  <w:sz w:val="15"/>
                  <w:szCs w:val="15"/>
                  <w:color w:val="0000FF"/>
                </w:rPr>
                <w:t>Development Co., Ltd., and Polestar Times Technology (Nanjing) Co. Ltd.</w:t>
              </w:r>
            </w:hyperlink>
          </w:p>
        </w:tc>
        <w:tc>
          <w:tcPr>
            <w:tcW w:w="10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4.122†</w:t>
            </w:r>
          </w:p>
        </w:tc>
        <w:tc>
          <w:tcPr>
            <w:tcW w:w="5060" w:type="dxa"/>
            <w:vAlign w:val="bottom"/>
            <w:gridSpan w:val="41"/>
          </w:tcPr>
          <w:p>
            <w:pPr>
              <w:spacing w:after="0"/>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Supplement Agreement No. 2 , dated as of May 23, 2024, to Car Model</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4.122</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20" w:type="dxa"/>
            <w:vAlign w:val="bottom"/>
            <w:gridSpan w:val="14"/>
            <w:shd w:val="clear" w:color="auto" w:fill="0000FF"/>
          </w:tcPr>
          <w:p>
            <w:pPr>
              <w:spacing w:after="0" w:line="20" w:lineRule="exact"/>
              <w:rPr>
                <w:sz w:val="1"/>
                <w:szCs w:val="1"/>
                <w:color w:val="auto"/>
              </w:rPr>
            </w:pPr>
          </w:p>
        </w:tc>
        <w:tc>
          <w:tcPr>
            <w:tcW w:w="380" w:type="dxa"/>
            <w:vAlign w:val="bottom"/>
            <w:gridSpan w:val="1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60" w:type="dxa"/>
            <w:vAlign w:val="bottom"/>
            <w:gridSpan w:val="41"/>
          </w:tcPr>
          <w:p>
            <w:pPr>
              <w:spacing w:after="0" w:line="154" w:lineRule="exact"/>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Manufacturing Agreement, dated as of November 26, 2018, between Asia Euro</w:t>
              </w:r>
            </w:hyperlink>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940" w:type="dxa"/>
            <w:vAlign w:val="bottom"/>
            <w:tcBorders>
              <w:top w:val="single" w:sz="8" w:color="0000FF"/>
            </w:tcBorders>
            <w:gridSpan w:val="35"/>
          </w:tcPr>
          <w:p>
            <w:pPr>
              <w:spacing w:after="0" w:line="154" w:lineRule="exact"/>
              <w:rPr>
                <w:rFonts w:ascii="Times New Roman" w:cs="Times New Roman" w:eastAsia="Times New Roman" w:hAnsi="Times New Roman"/>
                <w:sz w:val="15"/>
                <w:szCs w:val="15"/>
                <w:color w:val="0000FF"/>
              </w:rPr>
            </w:pPr>
            <w:hyperlink r:id="rId210">
              <w:r>
                <w:rPr>
                  <w:rFonts w:ascii="Times New Roman" w:cs="Times New Roman" w:eastAsia="Times New Roman" w:hAnsi="Times New Roman"/>
                  <w:sz w:val="15"/>
                  <w:szCs w:val="15"/>
                  <w:color w:val="0000FF"/>
                </w:rPr>
                <w:t>Automobile Manufacturing (Taizhou) Co., Ltd. and Polestar Performance AB</w:t>
              </w:r>
            </w:hyperlink>
          </w:p>
        </w:tc>
        <w:tc>
          <w:tcPr>
            <w:tcW w:w="12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6"/>
        </w:trPr>
        <w:tc>
          <w:tcPr>
            <w:tcW w:w="920" w:type="dxa"/>
            <w:vAlign w:val="bottom"/>
          </w:tcPr>
          <w:p>
            <w:pPr>
              <w:spacing w:after="0"/>
              <w:rPr>
                <w:sz w:val="24"/>
                <w:szCs w:val="24"/>
                <w:color w:val="auto"/>
              </w:rPr>
            </w:pPr>
          </w:p>
        </w:tc>
        <w:tc>
          <w:tcPr>
            <w:tcW w:w="4800" w:type="dxa"/>
            <w:vAlign w:val="bottom"/>
            <w:tcBorders>
              <w:top w:val="single" w:sz="8" w:color="0000FF"/>
            </w:tcBorders>
            <w:gridSpan w:val="29"/>
          </w:tcPr>
          <w:p>
            <w:pPr>
              <w:jc w:val="center"/>
              <w:ind w:left="4523"/>
              <w:spacing w:after="0"/>
              <w:rPr>
                <w:sz w:val="20"/>
                <w:szCs w:val="20"/>
                <w:color w:val="auto"/>
              </w:rPr>
            </w:pPr>
            <w:r>
              <w:rPr>
                <w:rFonts w:ascii="Times New Roman" w:cs="Times New Roman" w:eastAsia="Times New Roman" w:hAnsi="Times New Roman"/>
                <w:sz w:val="15"/>
                <w:szCs w:val="15"/>
                <w:color w:val="auto"/>
              </w:rPr>
              <w:t>53</w:t>
            </w: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8"/>
          </w:tcPr>
          <w:p>
            <w:pPr>
              <w:jc w:val="center"/>
              <w:ind w:right="44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77"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559"/>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4.123†</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13">
              <w:r>
                <w:rPr>
                  <w:rFonts w:ascii="Times New Roman" w:cs="Times New Roman" w:eastAsia="Times New Roman" w:hAnsi="Times New Roman"/>
                  <w:sz w:val="15"/>
                  <w:szCs w:val="15"/>
                  <w:color w:val="0000FF"/>
                </w:rPr>
                <w:t>Amendment No. 2 to the Temporary Spare Part Supply Agreement, dated May</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4.123</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900" w:type="dxa"/>
            <w:vAlign w:val="bottom"/>
            <w:tcBorders>
              <w:top w:val="single" w:sz="8" w:color="0000FF"/>
            </w:tcBorders>
            <w:gridSpan w:val="37"/>
          </w:tcPr>
          <w:p>
            <w:pPr>
              <w:spacing w:after="0" w:line="154" w:lineRule="exact"/>
              <w:rPr>
                <w:rFonts w:ascii="Times New Roman" w:cs="Times New Roman" w:eastAsia="Times New Roman" w:hAnsi="Times New Roman"/>
                <w:sz w:val="15"/>
                <w:szCs w:val="15"/>
                <w:color w:val="0000FF"/>
              </w:rPr>
            </w:pPr>
            <w:hyperlink r:id="rId213">
              <w:r>
                <w:rPr>
                  <w:rFonts w:ascii="Times New Roman" w:cs="Times New Roman" w:eastAsia="Times New Roman" w:hAnsi="Times New Roman"/>
                  <w:sz w:val="15"/>
                  <w:szCs w:val="15"/>
                  <w:color w:val="0000FF"/>
                </w:rPr>
                <w:t>7, 2024, between Polestar Performance AB and Lynk &amp; Co Automobile Sales</w:t>
              </w:r>
            </w:hyperlink>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5"/>
                <w:szCs w:val="15"/>
                <w:color w:val="0000FF"/>
              </w:rPr>
            </w:pPr>
            <w:hyperlink r:id="rId213">
              <w:r>
                <w:rPr>
                  <w:rFonts w:ascii="Times New Roman" w:cs="Times New Roman" w:eastAsia="Times New Roman" w:hAnsi="Times New Roman"/>
                  <w:sz w:val="15"/>
                  <w:szCs w:val="15"/>
                  <w:color w:val="0000FF"/>
                </w:rPr>
                <w:t>Co., Ltd.</w:t>
              </w:r>
            </w:hyperlink>
          </w:p>
        </w:tc>
        <w:tc>
          <w:tcPr>
            <w:tcW w:w="424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4.124†</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14">
              <w:r>
                <w:rPr>
                  <w:rFonts w:ascii="Times New Roman" w:cs="Times New Roman" w:eastAsia="Times New Roman" w:hAnsi="Times New Roman"/>
                  <w:sz w:val="15"/>
                  <w:szCs w:val="15"/>
                  <w:color w:val="0000FF"/>
                </w:rPr>
                <w:t>VP, TT and PP Vehicle Supply Agreement (China), dated February 1, 2024,</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4.124</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5"/>
                <w:szCs w:val="15"/>
                <w:color w:val="0000FF"/>
                <w:w w:val="99"/>
              </w:rPr>
            </w:pPr>
            <w:hyperlink r:id="rId214">
              <w:r>
                <w:rPr>
                  <w:rFonts w:ascii="Times New Roman" w:cs="Times New Roman" w:eastAsia="Times New Roman" w:hAnsi="Times New Roman"/>
                  <w:sz w:val="15"/>
                  <w:szCs w:val="15"/>
                  <w:color w:val="0000FF"/>
                  <w:w w:val="99"/>
                </w:rPr>
                <w:t>between Polestar Automotive China Distribution Co., Ltd., Ningbo Hangzhou</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40" w:type="dxa"/>
            <w:vAlign w:val="bottom"/>
            <w:gridSpan w:val="34"/>
          </w:tcPr>
          <w:p>
            <w:pPr>
              <w:spacing w:after="0" w:line="154" w:lineRule="exact"/>
              <w:rPr>
                <w:rFonts w:ascii="Times New Roman" w:cs="Times New Roman" w:eastAsia="Times New Roman" w:hAnsi="Times New Roman"/>
                <w:sz w:val="15"/>
                <w:szCs w:val="15"/>
                <w:color w:val="0000FF"/>
              </w:rPr>
            </w:pPr>
            <w:hyperlink r:id="rId214">
              <w:r>
                <w:rPr>
                  <w:rFonts w:ascii="Times New Roman" w:cs="Times New Roman" w:eastAsia="Times New Roman" w:hAnsi="Times New Roman"/>
                  <w:sz w:val="15"/>
                  <w:szCs w:val="15"/>
                  <w:color w:val="0000FF"/>
                </w:rPr>
                <w:t>Bay Geely Automotive Parts Co., Ltd., and Zhejiang Geely Automobile Co.,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5"/>
                <w:szCs w:val="15"/>
                <w:color w:val="0000FF"/>
              </w:rPr>
            </w:pPr>
            <w:hyperlink r:id="rId214">
              <w:r>
                <w:rPr>
                  <w:rFonts w:ascii="Times New Roman" w:cs="Times New Roman" w:eastAsia="Times New Roman" w:hAnsi="Times New Roman"/>
                  <w:sz w:val="15"/>
                  <w:szCs w:val="15"/>
                  <w:color w:val="0000FF"/>
                </w:rPr>
                <w:t>Ltd. Ningbo Hangzhou Bay Factory.</w:t>
              </w:r>
            </w:hyperlink>
          </w:p>
        </w:tc>
        <w:tc>
          <w:tcPr>
            <w:tcW w:w="252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4.125†</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15">
              <w:r>
                <w:rPr>
                  <w:rFonts w:ascii="Times New Roman" w:cs="Times New Roman" w:eastAsia="Times New Roman" w:hAnsi="Times New Roman"/>
                  <w:sz w:val="15"/>
                  <w:szCs w:val="15"/>
                  <w:color w:val="0000FF"/>
                </w:rPr>
                <w:t>TT and PP Vehicle Supply Agreement (Export), dated as of February 19, 2024,</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4.125</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880" w:type="dxa"/>
            <w:vAlign w:val="bottom"/>
            <w:tcBorders>
              <w:top w:val="single" w:sz="8" w:color="0000FF"/>
            </w:tcBorders>
            <w:gridSpan w:val="38"/>
          </w:tcPr>
          <w:p>
            <w:pPr>
              <w:spacing w:after="0" w:line="154" w:lineRule="exact"/>
              <w:rPr>
                <w:rFonts w:ascii="Times New Roman" w:cs="Times New Roman" w:eastAsia="Times New Roman" w:hAnsi="Times New Roman"/>
                <w:sz w:val="15"/>
                <w:szCs w:val="15"/>
                <w:color w:val="0000FF"/>
              </w:rPr>
            </w:pPr>
            <w:hyperlink r:id="rId215">
              <w:r>
                <w:rPr>
                  <w:rFonts w:ascii="Times New Roman" w:cs="Times New Roman" w:eastAsia="Times New Roman" w:hAnsi="Times New Roman"/>
                  <w:sz w:val="15"/>
                  <w:szCs w:val="15"/>
                  <w:color w:val="0000FF"/>
                </w:rPr>
                <w:t>between Polestar Performance AB, Ningbo Hangzhou Bay Geely Automotive</w:t>
              </w:r>
            </w:hyperlink>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20" w:type="dxa"/>
            <w:vAlign w:val="bottom"/>
            <w:tcBorders>
              <w:top w:val="single" w:sz="8" w:color="0000FF"/>
            </w:tcBorders>
            <w:gridSpan w:val="33"/>
          </w:tcPr>
          <w:p>
            <w:pPr>
              <w:spacing w:after="0" w:line="154" w:lineRule="exact"/>
              <w:rPr>
                <w:rFonts w:ascii="Times New Roman" w:cs="Times New Roman" w:eastAsia="Times New Roman" w:hAnsi="Times New Roman"/>
                <w:sz w:val="15"/>
                <w:szCs w:val="15"/>
                <w:color w:val="0000FF"/>
              </w:rPr>
            </w:pPr>
            <w:hyperlink r:id="rId215">
              <w:r>
                <w:rPr>
                  <w:rFonts w:ascii="Times New Roman" w:cs="Times New Roman" w:eastAsia="Times New Roman" w:hAnsi="Times New Roman"/>
                  <w:sz w:val="15"/>
                  <w:szCs w:val="15"/>
                  <w:color w:val="0000FF"/>
                </w:rPr>
                <w:t>Parts Co., Ltd, Zhejiang Geely Automobile Co., Ltd. Ningbo Hangzhou Bay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5"/>
                <w:szCs w:val="15"/>
                <w:color w:val="0000FF"/>
              </w:rPr>
            </w:pPr>
            <w:hyperlink r:id="rId215">
              <w:r>
                <w:rPr>
                  <w:rFonts w:ascii="Times New Roman" w:cs="Times New Roman" w:eastAsia="Times New Roman" w:hAnsi="Times New Roman"/>
                  <w:sz w:val="15"/>
                  <w:szCs w:val="15"/>
                  <w:color w:val="0000FF"/>
                </w:rPr>
                <w:t>Factory, and Shanghai Global Trading Corporation.</w:t>
              </w:r>
            </w:hyperlink>
          </w:p>
        </w:tc>
        <w:tc>
          <w:tcPr>
            <w:tcW w:w="158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4.126†</w:t>
            </w:r>
          </w:p>
        </w:tc>
        <w:tc>
          <w:tcPr>
            <w:tcW w:w="4660" w:type="dxa"/>
            <w:vAlign w:val="bottom"/>
            <w:tcBorders>
              <w:bottom w:val="single" w:sz="8" w:color="0000FF"/>
            </w:tcBorders>
            <w:gridSpan w:val="25"/>
          </w:tcPr>
          <w:p>
            <w:pPr>
              <w:spacing w:after="0"/>
              <w:rPr>
                <w:rFonts w:ascii="Times New Roman" w:cs="Times New Roman" w:eastAsia="Times New Roman" w:hAnsi="Times New Roman"/>
                <w:sz w:val="15"/>
                <w:szCs w:val="15"/>
                <w:color w:val="0000FF"/>
              </w:rPr>
            </w:pPr>
            <w:hyperlink r:id="rId216">
              <w:r>
                <w:rPr>
                  <w:rFonts w:ascii="Times New Roman" w:cs="Times New Roman" w:eastAsia="Times New Roman" w:hAnsi="Times New Roman"/>
                  <w:sz w:val="15"/>
                  <w:szCs w:val="15"/>
                  <w:color w:val="0000FF"/>
                </w:rPr>
                <w:t>Amendment Agreement No 1 of VP, TT and PP Vehicle Supply Agreement</w:t>
              </w:r>
            </w:hyperlink>
          </w:p>
        </w:tc>
        <w:tc>
          <w:tcPr>
            <w:tcW w:w="260" w:type="dxa"/>
            <w:vAlign w:val="bottom"/>
            <w:gridSpan w:val="14"/>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4.126</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920" w:type="dxa"/>
            <w:vAlign w:val="bottom"/>
            <w:tcBorders>
              <w:bottom w:val="single" w:sz="8" w:color="0000FF"/>
            </w:tcBorders>
            <w:gridSpan w:val="39"/>
          </w:tcPr>
          <w:p>
            <w:pPr>
              <w:spacing w:after="0" w:line="154" w:lineRule="exact"/>
              <w:rPr>
                <w:rFonts w:ascii="Times New Roman" w:cs="Times New Roman" w:eastAsia="Times New Roman" w:hAnsi="Times New Roman"/>
                <w:sz w:val="15"/>
                <w:szCs w:val="15"/>
                <w:color w:val="0000FF"/>
              </w:rPr>
            </w:pPr>
            <w:hyperlink r:id="rId216">
              <w:r>
                <w:rPr>
                  <w:rFonts w:ascii="Times New Roman" w:cs="Times New Roman" w:eastAsia="Times New Roman" w:hAnsi="Times New Roman"/>
                  <w:sz w:val="15"/>
                  <w:szCs w:val="15"/>
                  <w:color w:val="0000FF"/>
                </w:rPr>
                <w:t>(China), dated April 11, 2024, between Polestar Automotive China Distribution</w:t>
              </w:r>
            </w:hyperlink>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20" w:type="dxa"/>
            <w:vAlign w:val="bottom"/>
            <w:gridSpan w:val="39"/>
          </w:tcPr>
          <w:p>
            <w:pPr>
              <w:spacing w:after="0" w:line="154" w:lineRule="exact"/>
              <w:rPr>
                <w:rFonts w:ascii="Times New Roman" w:cs="Times New Roman" w:eastAsia="Times New Roman" w:hAnsi="Times New Roman"/>
                <w:sz w:val="15"/>
                <w:szCs w:val="15"/>
                <w:color w:val="0000FF"/>
              </w:rPr>
            </w:pPr>
            <w:hyperlink r:id="rId216">
              <w:r>
                <w:rPr>
                  <w:rFonts w:ascii="Times New Roman" w:cs="Times New Roman" w:eastAsia="Times New Roman" w:hAnsi="Times New Roman"/>
                  <w:sz w:val="15"/>
                  <w:szCs w:val="15"/>
                  <w:color w:val="0000FF"/>
                </w:rPr>
                <w:t>Co., Ltd., Ningbo Hangzhou Bay Geely Automotive Parts Co., Ltd., and</w:t>
              </w:r>
            </w:hyperlink>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5"/>
                <w:szCs w:val="15"/>
                <w:color w:val="0000FF"/>
              </w:rPr>
            </w:pPr>
            <w:hyperlink r:id="rId216">
              <w:r>
                <w:rPr>
                  <w:rFonts w:ascii="Times New Roman" w:cs="Times New Roman" w:eastAsia="Times New Roman" w:hAnsi="Times New Roman"/>
                  <w:sz w:val="15"/>
                  <w:szCs w:val="15"/>
                  <w:color w:val="0000FF"/>
                </w:rPr>
                <w:t>Zhejiang Geely Automobile Co., Ltd. Ningbo Hangzhou Bay Factory.</w:t>
              </w:r>
            </w:hyperlink>
          </w:p>
        </w:tc>
        <w:tc>
          <w:tcPr>
            <w:tcW w:w="1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4.127†</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17">
              <w:r>
                <w:rPr>
                  <w:rFonts w:ascii="Times New Roman" w:cs="Times New Roman" w:eastAsia="Times New Roman" w:hAnsi="Times New Roman"/>
                  <w:sz w:val="15"/>
                  <w:szCs w:val="15"/>
                  <w:color w:val="0000FF"/>
                </w:rPr>
                <w:t>Prototype Sale Agreement, effective as of May 1, 2022, between Polestar</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4.127</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520" w:type="dxa"/>
            <w:vAlign w:val="bottom"/>
            <w:tcBorders>
              <w:top w:val="single" w:sz="8" w:color="0000FF"/>
            </w:tcBorders>
            <w:gridSpan w:val="20"/>
          </w:tcPr>
          <w:p>
            <w:pPr>
              <w:spacing w:after="0" w:line="154" w:lineRule="exact"/>
              <w:rPr>
                <w:rFonts w:ascii="Times New Roman" w:cs="Times New Roman" w:eastAsia="Times New Roman" w:hAnsi="Times New Roman"/>
                <w:sz w:val="15"/>
                <w:szCs w:val="15"/>
                <w:color w:val="0000FF"/>
              </w:rPr>
            </w:pPr>
            <w:hyperlink r:id="rId217">
              <w:r>
                <w:rPr>
                  <w:rFonts w:ascii="Times New Roman" w:cs="Times New Roman" w:eastAsia="Times New Roman" w:hAnsi="Times New Roman"/>
                  <w:sz w:val="15"/>
                  <w:szCs w:val="15"/>
                  <w:color w:val="0000FF"/>
                </w:rPr>
                <w:t>Automotive China Distribution Co., Ltd and Ningbo Geely Automotive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5"/>
                <w:szCs w:val="15"/>
                <w:color w:val="0000FF"/>
              </w:rPr>
            </w:pPr>
            <w:hyperlink r:id="rId217">
              <w:r>
                <w:rPr>
                  <w:rFonts w:ascii="Times New Roman" w:cs="Times New Roman" w:eastAsia="Times New Roman" w:hAnsi="Times New Roman"/>
                  <w:sz w:val="15"/>
                  <w:szCs w:val="15"/>
                  <w:color w:val="0000FF"/>
                </w:rPr>
                <w:t>Research and Development CO., LTD.</w:t>
              </w:r>
            </w:hyperlink>
          </w:p>
        </w:tc>
        <w:tc>
          <w:tcPr>
            <w:tcW w:w="2020" w:type="dxa"/>
            <w:vAlign w:val="bottom"/>
            <w:tcBorders>
              <w:top w:val="single" w:sz="8" w:color="0000FF"/>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4.128†</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18">
              <w:r>
                <w:rPr>
                  <w:rFonts w:ascii="Times New Roman" w:cs="Times New Roman" w:eastAsia="Times New Roman" w:hAnsi="Times New Roman"/>
                  <w:sz w:val="15"/>
                  <w:szCs w:val="15"/>
                  <w:color w:val="0000FF"/>
                </w:rPr>
                <w:t>Prototype Sale Agreement, effective as of May 1, 2022, between Polestar</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4.128</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5"/>
                <w:szCs w:val="15"/>
                <w:color w:val="0000FF"/>
              </w:rPr>
            </w:pPr>
            <w:hyperlink r:id="rId218">
              <w:r>
                <w:rPr>
                  <w:rFonts w:ascii="Times New Roman" w:cs="Times New Roman" w:eastAsia="Times New Roman" w:hAnsi="Times New Roman"/>
                  <w:sz w:val="15"/>
                  <w:szCs w:val="15"/>
                  <w:color w:val="0000FF"/>
                </w:rPr>
                <w:t>Automotive China Distribution Co., Ltd and Wuhan Lotus Cars Co., Ltd.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4.129†</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19">
              <w:r>
                <w:rPr>
                  <w:rFonts w:ascii="Times New Roman" w:cs="Times New Roman" w:eastAsia="Times New Roman" w:hAnsi="Times New Roman"/>
                  <w:sz w:val="15"/>
                  <w:szCs w:val="15"/>
                  <w:color w:val="0000FF"/>
                </w:rPr>
                <w:t>Tooling and Equipment Sale and Purchase Agreement, dated September 11,</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4.129</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27"/>
          </w:tcPr>
          <w:p>
            <w:pPr>
              <w:spacing w:after="0" w:line="154" w:lineRule="exact"/>
              <w:rPr>
                <w:rFonts w:ascii="Times New Roman" w:cs="Times New Roman" w:eastAsia="Times New Roman" w:hAnsi="Times New Roman"/>
                <w:sz w:val="15"/>
                <w:szCs w:val="15"/>
                <w:color w:val="0000FF"/>
              </w:rPr>
            </w:pPr>
            <w:hyperlink r:id="rId219">
              <w:r>
                <w:rPr>
                  <w:rFonts w:ascii="Times New Roman" w:cs="Times New Roman" w:eastAsia="Times New Roman" w:hAnsi="Times New Roman"/>
                  <w:sz w:val="15"/>
                  <w:szCs w:val="15"/>
                  <w:color w:val="0000FF"/>
                </w:rPr>
                <w:t>2023, between Polestar Automotive China Distribution Co. Ltd. and Wuhan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20" w:type="dxa"/>
            <w:vAlign w:val="bottom"/>
            <w:gridSpan w:val="28"/>
          </w:tcPr>
          <w:p>
            <w:pPr>
              <w:spacing w:after="0" w:line="154" w:lineRule="exact"/>
              <w:rPr>
                <w:rFonts w:ascii="Times New Roman" w:cs="Times New Roman" w:eastAsia="Times New Roman" w:hAnsi="Times New Roman"/>
                <w:sz w:val="15"/>
                <w:szCs w:val="15"/>
                <w:color w:val="0000FF"/>
              </w:rPr>
            </w:pPr>
            <w:hyperlink r:id="rId219">
              <w:r>
                <w:rPr>
                  <w:rFonts w:ascii="Times New Roman" w:cs="Times New Roman" w:eastAsia="Times New Roman" w:hAnsi="Times New Roman"/>
                  <w:sz w:val="15"/>
                  <w:szCs w:val="15"/>
                  <w:color w:val="0000FF"/>
                </w:rPr>
                <w:t>Lotus Cars Co., Ltd.</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4.130†</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0">
              <w:r>
                <w:rPr>
                  <w:rFonts w:ascii="Times New Roman" w:cs="Times New Roman" w:eastAsia="Times New Roman" w:hAnsi="Times New Roman"/>
                  <w:sz w:val="15"/>
                  <w:szCs w:val="15"/>
                  <w:color w:val="0000FF"/>
                </w:rPr>
                <w:t>Know How Transfer Agreement, dated as of September 25, 2023, between</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4.130</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5"/>
                <w:szCs w:val="15"/>
                <w:color w:val="0000FF"/>
              </w:rPr>
            </w:pPr>
            <w:hyperlink r:id="rId220">
              <w:r>
                <w:rPr>
                  <w:rFonts w:ascii="Times New Roman" w:cs="Times New Roman" w:eastAsia="Times New Roman" w:hAnsi="Times New Roman"/>
                  <w:sz w:val="15"/>
                  <w:szCs w:val="15"/>
                  <w:color w:val="0000FF"/>
                </w:rPr>
                <w:t>Polestar Performance AB and Wuhan Lotus Cars Co., Ltd.</w:t>
              </w:r>
            </w:hyperlink>
          </w:p>
        </w:tc>
        <w:tc>
          <w:tcPr>
            <w:tcW w:w="10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4.131†</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1">
              <w:r>
                <w:rPr>
                  <w:rFonts w:ascii="Times New Roman" w:cs="Times New Roman" w:eastAsia="Times New Roman" w:hAnsi="Times New Roman"/>
                  <w:sz w:val="15"/>
                  <w:szCs w:val="15"/>
                  <w:color w:val="0000FF"/>
                </w:rPr>
                <w:t>Framework Agreement, dated as of November 9, 2023, between Polestar</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4.131</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500" w:type="dxa"/>
            <w:vAlign w:val="bottom"/>
            <w:tcBorders>
              <w:top w:val="single" w:sz="8" w:color="0000FF"/>
            </w:tcBorders>
            <w:gridSpan w:val="19"/>
          </w:tcPr>
          <w:p>
            <w:pPr>
              <w:spacing w:after="0" w:line="154" w:lineRule="exact"/>
              <w:rPr>
                <w:rFonts w:ascii="Times New Roman" w:cs="Times New Roman" w:eastAsia="Times New Roman" w:hAnsi="Times New Roman"/>
                <w:sz w:val="15"/>
                <w:szCs w:val="15"/>
                <w:color w:val="0000FF"/>
              </w:rPr>
            </w:pPr>
            <w:hyperlink r:id="rId221">
              <w:r>
                <w:rPr>
                  <w:rFonts w:ascii="Times New Roman" w:cs="Times New Roman" w:eastAsia="Times New Roman" w:hAnsi="Times New Roman"/>
                  <w:sz w:val="15"/>
                  <w:szCs w:val="15"/>
                  <w:color w:val="0000FF"/>
                </w:rPr>
                <w:t>Performance AB, Geely Auto Group Co., LTD and Renault Korea Motors</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17"/>
          </w:tcPr>
          <w:p>
            <w:pPr>
              <w:jc w:val="center"/>
              <w:ind w:right="100"/>
              <w:spacing w:after="0" w:line="154" w:lineRule="exact"/>
              <w:rPr>
                <w:rFonts w:ascii="Times New Roman" w:cs="Times New Roman" w:eastAsia="Times New Roman" w:hAnsi="Times New Roman"/>
                <w:sz w:val="15"/>
                <w:szCs w:val="15"/>
                <w:color w:val="0000FF"/>
              </w:rPr>
            </w:pPr>
            <w:hyperlink r:id="rId221">
              <w:r>
                <w:rPr>
                  <w:rFonts w:ascii="Times New Roman" w:cs="Times New Roman" w:eastAsia="Times New Roman" w:hAnsi="Times New Roman"/>
                  <w:sz w:val="15"/>
                  <w:szCs w:val="15"/>
                  <w:color w:val="0000FF"/>
                </w:rPr>
                <w:t>Co.</w:t>
              </w:r>
            </w:hyperlink>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w w:val="95"/>
              </w:rPr>
            </w:pPr>
            <w:hyperlink r:id="rId221">
              <w:r>
                <w:rPr>
                  <w:rFonts w:ascii="Times New Roman" w:cs="Times New Roman" w:eastAsia="Times New Roman" w:hAnsi="Times New Roman"/>
                  <w:sz w:val="15"/>
                  <w:szCs w:val="15"/>
                  <w:color w:val="0000FF"/>
                  <w:w w:val="95"/>
                </w:rPr>
                <w:t>Ltd</w:t>
              </w:r>
            </w:hyperlink>
          </w:p>
        </w:tc>
        <w:tc>
          <w:tcPr>
            <w:tcW w:w="464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4.132†</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Service Agreement, dated as of January 8, 2024, between Volvo Car</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4.132</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220" w:type="dxa"/>
            <w:vAlign w:val="bottom"/>
            <w:tcBorders>
              <w:top w:val="single" w:sz="8" w:color="0000FF"/>
            </w:tcBorders>
            <w:gridSpan w:val="14"/>
          </w:tcPr>
          <w:p>
            <w:pPr>
              <w:spacing w:after="0" w:line="154" w:lineRule="exact"/>
              <w:rPr>
                <w:rFonts w:ascii="Times New Roman" w:cs="Times New Roman" w:eastAsia="Times New Roman" w:hAnsi="Times New Roman"/>
                <w:sz w:val="15"/>
                <w:szCs w:val="15"/>
                <w:color w:val="0000FF"/>
              </w:rPr>
            </w:pPr>
            <w:hyperlink r:id="rId222">
              <w:r>
                <w:rPr>
                  <w:rFonts w:ascii="Times New Roman" w:cs="Times New Roman" w:eastAsia="Times New Roman" w:hAnsi="Times New Roman"/>
                  <w:sz w:val="15"/>
                  <w:szCs w:val="15"/>
                  <w:color w:val="0000FF"/>
                </w:rPr>
                <w:t>Corporation and Polestar Performance AB</w:t>
              </w:r>
            </w:hyperlink>
          </w:p>
        </w:tc>
        <w:tc>
          <w:tcPr>
            <w:tcW w:w="6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4.133†</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3">
              <w:r>
                <w:rPr>
                  <w:rFonts w:ascii="Times New Roman" w:cs="Times New Roman" w:eastAsia="Times New Roman" w:hAnsi="Times New Roman"/>
                  <w:sz w:val="15"/>
                  <w:szCs w:val="15"/>
                  <w:color w:val="0000FF"/>
                </w:rPr>
                <w:t>Service Agreement, dated as of January 8, 2024, between Volvo Cars</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4.133</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280" w:type="dxa"/>
            <w:vAlign w:val="bottom"/>
            <w:tcBorders>
              <w:top w:val="single" w:sz="8" w:color="0000FF"/>
            </w:tcBorders>
            <w:gridSpan w:val="15"/>
          </w:tcPr>
          <w:p>
            <w:pPr>
              <w:spacing w:after="0" w:line="154" w:lineRule="exact"/>
              <w:rPr>
                <w:rFonts w:ascii="Times New Roman" w:cs="Times New Roman" w:eastAsia="Times New Roman" w:hAnsi="Times New Roman"/>
                <w:sz w:val="15"/>
                <w:szCs w:val="15"/>
                <w:color w:val="0000FF"/>
              </w:rPr>
            </w:pPr>
            <w:hyperlink r:id="rId223">
              <w:r>
                <w:rPr>
                  <w:rFonts w:ascii="Times New Roman" w:cs="Times New Roman" w:eastAsia="Times New Roman" w:hAnsi="Times New Roman"/>
                  <w:sz w:val="15"/>
                  <w:szCs w:val="15"/>
                  <w:color w:val="0000FF"/>
                </w:rPr>
                <w:t>Technology (Shanghai) Co., Ltd and Polestar Performance AB</w:t>
              </w:r>
            </w:hyperlink>
          </w:p>
        </w:tc>
        <w:tc>
          <w:tcPr>
            <w:tcW w:w="26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4.134†</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4">
              <w:r>
                <w:rPr>
                  <w:rFonts w:ascii="Times New Roman" w:cs="Times New Roman" w:eastAsia="Times New Roman" w:hAnsi="Times New Roman"/>
                  <w:sz w:val="15"/>
                  <w:szCs w:val="15"/>
                  <w:color w:val="0000FF"/>
                </w:rPr>
                <w:t>Outsourcing Framework Agreement, dated as of January 11, 2024, between</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4.134</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5"/>
                <w:szCs w:val="15"/>
                <w:color w:val="0000FF"/>
              </w:rPr>
            </w:pPr>
            <w:hyperlink r:id="rId224">
              <w:r>
                <w:rPr>
                  <w:rFonts w:ascii="Times New Roman" w:cs="Times New Roman" w:eastAsia="Times New Roman" w:hAnsi="Times New Roman"/>
                  <w:sz w:val="15"/>
                  <w:szCs w:val="15"/>
                  <w:color w:val="0000FF"/>
                </w:rPr>
                <w:t>Polestar Performance AB and Volvo Car Corporation.</w:t>
              </w:r>
            </w:hyperlink>
          </w:p>
        </w:tc>
        <w:tc>
          <w:tcPr>
            <w:tcW w:w="132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4.135†</w:t>
            </w:r>
          </w:p>
        </w:tc>
        <w:tc>
          <w:tcPr>
            <w:tcW w:w="4640" w:type="dxa"/>
            <w:vAlign w:val="bottom"/>
            <w:tcBorders>
              <w:bottom w:val="single" w:sz="8" w:color="0000FF"/>
            </w:tcBorders>
            <w:gridSpan w:val="24"/>
          </w:tcPr>
          <w:p>
            <w:pPr>
              <w:spacing w:after="0"/>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Manufacturing Agreement, dated as of January 12, 2024, between Polestar</w:t>
              </w:r>
            </w:hyperlink>
          </w:p>
        </w:tc>
        <w:tc>
          <w:tcPr>
            <w:tcW w:w="280" w:type="dxa"/>
            <w:vAlign w:val="bottom"/>
            <w:gridSpan w:val="15"/>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4.135</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920" w:type="dxa"/>
            <w:vAlign w:val="bottom"/>
            <w:gridSpan w:val="39"/>
          </w:tcPr>
          <w:p>
            <w:pPr>
              <w:spacing w:after="0" w:line="15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Automotive China Distribution Co., Ltd, Zhongjia Automobile Manufacturing</w:t>
              </w:r>
            </w:hyperlink>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80" w:type="dxa"/>
            <w:vAlign w:val="bottom"/>
            <w:tcBorders>
              <w:top w:val="single" w:sz="8" w:color="0000FF"/>
            </w:tcBorders>
            <w:gridSpan w:val="36"/>
          </w:tcPr>
          <w:p>
            <w:pPr>
              <w:spacing w:after="0" w:line="15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(Chengdu) Co. Ltd., and Zhejiang Haoqing Automobile Manufacturing Co.,</w:t>
              </w:r>
            </w:hyperlink>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5"/>
                <w:szCs w:val="15"/>
                <w:color w:val="0000FF"/>
              </w:rPr>
            </w:pPr>
            <w:hyperlink r:id="rId225">
              <w:r>
                <w:rPr>
                  <w:rFonts w:ascii="Times New Roman" w:cs="Times New Roman" w:eastAsia="Times New Roman" w:hAnsi="Times New Roman"/>
                  <w:sz w:val="15"/>
                  <w:szCs w:val="15"/>
                  <w:color w:val="0000FF"/>
                </w:rPr>
                <w:t>Ltd. Chengdu Branch Zhejiang Haoqing.</w:t>
              </w:r>
            </w:hyperlink>
          </w:p>
        </w:tc>
        <w:tc>
          <w:tcPr>
            <w:tcW w:w="2200" w:type="dxa"/>
            <w:vAlign w:val="bottom"/>
            <w:tcBorders>
              <w:top w:val="single" w:sz="8" w:color="0000FF"/>
            </w:tcBorders>
            <w:gridSpan w:val="23"/>
          </w:tcPr>
          <w:p>
            <w:pPr>
              <w:spacing w:after="0"/>
              <w:rPr>
                <w:sz w:val="13"/>
                <w:szCs w:val="13"/>
                <w:color w:val="auto"/>
              </w:rPr>
            </w:pPr>
          </w:p>
        </w:tc>
        <w:tc>
          <w:tcPr>
            <w:tcW w:w="14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4.136†</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Manufacturing Agreement, dated as of January 8, 2024, between Polestar</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4.136</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5"/>
                <w:szCs w:val="15"/>
                <w:color w:val="0000FF"/>
              </w:rPr>
            </w:pPr>
            <w:hyperlink r:id="rId226">
              <w:r>
                <w:rPr>
                  <w:rFonts w:ascii="Times New Roman" w:cs="Times New Roman" w:eastAsia="Times New Roman" w:hAnsi="Times New Roman"/>
                  <w:sz w:val="15"/>
                  <w:szCs w:val="15"/>
                  <w:color w:val="0000FF"/>
                </w:rPr>
                <w:t>Performance AB and Zhongjia Automobile Manufacturing (Chengdu) Co.</w:t>
              </w:r>
            </w:hyperlink>
          </w:p>
        </w:tc>
        <w:tc>
          <w:tcPr>
            <w:tcW w:w="60" w:type="dxa"/>
            <w:vAlign w:val="bottom"/>
            <w:tcBorders>
              <w:bottom w:val="single" w:sz="8" w:color="0000FF"/>
            </w:tcBorders>
          </w:tcPr>
          <w:p>
            <w:pPr>
              <w:spacing w:after="0"/>
              <w:rPr>
                <w:sz w:val="13"/>
                <w:szCs w:val="13"/>
                <w:color w:val="auto"/>
              </w:rPr>
            </w:pPr>
          </w:p>
        </w:tc>
        <w:tc>
          <w:tcPr>
            <w:tcW w:w="280" w:type="dxa"/>
            <w:vAlign w:val="bottom"/>
            <w:tcBorders>
              <w:bottom w:val="single" w:sz="8" w:color="0000FF"/>
            </w:tcBorders>
            <w:gridSpan w:val="16"/>
          </w:tcPr>
          <w:p>
            <w:pPr>
              <w:ind w:left="20"/>
              <w:spacing w:after="0" w:line="154" w:lineRule="exact"/>
              <w:rPr>
                <w:rFonts w:ascii="Times New Roman" w:cs="Times New Roman" w:eastAsia="Times New Roman" w:hAnsi="Times New Roman"/>
                <w:sz w:val="15"/>
                <w:szCs w:val="15"/>
                <w:color w:val="0000FF"/>
                <w:w w:val="97"/>
              </w:rPr>
            </w:pPr>
            <w:hyperlink r:id="rId226">
              <w:r>
                <w:rPr>
                  <w:rFonts w:ascii="Times New Roman" w:cs="Times New Roman" w:eastAsia="Times New Roman" w:hAnsi="Times New Roman"/>
                  <w:sz w:val="15"/>
                  <w:szCs w:val="15"/>
                  <w:color w:val="0000FF"/>
                  <w:w w:val="97"/>
                </w:rPr>
                <w:t>Ltd.</w:t>
              </w:r>
            </w:hyperlink>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4.137†</w:t>
            </w:r>
          </w:p>
        </w:tc>
        <w:tc>
          <w:tcPr>
            <w:tcW w:w="4920" w:type="dxa"/>
            <w:vAlign w:val="bottom"/>
            <w:gridSpan w:val="39"/>
          </w:tcPr>
          <w:p>
            <w:pPr>
              <w:spacing w:after="0"/>
              <w:rPr>
                <w:rFonts w:ascii="Times New Roman" w:cs="Times New Roman" w:eastAsia="Times New Roman" w:hAnsi="Times New Roman"/>
                <w:sz w:val="15"/>
                <w:szCs w:val="15"/>
                <w:color w:val="0000FF"/>
              </w:rPr>
            </w:pPr>
            <w:hyperlink r:id="rId227">
              <w:r>
                <w:rPr>
                  <w:rFonts w:ascii="Times New Roman" w:cs="Times New Roman" w:eastAsia="Times New Roman" w:hAnsi="Times New Roman"/>
                  <w:sz w:val="15"/>
                  <w:szCs w:val="15"/>
                  <w:color w:val="0000FF"/>
                </w:rPr>
                <w:t>Launch Vehicle Supply Agreement, effective as of May 17, 2023, between</w:t>
              </w:r>
            </w:hyperlink>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4.137</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600" w:type="dxa"/>
            <w:vAlign w:val="bottom"/>
            <w:tcBorders>
              <w:top w:val="single" w:sz="8" w:color="0000FF"/>
            </w:tcBorders>
            <w:gridSpan w:val="22"/>
          </w:tcPr>
          <w:p>
            <w:pPr>
              <w:spacing w:after="0" w:line="154" w:lineRule="exact"/>
              <w:rPr>
                <w:rFonts w:ascii="Times New Roman" w:cs="Times New Roman" w:eastAsia="Times New Roman" w:hAnsi="Times New Roman"/>
                <w:sz w:val="15"/>
                <w:szCs w:val="15"/>
                <w:color w:val="0000FF"/>
              </w:rPr>
            </w:pPr>
            <w:hyperlink r:id="rId227">
              <w:r>
                <w:rPr>
                  <w:rFonts w:ascii="Times New Roman" w:cs="Times New Roman" w:eastAsia="Times New Roman" w:hAnsi="Times New Roman"/>
                  <w:sz w:val="15"/>
                  <w:szCs w:val="15"/>
                  <w:color w:val="0000FF"/>
                </w:rPr>
                <w:t>Volvo Car Corporation and Polestar Performance AB.</w:t>
              </w:r>
            </w:hyperlink>
          </w:p>
        </w:tc>
        <w:tc>
          <w:tcPr>
            <w:tcW w:w="320" w:type="dxa"/>
            <w:vAlign w:val="bottom"/>
            <w:gridSpan w:val="17"/>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686"/>
        </w:trPr>
        <w:tc>
          <w:tcPr>
            <w:tcW w:w="920" w:type="dxa"/>
            <w:vAlign w:val="bottom"/>
          </w:tcPr>
          <w:p>
            <w:pPr>
              <w:spacing w:after="0"/>
              <w:rPr>
                <w:sz w:val="24"/>
                <w:szCs w:val="24"/>
                <w:color w:val="auto"/>
              </w:rPr>
            </w:pPr>
          </w:p>
        </w:tc>
        <w:tc>
          <w:tcPr>
            <w:tcW w:w="3320" w:type="dxa"/>
            <w:vAlign w:val="bottom"/>
            <w:tcBorders>
              <w:top w:val="single" w:sz="8" w:color="0000FF"/>
            </w:tcBorders>
            <w:gridSpan w:val="9"/>
          </w:tcPr>
          <w:p>
            <w:pPr>
              <w:spacing w:after="0"/>
              <w:rPr>
                <w:sz w:val="24"/>
                <w:szCs w:val="24"/>
                <w:color w:val="auto"/>
              </w:rPr>
            </w:pPr>
          </w:p>
        </w:tc>
        <w:tc>
          <w:tcPr>
            <w:tcW w:w="1480" w:type="dxa"/>
            <w:vAlign w:val="bottom"/>
            <w:gridSpan w:val="23"/>
          </w:tcPr>
          <w:p>
            <w:pPr>
              <w:jc w:val="center"/>
              <w:ind w:left="1203"/>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94967277"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0"/>
          </w:tcPr>
          <w:p>
            <w:pPr>
              <w:jc w:val="center"/>
              <w:ind w:right="440"/>
              <w:spacing w:after="0"/>
              <w:rPr>
                <w:sz w:val="20"/>
                <w:szCs w:val="20"/>
                <w:color w:val="auto"/>
              </w:rPr>
            </w:pPr>
            <w:r>
              <w:rPr>
                <w:rFonts w:ascii="Times New Roman" w:cs="Times New Roman" w:eastAsia="Times New Roman" w:hAnsi="Times New Roman"/>
                <w:sz w:val="19"/>
                <w:szCs w:val="19"/>
                <w:color w:val="0000FF"/>
                <w:w w:val="96"/>
              </w:rPr>
              <w:t>Table of Contents</w:t>
            </w: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559"/>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4.138†</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0">
              <w:r>
                <w:rPr>
                  <w:rFonts w:ascii="Times New Roman" w:cs="Times New Roman" w:eastAsia="Times New Roman" w:hAnsi="Times New Roman"/>
                  <w:sz w:val="15"/>
                  <w:szCs w:val="15"/>
                  <w:color w:val="0000FF"/>
                </w:rPr>
                <w:t>Payment Agreement, dated March 29, 2023, between Volvo Car Corporation</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4.138</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740" w:type="dxa"/>
            <w:vAlign w:val="bottom"/>
            <w:tcBorders>
              <w:top w:val="single" w:sz="8" w:color="0000FF"/>
            </w:tcBorders>
            <w:gridSpan w:val="27"/>
          </w:tcPr>
          <w:p>
            <w:pPr>
              <w:spacing w:after="0" w:line="154" w:lineRule="exact"/>
              <w:rPr>
                <w:rFonts w:ascii="Times New Roman" w:cs="Times New Roman" w:eastAsia="Times New Roman" w:hAnsi="Times New Roman"/>
                <w:sz w:val="15"/>
                <w:szCs w:val="15"/>
                <w:color w:val="0000FF"/>
              </w:rPr>
            </w:pPr>
            <w:hyperlink r:id="rId230">
              <w:r>
                <w:rPr>
                  <w:rFonts w:ascii="Times New Roman" w:cs="Times New Roman" w:eastAsia="Times New Roman" w:hAnsi="Times New Roman"/>
                  <w:sz w:val="15"/>
                  <w:szCs w:val="15"/>
                  <w:color w:val="0000FF"/>
                </w:rPr>
                <w:t>and Polestar Performance AB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4.139†</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1">
              <w:r>
                <w:rPr>
                  <w:rFonts w:ascii="Times New Roman" w:cs="Times New Roman" w:eastAsia="Times New Roman" w:hAnsi="Times New Roman"/>
                  <w:sz w:val="15"/>
                  <w:szCs w:val="15"/>
                  <w:color w:val="0000FF"/>
                </w:rPr>
                <w:t>Amendment Agreement No 1 to Service Agreement PS2 Model Year Support,</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4.139</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900" w:type="dxa"/>
            <w:vAlign w:val="bottom"/>
            <w:tcBorders>
              <w:top w:val="single" w:sz="8" w:color="0000FF"/>
            </w:tcBorders>
            <w:gridSpan w:val="35"/>
          </w:tcPr>
          <w:p>
            <w:pPr>
              <w:spacing w:after="0" w:line="154" w:lineRule="exact"/>
              <w:rPr>
                <w:rFonts w:ascii="Times New Roman" w:cs="Times New Roman" w:eastAsia="Times New Roman" w:hAnsi="Times New Roman"/>
                <w:sz w:val="15"/>
                <w:szCs w:val="15"/>
                <w:color w:val="0000FF"/>
              </w:rPr>
            </w:pPr>
            <w:hyperlink r:id="rId231">
              <w:r>
                <w:rPr>
                  <w:rFonts w:ascii="Times New Roman" w:cs="Times New Roman" w:eastAsia="Times New Roman" w:hAnsi="Times New Roman"/>
                  <w:sz w:val="15"/>
                  <w:szCs w:val="15"/>
                  <w:color w:val="0000FF"/>
                </w:rPr>
                <w:t>dated as of March 22, 2023, between Volvo Car Corporation and Polestar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5"/>
                <w:szCs w:val="15"/>
                <w:color w:val="0000FF"/>
              </w:rPr>
            </w:pPr>
            <w:hyperlink r:id="rId231">
              <w:r>
                <w:rPr>
                  <w:rFonts w:ascii="Times New Roman" w:cs="Times New Roman" w:eastAsia="Times New Roman" w:hAnsi="Times New Roman"/>
                  <w:sz w:val="15"/>
                  <w:szCs w:val="15"/>
                  <w:color w:val="0000FF"/>
                </w:rPr>
                <w:t>Automotive China Distribution Co. Ltd.</w:t>
              </w:r>
            </w:hyperlink>
          </w:p>
        </w:tc>
        <w:tc>
          <w:tcPr>
            <w:tcW w:w="204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4.140†</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2">
              <w:r>
                <w:rPr>
                  <w:rFonts w:ascii="Times New Roman" w:cs="Times New Roman" w:eastAsia="Times New Roman" w:hAnsi="Times New Roman"/>
                  <w:sz w:val="15"/>
                  <w:szCs w:val="15"/>
                  <w:color w:val="0000FF"/>
                </w:rPr>
                <w:t>Amendment Agreement No 1 to Service Agreement PS2 Model Year Support,</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4.140</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900" w:type="dxa"/>
            <w:vAlign w:val="bottom"/>
            <w:tcBorders>
              <w:top w:val="single" w:sz="8" w:color="0000FF"/>
            </w:tcBorders>
            <w:gridSpan w:val="35"/>
          </w:tcPr>
          <w:p>
            <w:pPr>
              <w:spacing w:after="0" w:line="154" w:lineRule="exact"/>
              <w:rPr>
                <w:rFonts w:ascii="Times New Roman" w:cs="Times New Roman" w:eastAsia="Times New Roman" w:hAnsi="Times New Roman"/>
                <w:sz w:val="15"/>
                <w:szCs w:val="15"/>
                <w:color w:val="0000FF"/>
              </w:rPr>
            </w:pPr>
            <w:hyperlink r:id="rId232">
              <w:r>
                <w:rPr>
                  <w:rFonts w:ascii="Times New Roman" w:cs="Times New Roman" w:eastAsia="Times New Roman" w:hAnsi="Times New Roman"/>
                  <w:sz w:val="15"/>
                  <w:szCs w:val="15"/>
                  <w:color w:val="0000FF"/>
                </w:rPr>
                <w:t>dated as of March 22, 2023, between Zhongjia Automobile Manufacturing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20" w:type="dxa"/>
            <w:vAlign w:val="bottom"/>
            <w:tcBorders>
              <w:top w:val="single" w:sz="8" w:color="0000FF"/>
            </w:tcBorders>
            <w:gridSpan w:val="23"/>
          </w:tcPr>
          <w:p>
            <w:pPr>
              <w:spacing w:after="0" w:line="154" w:lineRule="exact"/>
              <w:rPr>
                <w:rFonts w:ascii="Times New Roman" w:cs="Times New Roman" w:eastAsia="Times New Roman" w:hAnsi="Times New Roman"/>
                <w:sz w:val="15"/>
                <w:szCs w:val="15"/>
                <w:color w:val="0000FF"/>
              </w:rPr>
            </w:pPr>
            <w:hyperlink r:id="rId232">
              <w:r>
                <w:rPr>
                  <w:rFonts w:ascii="Times New Roman" w:cs="Times New Roman" w:eastAsia="Times New Roman" w:hAnsi="Times New Roman"/>
                  <w:sz w:val="15"/>
                  <w:szCs w:val="15"/>
                  <w:color w:val="0000FF"/>
                </w:rPr>
                <w:t>(Chengdu) Co., Ltd. and Polestar Automotive China Distribution Co.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4.141†</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Amendment Agreement No. 2 to the Polestar 2 Model Year Program License,</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4.141</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840" w:type="dxa"/>
            <w:vAlign w:val="bottom"/>
            <w:tcBorders>
              <w:top w:val="single" w:sz="8" w:color="0000FF"/>
            </w:tcBorders>
            <w:gridSpan w:val="32"/>
          </w:tcPr>
          <w:p>
            <w:pPr>
              <w:spacing w:after="0" w:line="154"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License Assignment and Service Agreement, dated as of January 5,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560" w:type="dxa"/>
            <w:vAlign w:val="bottom"/>
            <w:tcBorders>
              <w:top w:val="single" w:sz="8" w:color="0000FF"/>
            </w:tcBorders>
            <w:gridSpan w:val="20"/>
          </w:tcPr>
          <w:p>
            <w:pPr>
              <w:spacing w:after="0" w:line="154"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between Polestar Performance AB and Volvo Car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4.142†</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4">
              <w:r>
                <w:rPr>
                  <w:rFonts w:ascii="Times New Roman" w:cs="Times New Roman" w:eastAsia="Times New Roman" w:hAnsi="Times New Roman"/>
                  <w:sz w:val="15"/>
                  <w:szCs w:val="15"/>
                  <w:color w:val="0000FF"/>
                </w:rPr>
                <w:t>Launch Vehicle Supply Agreement, dated as of May 5, 2023, between Volvo</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4.142</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720" w:type="dxa"/>
            <w:vAlign w:val="bottom"/>
            <w:tcBorders>
              <w:top w:val="single" w:sz="8" w:color="0000FF"/>
            </w:tcBorders>
            <w:gridSpan w:val="26"/>
          </w:tcPr>
          <w:p>
            <w:pPr>
              <w:spacing w:after="0" w:line="154" w:lineRule="exact"/>
              <w:rPr>
                <w:rFonts w:ascii="Times New Roman" w:cs="Times New Roman" w:eastAsia="Times New Roman" w:hAnsi="Times New Roman"/>
                <w:sz w:val="15"/>
                <w:szCs w:val="15"/>
                <w:color w:val="0000FF"/>
              </w:rPr>
            </w:pPr>
            <w:hyperlink r:id="rId234">
              <w:r>
                <w:rPr>
                  <w:rFonts w:ascii="Times New Roman" w:cs="Times New Roman" w:eastAsia="Times New Roman" w:hAnsi="Times New Roman"/>
                  <w:sz w:val="15"/>
                  <w:szCs w:val="15"/>
                  <w:color w:val="0000FF"/>
                </w:rPr>
                <w:t>Cars China Technology Centre Co., Ltd and Polestar Automotive China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30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rPr>
            </w:pPr>
            <w:hyperlink r:id="rId234">
              <w:r>
                <w:rPr>
                  <w:rFonts w:ascii="Times New Roman" w:cs="Times New Roman" w:eastAsia="Times New Roman" w:hAnsi="Times New Roman"/>
                  <w:sz w:val="15"/>
                  <w:szCs w:val="15"/>
                  <w:color w:val="0000FF"/>
                </w:rPr>
                <w:t>Distribution Co., Ltd</w:t>
              </w:r>
            </w:hyperlink>
          </w:p>
        </w:tc>
        <w:tc>
          <w:tcPr>
            <w:tcW w:w="3140" w:type="dxa"/>
            <w:vAlign w:val="bottom"/>
            <w:tcBorders>
              <w:top w:val="single" w:sz="8" w:color="0000FF"/>
            </w:tcBorders>
            <w:gridSpan w:val="17"/>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4.143†</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5">
              <w:r>
                <w:rPr>
                  <w:rFonts w:ascii="Times New Roman" w:cs="Times New Roman" w:eastAsia="Times New Roman" w:hAnsi="Times New Roman"/>
                  <w:sz w:val="15"/>
                  <w:szCs w:val="15"/>
                  <w:color w:val="0000FF"/>
                </w:rPr>
                <w:t>User Right Agreement, effective March 3, 2024, between Polestar Automotive</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4.143</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920" w:type="dxa"/>
            <w:vAlign w:val="bottom"/>
            <w:tcBorders>
              <w:top w:val="single" w:sz="8" w:color="0000FF"/>
            </w:tcBorders>
            <w:gridSpan w:val="36"/>
          </w:tcPr>
          <w:p>
            <w:pPr>
              <w:spacing w:after="0" w:line="154" w:lineRule="exact"/>
              <w:rPr>
                <w:rFonts w:ascii="Times New Roman" w:cs="Times New Roman" w:eastAsia="Times New Roman" w:hAnsi="Times New Roman"/>
                <w:sz w:val="15"/>
                <w:szCs w:val="15"/>
                <w:color w:val="0000FF"/>
              </w:rPr>
            </w:pPr>
            <w:hyperlink r:id="rId235">
              <w:r>
                <w:rPr>
                  <w:rFonts w:ascii="Times New Roman" w:cs="Times New Roman" w:eastAsia="Times New Roman" w:hAnsi="Times New Roman"/>
                  <w:sz w:val="15"/>
                  <w:szCs w:val="15"/>
                  <w:color w:val="0000FF"/>
                </w:rPr>
                <w:t>China Distribution Co., Ltd, Chengdu Jisu New Energy Vehicle Co., Ltd.,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5"/>
                <w:szCs w:val="15"/>
                <w:color w:val="0000FF"/>
              </w:rPr>
            </w:pPr>
            <w:hyperlink r:id="rId235">
              <w:r>
                <w:rPr>
                  <w:rFonts w:ascii="Times New Roman" w:cs="Times New Roman" w:eastAsia="Times New Roman" w:hAnsi="Times New Roman"/>
                  <w:sz w:val="15"/>
                  <w:szCs w:val="15"/>
                  <w:color w:val="0000FF"/>
                </w:rPr>
                <w:t>Zhongjia Automobile Manufacturing (Chengdu), Co., Ltd.</w:t>
              </w:r>
            </w:hyperlink>
          </w:p>
        </w:tc>
        <w:tc>
          <w:tcPr>
            <w:tcW w:w="126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4.144†</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Restated Framework Assignment and License Agreement, dated as of June 1,</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4.144</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820" w:type="dxa"/>
            <w:vAlign w:val="bottom"/>
            <w:tcBorders>
              <w:top w:val="single" w:sz="8" w:color="0000FF"/>
            </w:tcBorders>
            <w:gridSpan w:val="31"/>
          </w:tcPr>
          <w:p>
            <w:pPr>
              <w:spacing w:after="0" w:line="154" w:lineRule="exact"/>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2023, between Volvo Car Corporation and Polestar Automotive China</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Distribution Co., Ltd., amended by the Amendment Agreement, dated</w:t>
              </w:r>
            </w:hyperlink>
          </w:p>
        </w:tc>
        <w:tc>
          <w:tcPr>
            <w:tcW w:w="20" w:type="dxa"/>
            <w:vAlign w:val="bottom"/>
            <w:tcBorders>
              <w:bottom w:val="single" w:sz="8" w:color="0000FF"/>
            </w:tcBorders>
          </w:tcPr>
          <w:p>
            <w:pPr>
              <w:spacing w:after="0"/>
              <w:rPr>
                <w:sz w:val="13"/>
                <w:szCs w:val="13"/>
                <w:color w:val="auto"/>
              </w:rPr>
            </w:pPr>
          </w:p>
        </w:tc>
        <w:tc>
          <w:tcPr>
            <w:tcW w:w="300" w:type="dxa"/>
            <w:vAlign w:val="bottom"/>
            <w:tcBorders>
              <w:bottom w:val="single" w:sz="8" w:color="0000FF"/>
            </w:tcBorders>
            <w:gridSpan w:val="9"/>
          </w:tcPr>
          <w:p>
            <w:pPr>
              <w:jc w:val="center"/>
              <w:spacing w:after="0" w:line="154" w:lineRule="exact"/>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as of</w:t>
              </w:r>
            </w:hyperlink>
          </w:p>
        </w:tc>
        <w:tc>
          <w:tcPr>
            <w:tcW w:w="380" w:type="dxa"/>
            <w:vAlign w:val="bottom"/>
            <w:gridSpan w:val="15"/>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40" w:type="dxa"/>
            <w:vAlign w:val="bottom"/>
            <w:gridSpan w:val="40"/>
          </w:tcPr>
          <w:p>
            <w:pPr>
              <w:spacing w:after="0" w:line="154" w:lineRule="exact"/>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October 3, 2023, by and among Polestar Automotive China Distribution Co.,</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60" w:type="dxa"/>
            <w:vAlign w:val="bottom"/>
            <w:tcBorders>
              <w:top w:val="single" w:sz="8" w:color="0000FF"/>
            </w:tcBorders>
            <w:gridSpan w:val="28"/>
          </w:tcPr>
          <w:p>
            <w:pPr>
              <w:spacing w:after="0" w:line="154" w:lineRule="exact"/>
              <w:rPr>
                <w:rFonts w:ascii="Times New Roman" w:cs="Times New Roman" w:eastAsia="Times New Roman" w:hAnsi="Times New Roman"/>
                <w:sz w:val="15"/>
                <w:szCs w:val="15"/>
                <w:color w:val="0000FF"/>
              </w:rPr>
            </w:pPr>
            <w:hyperlink r:id="rId236">
              <w:r>
                <w:rPr>
                  <w:rFonts w:ascii="Times New Roman" w:cs="Times New Roman" w:eastAsia="Times New Roman" w:hAnsi="Times New Roman"/>
                  <w:sz w:val="15"/>
                  <w:szCs w:val="15"/>
                  <w:color w:val="0000FF"/>
                </w:rPr>
                <w:t>Ltd. and Volvo Car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4.145†</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Restated Car Model Assignment and License Agreement, dated as of June 31,</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4.145</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860" w:type="dxa"/>
            <w:vAlign w:val="bottom"/>
            <w:tcBorders>
              <w:top w:val="single" w:sz="8" w:color="0000FF"/>
            </w:tcBorders>
            <w:gridSpan w:val="33"/>
          </w:tcPr>
          <w:p>
            <w:pPr>
              <w:spacing w:after="0" w:line="154" w:lineRule="exact"/>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2023, between Volvo Car Corporation and Polestar Automotive China</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Distribution Co., Ltd, amended by the Amendment Agreement, dated</w:t>
              </w:r>
            </w:hyperlink>
          </w:p>
        </w:tc>
        <w:tc>
          <w:tcPr>
            <w:tcW w:w="280" w:type="dxa"/>
            <w:vAlign w:val="bottom"/>
            <w:tcBorders>
              <w:bottom w:val="single" w:sz="8" w:color="0000FF"/>
            </w:tcBorders>
            <w:gridSpan w:val="8"/>
          </w:tcPr>
          <w:p>
            <w:pPr>
              <w:spacing w:after="0" w:line="154" w:lineRule="exact"/>
              <w:rPr>
                <w:rFonts w:ascii="Times New Roman" w:cs="Times New Roman" w:eastAsia="Times New Roman" w:hAnsi="Times New Roman"/>
                <w:sz w:val="15"/>
                <w:szCs w:val="15"/>
                <w:color w:val="0000FF"/>
                <w:w w:val="90"/>
              </w:rPr>
            </w:pPr>
            <w:hyperlink r:id="rId237">
              <w:r>
                <w:rPr>
                  <w:rFonts w:ascii="Times New Roman" w:cs="Times New Roman" w:eastAsia="Times New Roman" w:hAnsi="Times New Roman"/>
                  <w:sz w:val="15"/>
                  <w:szCs w:val="15"/>
                  <w:color w:val="0000FF"/>
                  <w:w w:val="90"/>
                </w:rPr>
                <w:t>as of</w:t>
              </w:r>
            </w:hyperlink>
          </w:p>
        </w:tc>
        <w:tc>
          <w:tcPr>
            <w:tcW w:w="400" w:type="dxa"/>
            <w:vAlign w:val="bottom"/>
            <w:gridSpan w:val="16"/>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40" w:type="dxa"/>
            <w:vAlign w:val="bottom"/>
            <w:gridSpan w:val="40"/>
          </w:tcPr>
          <w:p>
            <w:pPr>
              <w:spacing w:after="0" w:line="154" w:lineRule="exact"/>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October 3, 2023, by and among Polestar Automotive China Distribution Co.,</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60" w:type="dxa"/>
            <w:vAlign w:val="bottom"/>
            <w:tcBorders>
              <w:top w:val="single" w:sz="8" w:color="0000FF"/>
            </w:tcBorders>
            <w:gridSpan w:val="28"/>
          </w:tcPr>
          <w:p>
            <w:pPr>
              <w:spacing w:after="0" w:line="154" w:lineRule="exact"/>
              <w:rPr>
                <w:rFonts w:ascii="Times New Roman" w:cs="Times New Roman" w:eastAsia="Times New Roman" w:hAnsi="Times New Roman"/>
                <w:sz w:val="15"/>
                <w:szCs w:val="15"/>
                <w:color w:val="0000FF"/>
              </w:rPr>
            </w:pPr>
            <w:hyperlink r:id="rId237">
              <w:r>
                <w:rPr>
                  <w:rFonts w:ascii="Times New Roman" w:cs="Times New Roman" w:eastAsia="Times New Roman" w:hAnsi="Times New Roman"/>
                  <w:sz w:val="15"/>
                  <w:szCs w:val="15"/>
                  <w:color w:val="0000FF"/>
                </w:rPr>
                <w:t>Ltd. and Volvo Car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4.146†</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8">
              <w:r>
                <w:rPr>
                  <w:rFonts w:ascii="Times New Roman" w:cs="Times New Roman" w:eastAsia="Times New Roman" w:hAnsi="Times New Roman"/>
                  <w:sz w:val="15"/>
                  <w:szCs w:val="15"/>
                  <w:color w:val="0000FF"/>
                </w:rPr>
                <w:t>Restated Service Agreement, dated as of June 1, 2023, between Volvo Car</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4.146</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20"/>
        </w:trPr>
        <w:tc>
          <w:tcPr>
            <w:tcW w:w="9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40" w:type="dxa"/>
            <w:vAlign w:val="bottom"/>
            <w:gridSpan w:val="40"/>
          </w:tcPr>
          <w:p>
            <w:pPr>
              <w:spacing w:after="0" w:line="154" w:lineRule="exact"/>
              <w:rPr>
                <w:rFonts w:ascii="Times New Roman" w:cs="Times New Roman" w:eastAsia="Times New Roman" w:hAnsi="Times New Roman"/>
                <w:sz w:val="15"/>
                <w:szCs w:val="15"/>
                <w:color w:val="0000FF"/>
              </w:rPr>
            </w:pPr>
            <w:hyperlink r:id="rId238">
              <w:r>
                <w:rPr>
                  <w:rFonts w:ascii="Times New Roman" w:cs="Times New Roman" w:eastAsia="Times New Roman" w:hAnsi="Times New Roman"/>
                  <w:sz w:val="15"/>
                  <w:szCs w:val="15"/>
                  <w:color w:val="0000FF"/>
                </w:rPr>
                <w:t>Corporation and Polestar Automotive China Distribution Co., Ltd., amended by</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80" w:type="dxa"/>
            <w:vAlign w:val="bottom"/>
            <w:tcBorders>
              <w:top w:val="single" w:sz="8" w:color="0000FF"/>
            </w:tcBorders>
            <w:gridSpan w:val="39"/>
          </w:tcPr>
          <w:p>
            <w:pPr>
              <w:spacing w:after="0" w:line="154" w:lineRule="exact"/>
              <w:rPr>
                <w:rFonts w:ascii="Times New Roman" w:cs="Times New Roman" w:eastAsia="Times New Roman" w:hAnsi="Times New Roman"/>
                <w:sz w:val="15"/>
                <w:szCs w:val="15"/>
                <w:color w:val="0000FF"/>
              </w:rPr>
            </w:pPr>
            <w:hyperlink r:id="rId238">
              <w:r>
                <w:rPr>
                  <w:rFonts w:ascii="Times New Roman" w:cs="Times New Roman" w:eastAsia="Times New Roman" w:hAnsi="Times New Roman"/>
                  <w:sz w:val="15"/>
                  <w:szCs w:val="15"/>
                  <w:color w:val="0000FF"/>
                </w:rPr>
                <w:t>the Amendment Agreement, dated as of June 1, 2023, by and among Polestar</w:t>
              </w:r>
            </w:hyperlink>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80" w:type="dxa"/>
            <w:vAlign w:val="bottom"/>
            <w:tcBorders>
              <w:top w:val="single" w:sz="8" w:color="0000FF"/>
            </w:tcBorders>
            <w:gridSpan w:val="29"/>
          </w:tcPr>
          <w:p>
            <w:pPr>
              <w:spacing w:after="0" w:line="154" w:lineRule="exact"/>
              <w:rPr>
                <w:rFonts w:ascii="Times New Roman" w:cs="Times New Roman" w:eastAsia="Times New Roman" w:hAnsi="Times New Roman"/>
                <w:sz w:val="15"/>
                <w:szCs w:val="15"/>
                <w:color w:val="0000FF"/>
              </w:rPr>
            </w:pPr>
            <w:hyperlink r:id="rId238">
              <w:r>
                <w:rPr>
                  <w:rFonts w:ascii="Times New Roman" w:cs="Times New Roman" w:eastAsia="Times New Roman" w:hAnsi="Times New Roman"/>
                  <w:sz w:val="15"/>
                  <w:szCs w:val="15"/>
                  <w:color w:val="0000FF"/>
                </w:rPr>
                <w:t>Automotive China Distribution Co., Ltd. and Volvo Car Corporation</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4.147†</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39">
              <w:r>
                <w:rPr>
                  <w:rFonts w:ascii="Times New Roman" w:cs="Times New Roman" w:eastAsia="Times New Roman" w:hAnsi="Times New Roman"/>
                  <w:sz w:val="15"/>
                  <w:szCs w:val="15"/>
                  <w:color w:val="0000FF"/>
                </w:rPr>
                <w:t>Amendment Agreement to the Restated Service Agreement, dated as of June 1,</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4.147</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940" w:type="dxa"/>
            <w:vAlign w:val="bottom"/>
            <w:tcBorders>
              <w:top w:val="single" w:sz="8" w:color="0000FF"/>
            </w:tcBorders>
            <w:gridSpan w:val="37"/>
          </w:tcPr>
          <w:p>
            <w:pPr>
              <w:spacing w:after="0" w:line="154" w:lineRule="exact"/>
              <w:rPr>
                <w:rFonts w:ascii="Times New Roman" w:cs="Times New Roman" w:eastAsia="Times New Roman" w:hAnsi="Times New Roman"/>
                <w:sz w:val="15"/>
                <w:szCs w:val="15"/>
                <w:color w:val="0000FF"/>
              </w:rPr>
            </w:pPr>
            <w:hyperlink r:id="rId239">
              <w:r>
                <w:rPr>
                  <w:rFonts w:ascii="Times New Roman" w:cs="Times New Roman" w:eastAsia="Times New Roman" w:hAnsi="Times New Roman"/>
                  <w:sz w:val="15"/>
                  <w:szCs w:val="15"/>
                  <w:color w:val="0000FF"/>
                </w:rPr>
                <w:t>2023, between Volvo Car Corporation and Polestar Automotive China</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5"/>
                <w:szCs w:val="15"/>
                <w:color w:val="0000FF"/>
              </w:rPr>
            </w:pPr>
            <w:hyperlink r:id="rId239">
              <w:r>
                <w:rPr>
                  <w:rFonts w:ascii="Times New Roman" w:cs="Times New Roman" w:eastAsia="Times New Roman" w:hAnsi="Times New Roman"/>
                  <w:sz w:val="15"/>
                  <w:szCs w:val="15"/>
                  <w:color w:val="0000FF"/>
                </w:rPr>
                <w:t>Distribution Co., Ltd.</w:t>
              </w:r>
            </w:hyperlink>
          </w:p>
        </w:tc>
        <w:tc>
          <w:tcPr>
            <w:tcW w:w="300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200" w:type="dxa"/>
            <w:vAlign w:val="bottom"/>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4.148†</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40">
              <w:r>
                <w:rPr>
                  <w:rFonts w:ascii="Times New Roman" w:cs="Times New Roman" w:eastAsia="Times New Roman" w:hAnsi="Times New Roman"/>
                  <w:sz w:val="15"/>
                  <w:szCs w:val="15"/>
                  <w:color w:val="0000FF"/>
                </w:rPr>
                <w:t>Launch Vehicle Supply Agreement, dated as of July 10, 2023, between Polestar</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4.148</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5"/>
                <w:szCs w:val="15"/>
                <w:color w:val="0000FF"/>
              </w:rPr>
            </w:pPr>
            <w:hyperlink r:id="rId240">
              <w:r>
                <w:rPr>
                  <w:rFonts w:ascii="Times New Roman" w:cs="Times New Roman" w:eastAsia="Times New Roman" w:hAnsi="Times New Roman"/>
                  <w:sz w:val="15"/>
                  <w:szCs w:val="15"/>
                  <w:color w:val="0000FF"/>
                </w:rPr>
                <w:t>Performance AB and Volvo Car Corporation.</w:t>
              </w:r>
            </w:hyperlink>
          </w:p>
        </w:tc>
        <w:tc>
          <w:tcPr>
            <w:tcW w:w="2160" w:type="dxa"/>
            <w:vAlign w:val="bottom"/>
            <w:tcBorders>
              <w:top w:val="single" w:sz="8" w:color="0000FF"/>
            </w:tcBorders>
            <w:gridSpan w:val="29"/>
          </w:tcPr>
          <w:p>
            <w:pPr>
              <w:spacing w:after="0"/>
              <w:rPr>
                <w:sz w:val="13"/>
                <w:szCs w:val="13"/>
                <w:color w:val="auto"/>
              </w:rPr>
            </w:pPr>
          </w:p>
        </w:tc>
        <w:tc>
          <w:tcPr>
            <w:tcW w:w="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4.149†</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41">
              <w:r>
                <w:rPr>
                  <w:rFonts w:ascii="Times New Roman" w:cs="Times New Roman" w:eastAsia="Times New Roman" w:hAnsi="Times New Roman"/>
                  <w:sz w:val="15"/>
                  <w:szCs w:val="15"/>
                  <w:color w:val="0000FF"/>
                </w:rPr>
                <w:t>Service Agreement, dated as of December 14, 2023, between Polestar</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4.149</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5"/>
                <w:szCs w:val="15"/>
                <w:color w:val="0000FF"/>
              </w:rPr>
            </w:pPr>
            <w:hyperlink r:id="rId241">
              <w:r>
                <w:rPr>
                  <w:rFonts w:ascii="Times New Roman" w:cs="Times New Roman" w:eastAsia="Times New Roman" w:hAnsi="Times New Roman"/>
                  <w:sz w:val="15"/>
                  <w:szCs w:val="15"/>
                  <w:color w:val="0000FF"/>
                </w:rPr>
                <w:t>Performance AB and Volvo Car Corporation</w:t>
              </w:r>
            </w:hyperlink>
          </w:p>
        </w:tc>
        <w:tc>
          <w:tcPr>
            <w:tcW w:w="1560" w:type="dxa"/>
            <w:vAlign w:val="bottom"/>
            <w:tcBorders>
              <w:top w:val="single" w:sz="8" w:color="0000FF"/>
            </w:tcBorders>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200" w:type="dxa"/>
            <w:vAlign w:val="bottom"/>
            <w:gridSpan w:val="8"/>
          </w:tcPr>
          <w:p>
            <w:pPr>
              <w:spacing w:after="0"/>
              <w:rPr>
                <w:sz w:val="13"/>
                <w:szCs w:val="13"/>
                <w:color w:val="auto"/>
              </w:rPr>
            </w:pPr>
          </w:p>
        </w:tc>
        <w:tc>
          <w:tcPr>
            <w:tcW w:w="240" w:type="dxa"/>
            <w:vAlign w:val="bottom"/>
            <w:gridSpan w:val="10"/>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4.150†</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42">
              <w:r>
                <w:rPr>
                  <w:rFonts w:ascii="Times New Roman" w:cs="Times New Roman" w:eastAsia="Times New Roman" w:hAnsi="Times New Roman"/>
                  <w:sz w:val="15"/>
                  <w:szCs w:val="15"/>
                  <w:color w:val="0000FF"/>
                </w:rPr>
                <w:t>Payment Agreement, dated July 6, 2023, between Volvo Car Corporation and</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4.150</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5"/>
                <w:szCs w:val="15"/>
                <w:color w:val="0000FF"/>
              </w:rPr>
            </w:pPr>
            <w:hyperlink r:id="rId242">
              <w:r>
                <w:rPr>
                  <w:rFonts w:ascii="Times New Roman" w:cs="Times New Roman" w:eastAsia="Times New Roman" w:hAnsi="Times New Roman"/>
                  <w:sz w:val="15"/>
                  <w:szCs w:val="15"/>
                  <w:color w:val="0000FF"/>
                </w:rPr>
                <w:t>Polestar Performance AB</w:t>
              </w:r>
            </w:hyperlink>
          </w:p>
        </w:tc>
        <w:tc>
          <w:tcPr>
            <w:tcW w:w="3220" w:type="dxa"/>
            <w:vAlign w:val="bottom"/>
            <w:tcBorders>
              <w:top w:val="single" w:sz="8" w:color="0000FF"/>
            </w:tcBorders>
            <w:gridSpan w:val="27"/>
          </w:tcPr>
          <w:p>
            <w:pPr>
              <w:spacing w:after="0"/>
              <w:rPr>
                <w:sz w:val="13"/>
                <w:szCs w:val="13"/>
                <w:color w:val="auto"/>
              </w:rPr>
            </w:pPr>
          </w:p>
        </w:tc>
        <w:tc>
          <w:tcPr>
            <w:tcW w:w="240" w:type="dxa"/>
            <w:vAlign w:val="bottom"/>
            <w:gridSpan w:val="10"/>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00"/>
        </w:trPr>
        <w:tc>
          <w:tcPr>
            <w:tcW w:w="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4.151†</w:t>
            </w:r>
          </w:p>
        </w:tc>
        <w:tc>
          <w:tcPr>
            <w:tcW w:w="5040" w:type="dxa"/>
            <w:vAlign w:val="bottom"/>
            <w:gridSpan w:val="40"/>
          </w:tcPr>
          <w:p>
            <w:pPr>
              <w:spacing w:after="0"/>
              <w:rPr>
                <w:rFonts w:ascii="Times New Roman" w:cs="Times New Roman" w:eastAsia="Times New Roman" w:hAnsi="Times New Roman"/>
                <w:sz w:val="15"/>
                <w:szCs w:val="15"/>
                <w:color w:val="0000FF"/>
              </w:rPr>
            </w:pPr>
            <w:hyperlink r:id="rId243">
              <w:r>
                <w:rPr>
                  <w:rFonts w:ascii="Times New Roman" w:cs="Times New Roman" w:eastAsia="Times New Roman" w:hAnsi="Times New Roman"/>
                  <w:sz w:val="15"/>
                  <w:szCs w:val="15"/>
                  <w:color w:val="0000FF"/>
                </w:rPr>
                <w:t>Cost Sharing Agreement, dated September 13, 2023, as amended by an</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4.151</w:t>
            </w:r>
          </w:p>
        </w:tc>
        <w:tc>
          <w:tcPr>
            <w:tcW w:w="37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400" w:type="dxa"/>
            <w:vAlign w:val="bottom"/>
            <w:tcBorders>
              <w:top w:val="single" w:sz="8" w:color="0000FF"/>
            </w:tcBorders>
            <w:gridSpan w:val="17"/>
          </w:tcPr>
          <w:p>
            <w:pPr>
              <w:spacing w:after="0" w:line="154" w:lineRule="exact"/>
              <w:rPr>
                <w:rFonts w:ascii="Times New Roman" w:cs="Times New Roman" w:eastAsia="Times New Roman" w:hAnsi="Times New Roman"/>
                <w:sz w:val="15"/>
                <w:szCs w:val="15"/>
                <w:color w:val="0000FF"/>
              </w:rPr>
            </w:pPr>
            <w:hyperlink r:id="rId243">
              <w:r>
                <w:rPr>
                  <w:rFonts w:ascii="Times New Roman" w:cs="Times New Roman" w:eastAsia="Times New Roman" w:hAnsi="Times New Roman"/>
                  <w:sz w:val="15"/>
                  <w:szCs w:val="15"/>
                  <w:color w:val="0000FF"/>
                </w:rPr>
                <w:t>Amendment Agreement, dated as of October 27, 2023, between Volvo</w:t>
              </w:r>
            </w:hyperlink>
          </w:p>
        </w:tc>
        <w:tc>
          <w:tcPr>
            <w:tcW w:w="640" w:type="dxa"/>
            <w:vAlign w:val="bottom"/>
            <w:gridSpan w:val="23"/>
          </w:tcPr>
          <w:p>
            <w:pPr>
              <w:jc w:val="center"/>
              <w:ind w:right="440"/>
              <w:spacing w:after="0" w:line="154" w:lineRule="exact"/>
              <w:rPr>
                <w:rFonts w:ascii="Times New Roman" w:cs="Times New Roman" w:eastAsia="Times New Roman" w:hAnsi="Times New Roman"/>
                <w:sz w:val="15"/>
                <w:szCs w:val="15"/>
                <w:color w:val="0000FF"/>
                <w:w w:val="92"/>
              </w:rPr>
            </w:pPr>
            <w:hyperlink r:id="rId243">
              <w:r>
                <w:rPr>
                  <w:rFonts w:ascii="Times New Roman" w:cs="Times New Roman" w:eastAsia="Times New Roman" w:hAnsi="Times New Roman"/>
                  <w:sz w:val="15"/>
                  <w:szCs w:val="15"/>
                  <w:color w:val="0000FF"/>
                  <w:w w:val="92"/>
                </w:rPr>
                <w:t>Car</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600" w:type="dxa"/>
            <w:vAlign w:val="bottom"/>
            <w:tcBorders>
              <w:top w:val="single" w:sz="8" w:color="0000FF"/>
            </w:tcBorders>
            <w:gridSpan w:val="22"/>
          </w:tcPr>
          <w:p>
            <w:pPr>
              <w:spacing w:after="0" w:line="154" w:lineRule="exact"/>
              <w:rPr>
                <w:rFonts w:ascii="Times New Roman" w:cs="Times New Roman" w:eastAsia="Times New Roman" w:hAnsi="Times New Roman"/>
                <w:sz w:val="15"/>
                <w:szCs w:val="15"/>
                <w:color w:val="0000FF"/>
              </w:rPr>
            </w:pPr>
            <w:hyperlink r:id="rId243">
              <w:r>
                <w:rPr>
                  <w:rFonts w:ascii="Times New Roman" w:cs="Times New Roman" w:eastAsia="Times New Roman" w:hAnsi="Times New Roman"/>
                  <w:sz w:val="15"/>
                  <w:szCs w:val="15"/>
                  <w:color w:val="0000FF"/>
                </w:rPr>
                <w:t>Corporation and Polestar Performance AB</w:t>
              </w:r>
            </w:hyperlink>
          </w:p>
        </w:tc>
        <w:tc>
          <w:tcPr>
            <w:tcW w:w="440" w:type="dxa"/>
            <w:vAlign w:val="bottom"/>
            <w:gridSpan w:val="18"/>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686"/>
        </w:trPr>
        <w:tc>
          <w:tcPr>
            <w:tcW w:w="920" w:type="dxa"/>
            <w:vAlign w:val="bottom"/>
          </w:tcPr>
          <w:p>
            <w:pPr>
              <w:spacing w:after="0"/>
              <w:rPr>
                <w:sz w:val="24"/>
                <w:szCs w:val="24"/>
                <w:color w:val="auto"/>
              </w:rPr>
            </w:pPr>
          </w:p>
        </w:tc>
        <w:tc>
          <w:tcPr>
            <w:tcW w:w="2620" w:type="dxa"/>
            <w:vAlign w:val="bottom"/>
            <w:tcBorders>
              <w:top w:val="single" w:sz="8" w:color="0000FF"/>
            </w:tcBorders>
            <w:gridSpan w:val="7"/>
          </w:tcPr>
          <w:p>
            <w:pPr>
              <w:spacing w:after="0"/>
              <w:rPr>
                <w:sz w:val="24"/>
                <w:szCs w:val="24"/>
                <w:color w:val="auto"/>
              </w:rPr>
            </w:pPr>
          </w:p>
        </w:tc>
        <w:tc>
          <w:tcPr>
            <w:tcW w:w="2200" w:type="dxa"/>
            <w:vAlign w:val="bottom"/>
            <w:gridSpan w:val="24"/>
          </w:tcPr>
          <w:p>
            <w:pPr>
              <w:jc w:val="right"/>
              <w:ind w:right="40"/>
              <w:spacing w:after="0"/>
              <w:rPr>
                <w:sz w:val="20"/>
                <w:szCs w:val="20"/>
                <w:color w:val="auto"/>
              </w:rPr>
            </w:pPr>
            <w:r>
              <w:rPr>
                <w:rFonts w:ascii="Times New Roman" w:cs="Times New Roman" w:eastAsia="Times New Roman" w:hAnsi="Times New Roman"/>
                <w:sz w:val="15"/>
                <w:szCs w:val="15"/>
                <w:color w:val="auto"/>
              </w:rPr>
              <w:t>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0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559"/>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4.152†</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46">
              <w:r>
                <w:rPr>
                  <w:rFonts w:ascii="Times New Roman" w:cs="Times New Roman" w:eastAsia="Times New Roman" w:hAnsi="Times New Roman"/>
                  <w:sz w:val="15"/>
                  <w:szCs w:val="15"/>
                  <w:color w:val="0000FF"/>
                </w:rPr>
                <w:t>Amendment Agreement No. 2, dated October 3, 2023, related to the License,</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4.152</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5"/>
                <w:szCs w:val="15"/>
                <w:color w:val="0000FF"/>
              </w:rPr>
            </w:pPr>
            <w:hyperlink r:id="rId246">
              <w:r>
                <w:rPr>
                  <w:rFonts w:ascii="Times New Roman" w:cs="Times New Roman" w:eastAsia="Times New Roman" w:hAnsi="Times New Roman"/>
                  <w:sz w:val="15"/>
                  <w:szCs w:val="15"/>
                  <w:color w:val="0000FF"/>
                </w:rPr>
                <w:t>License Assignment and Service Agreement, dated as of April 13, 2021,</w:t>
              </w:r>
            </w:hyperlink>
          </w:p>
        </w:tc>
        <w:tc>
          <w:tcPr>
            <w:tcW w:w="2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40" w:type="dxa"/>
            <w:vAlign w:val="bottom"/>
            <w:tcBorders>
              <w:bottom w:val="single" w:sz="8" w:color="0000FF"/>
            </w:tcBorders>
            <w:gridSpan w:val="27"/>
          </w:tcPr>
          <w:p>
            <w:pPr>
              <w:spacing w:after="0" w:line="154" w:lineRule="exact"/>
              <w:rPr>
                <w:rFonts w:ascii="Times New Roman" w:cs="Times New Roman" w:eastAsia="Times New Roman" w:hAnsi="Times New Roman"/>
                <w:sz w:val="15"/>
                <w:szCs w:val="15"/>
                <w:color w:val="0000FF"/>
              </w:rPr>
            </w:pPr>
            <w:hyperlink r:id="rId246">
              <w:r>
                <w:rPr>
                  <w:rFonts w:ascii="Times New Roman" w:cs="Times New Roman" w:eastAsia="Times New Roman" w:hAnsi="Times New Roman"/>
                  <w:sz w:val="15"/>
                  <w:szCs w:val="15"/>
                  <w:color w:val="0000FF"/>
                </w:rPr>
                <w:t>between Volvo Car Corporation and Polestar Automotive China Distribution</w:t>
              </w:r>
            </w:hyperlink>
          </w:p>
        </w:tc>
        <w:tc>
          <w:tcPr>
            <w:tcW w:w="300" w:type="dxa"/>
            <w:vAlign w:val="bottom"/>
            <w:gridSpan w:val="15"/>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0000FF"/>
              </w:rPr>
            </w:pPr>
            <w:hyperlink r:id="rId246">
              <w:r>
                <w:rPr>
                  <w:rFonts w:ascii="Times New Roman" w:cs="Times New Roman" w:eastAsia="Times New Roman" w:hAnsi="Times New Roman"/>
                  <w:sz w:val="15"/>
                  <w:szCs w:val="15"/>
                  <w:color w:val="0000FF"/>
                </w:rPr>
                <w:t>Co. Ltd., and amended by Amendment Agreement No. 1, dated December 13,</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w w:val="99"/>
              </w:rPr>
            </w:pPr>
            <w:hyperlink r:id="rId246">
              <w:r>
                <w:rPr>
                  <w:rFonts w:ascii="Times New Roman" w:cs="Times New Roman" w:eastAsia="Times New Roman" w:hAnsi="Times New Roman"/>
                  <w:sz w:val="15"/>
                  <w:szCs w:val="15"/>
                  <w:color w:val="0000FF"/>
                  <w:w w:val="99"/>
                </w:rPr>
                <w:t>2022</w:t>
              </w:r>
            </w:hyperlink>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4.153†</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47">
              <w:r>
                <w:rPr>
                  <w:rFonts w:ascii="Times New Roman" w:cs="Times New Roman" w:eastAsia="Times New Roman" w:hAnsi="Times New Roman"/>
                  <w:sz w:val="15"/>
                  <w:szCs w:val="15"/>
                  <w:color w:val="0000FF"/>
                </w:rPr>
                <w:t>Amendment Agreement No. 1, dated as of October 3, 2023, to the Restated</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4.153</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640" w:type="dxa"/>
            <w:vAlign w:val="bottom"/>
            <w:tcBorders>
              <w:top w:val="single" w:sz="8" w:color="0000FF"/>
            </w:tcBorders>
            <w:gridSpan w:val="22"/>
          </w:tcPr>
          <w:p>
            <w:pPr>
              <w:spacing w:after="0" w:line="154" w:lineRule="exact"/>
              <w:rPr>
                <w:rFonts w:ascii="Times New Roman" w:cs="Times New Roman" w:eastAsia="Times New Roman" w:hAnsi="Times New Roman"/>
                <w:sz w:val="15"/>
                <w:szCs w:val="15"/>
                <w:color w:val="0000FF"/>
              </w:rPr>
            </w:pPr>
            <w:hyperlink r:id="rId247">
              <w:r>
                <w:rPr>
                  <w:rFonts w:ascii="Times New Roman" w:cs="Times New Roman" w:eastAsia="Times New Roman" w:hAnsi="Times New Roman"/>
                  <w:sz w:val="15"/>
                  <w:szCs w:val="15"/>
                  <w:color w:val="0000FF"/>
                </w:rPr>
                <w:t>Framework Assignment and License Agreement, dated as of June 1, 2023,</w:t>
              </w:r>
            </w:hyperlink>
          </w:p>
        </w:tc>
        <w:tc>
          <w:tcPr>
            <w:tcW w:w="400" w:type="dxa"/>
            <w:vAlign w:val="bottom"/>
            <w:gridSpan w:val="20"/>
          </w:tcPr>
          <w:p>
            <w:pPr>
              <w:spacing w:after="0" w:line="154" w:lineRule="exact"/>
              <w:rPr>
                <w:rFonts w:ascii="Times New Roman" w:cs="Times New Roman" w:eastAsia="Times New Roman" w:hAnsi="Times New Roman"/>
                <w:sz w:val="15"/>
                <w:szCs w:val="15"/>
                <w:color w:val="0000FF"/>
              </w:rPr>
            </w:pPr>
            <w:hyperlink r:id="rId247">
              <w:r>
                <w:rPr>
                  <w:rFonts w:ascii="Times New Roman" w:cs="Times New Roman" w:eastAsia="Times New Roman" w:hAnsi="Times New Roman"/>
                  <w:sz w:val="15"/>
                  <w:szCs w:val="15"/>
                  <w:color w:val="0000FF"/>
                </w:rPr>
                <w:t>and</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980" w:type="dxa"/>
            <w:vAlign w:val="bottom"/>
            <w:tcBorders>
              <w:top w:val="single" w:sz="8" w:color="0000FF"/>
            </w:tcBorders>
            <w:gridSpan w:val="39"/>
          </w:tcPr>
          <w:p>
            <w:pPr>
              <w:spacing w:after="0" w:line="154" w:lineRule="exact"/>
              <w:rPr>
                <w:rFonts w:ascii="Times New Roman" w:cs="Times New Roman" w:eastAsia="Times New Roman" w:hAnsi="Times New Roman"/>
                <w:sz w:val="15"/>
                <w:szCs w:val="15"/>
                <w:color w:val="0000FF"/>
              </w:rPr>
            </w:pPr>
            <w:hyperlink r:id="rId247">
              <w:r>
                <w:rPr>
                  <w:rFonts w:ascii="Times New Roman" w:cs="Times New Roman" w:eastAsia="Times New Roman" w:hAnsi="Times New Roman"/>
                  <w:sz w:val="15"/>
                  <w:szCs w:val="15"/>
                  <w:color w:val="0000FF"/>
                </w:rPr>
                <w:t>the Restated Car Model Assignment and License Agreement, dated as of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34"/>
          </w:tcPr>
          <w:p>
            <w:pPr>
              <w:spacing w:after="0" w:line="154" w:lineRule="exact"/>
              <w:rPr>
                <w:rFonts w:ascii="Times New Roman" w:cs="Times New Roman" w:eastAsia="Times New Roman" w:hAnsi="Times New Roman"/>
                <w:sz w:val="15"/>
                <w:szCs w:val="15"/>
                <w:color w:val="0000FF"/>
              </w:rPr>
            </w:pPr>
            <w:hyperlink r:id="rId247">
              <w:r>
                <w:rPr>
                  <w:rFonts w:ascii="Times New Roman" w:cs="Times New Roman" w:eastAsia="Times New Roman" w:hAnsi="Times New Roman"/>
                  <w:sz w:val="15"/>
                  <w:szCs w:val="15"/>
                  <w:color w:val="0000FF"/>
                </w:rPr>
                <w:t>31, 2023, by and among Polestar Automotive China Distribution Co., Ltd.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420" w:type="dxa"/>
            <w:vAlign w:val="bottom"/>
            <w:tcBorders>
              <w:bottom w:val="single" w:sz="8" w:color="0000FF"/>
            </w:tcBorders>
            <w:gridSpan w:val="5"/>
          </w:tcPr>
          <w:p>
            <w:pPr>
              <w:spacing w:after="0" w:line="154" w:lineRule="exact"/>
              <w:rPr>
                <w:rFonts w:ascii="Times New Roman" w:cs="Times New Roman" w:eastAsia="Times New Roman" w:hAnsi="Times New Roman"/>
                <w:sz w:val="15"/>
                <w:szCs w:val="15"/>
                <w:color w:val="0000FF"/>
              </w:rPr>
            </w:pPr>
            <w:hyperlink r:id="rId247">
              <w:r>
                <w:rPr>
                  <w:rFonts w:ascii="Times New Roman" w:cs="Times New Roman" w:eastAsia="Times New Roman" w:hAnsi="Times New Roman"/>
                  <w:sz w:val="15"/>
                  <w:szCs w:val="15"/>
                  <w:color w:val="0000FF"/>
                </w:rPr>
                <w:t>Volvo Car Corporation</w:t>
              </w:r>
            </w:hyperlink>
          </w:p>
        </w:tc>
        <w:tc>
          <w:tcPr>
            <w:tcW w:w="3520" w:type="dxa"/>
            <w:vAlign w:val="bottom"/>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4.154†</w:t>
            </w:r>
          </w:p>
        </w:tc>
        <w:tc>
          <w:tcPr>
            <w:tcW w:w="4620" w:type="dxa"/>
            <w:vAlign w:val="bottom"/>
            <w:tcBorders>
              <w:bottom w:val="single" w:sz="8" w:color="0000FF"/>
            </w:tcBorders>
            <w:gridSpan w:val="21"/>
          </w:tcPr>
          <w:p>
            <w:pPr>
              <w:spacing w:after="0"/>
              <w:rPr>
                <w:rFonts w:ascii="Times New Roman" w:cs="Times New Roman" w:eastAsia="Times New Roman" w:hAnsi="Times New Roman"/>
                <w:sz w:val="15"/>
                <w:szCs w:val="15"/>
                <w:color w:val="0000FF"/>
              </w:rPr>
            </w:pPr>
            <w:hyperlink r:id="rId248">
              <w:r>
                <w:rPr>
                  <w:rFonts w:ascii="Times New Roman" w:cs="Times New Roman" w:eastAsia="Times New Roman" w:hAnsi="Times New Roman"/>
                  <w:sz w:val="15"/>
                  <w:szCs w:val="15"/>
                  <w:color w:val="0000FF"/>
                </w:rPr>
                <w:t>Amendment Agreement, dated as of October 27, 2023, to the Cost Sharing</w:t>
              </w:r>
            </w:hyperlink>
          </w:p>
        </w:tc>
        <w:tc>
          <w:tcPr>
            <w:tcW w:w="420" w:type="dxa"/>
            <w:vAlign w:val="bottom"/>
            <w:gridSpan w:val="21"/>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4.154</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0000FF"/>
              </w:rPr>
            </w:pPr>
            <w:hyperlink r:id="rId248">
              <w:r>
                <w:rPr>
                  <w:rFonts w:ascii="Times New Roman" w:cs="Times New Roman" w:eastAsia="Times New Roman" w:hAnsi="Times New Roman"/>
                  <w:sz w:val="15"/>
                  <w:szCs w:val="15"/>
                  <w:color w:val="0000FF"/>
                </w:rPr>
                <w:t>Agreement, dated September 13, 2023, between Volvo Car Corporation and</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5"/>
                <w:szCs w:val="15"/>
                <w:color w:val="0000FF"/>
              </w:rPr>
            </w:pPr>
            <w:hyperlink r:id="rId248">
              <w:r>
                <w:rPr>
                  <w:rFonts w:ascii="Times New Roman" w:cs="Times New Roman" w:eastAsia="Times New Roman" w:hAnsi="Times New Roman"/>
                  <w:sz w:val="15"/>
                  <w:szCs w:val="15"/>
                  <w:color w:val="0000FF"/>
                </w:rPr>
                <w:t>Polestar Performance AB</w:t>
              </w:r>
            </w:hyperlink>
          </w:p>
        </w:tc>
        <w:tc>
          <w:tcPr>
            <w:tcW w:w="31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4.155†</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49">
              <w:r>
                <w:rPr>
                  <w:rFonts w:ascii="Times New Roman" w:cs="Times New Roman" w:eastAsia="Times New Roman" w:hAnsi="Times New Roman"/>
                  <w:sz w:val="15"/>
                  <w:szCs w:val="15"/>
                  <w:color w:val="0000FF"/>
                </w:rPr>
                <w:t>Amendment Agreement No. 1, dated December 27, 2023, related to the</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4.155</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5"/>
                <w:szCs w:val="15"/>
                <w:color w:val="0000FF"/>
              </w:rPr>
            </w:pPr>
            <w:hyperlink r:id="rId249">
              <w:r>
                <w:rPr>
                  <w:rFonts w:ascii="Times New Roman" w:cs="Times New Roman" w:eastAsia="Times New Roman" w:hAnsi="Times New Roman"/>
                  <w:sz w:val="15"/>
                  <w:szCs w:val="15"/>
                  <w:color w:val="0000FF"/>
                </w:rPr>
                <w:t>Framework Service Agreement, dated as of December 23, 2022, between</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3300" w:type="dxa"/>
            <w:vAlign w:val="bottom"/>
            <w:tcBorders>
              <w:bottom w:val="single" w:sz="8" w:color="0000FF"/>
            </w:tcBorders>
            <w:gridSpan w:val="11"/>
          </w:tcPr>
          <w:p>
            <w:pPr>
              <w:spacing w:after="0" w:line="154" w:lineRule="exact"/>
              <w:rPr>
                <w:rFonts w:ascii="Times New Roman" w:cs="Times New Roman" w:eastAsia="Times New Roman" w:hAnsi="Times New Roman"/>
                <w:sz w:val="15"/>
                <w:szCs w:val="15"/>
                <w:color w:val="0000FF"/>
              </w:rPr>
            </w:pPr>
            <w:hyperlink r:id="rId249">
              <w:r>
                <w:rPr>
                  <w:rFonts w:ascii="Times New Roman" w:cs="Times New Roman" w:eastAsia="Times New Roman" w:hAnsi="Times New Roman"/>
                  <w:sz w:val="15"/>
                  <w:szCs w:val="15"/>
                  <w:color w:val="0000FF"/>
                </w:rPr>
                <w:t>Polestar Performance AB and Volvo Car Corporation</w:t>
              </w:r>
            </w:hyperlink>
          </w:p>
        </w:tc>
        <w:tc>
          <w:tcPr>
            <w:tcW w:w="1240" w:type="dxa"/>
            <w:vAlign w:val="bottom"/>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4.156†</w:t>
            </w:r>
          </w:p>
        </w:tc>
        <w:tc>
          <w:tcPr>
            <w:tcW w:w="4960" w:type="dxa"/>
            <w:vAlign w:val="bottom"/>
            <w:tcBorders>
              <w:bottom w:val="single" w:sz="8" w:color="0000FF"/>
            </w:tcBorders>
            <w:gridSpan w:val="38"/>
          </w:tcPr>
          <w:p>
            <w:pPr>
              <w:spacing w:after="0"/>
              <w:rPr>
                <w:rFonts w:ascii="Times New Roman" w:cs="Times New Roman" w:eastAsia="Times New Roman" w:hAnsi="Times New Roman"/>
                <w:sz w:val="15"/>
                <w:szCs w:val="15"/>
                <w:color w:val="0000FF"/>
              </w:rPr>
            </w:pPr>
            <w:hyperlink r:id="rId250">
              <w:r>
                <w:rPr>
                  <w:rFonts w:ascii="Times New Roman" w:cs="Times New Roman" w:eastAsia="Times New Roman" w:hAnsi="Times New Roman"/>
                  <w:sz w:val="15"/>
                  <w:szCs w:val="15"/>
                  <w:color w:val="0000FF"/>
                </w:rPr>
                <w:t>Amendment Agreement No. 1, dated February 19, 2024, related to the Service</w:t>
              </w:r>
            </w:hyperlink>
          </w:p>
        </w:tc>
        <w:tc>
          <w:tcPr>
            <w:tcW w:w="80" w:type="dxa"/>
            <w:vAlign w:val="bottom"/>
            <w:gridSpan w:val="4"/>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4.156</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0000FF"/>
              </w:rPr>
            </w:pPr>
            <w:hyperlink r:id="rId250">
              <w:r>
                <w:rPr>
                  <w:rFonts w:ascii="Times New Roman" w:cs="Times New Roman" w:eastAsia="Times New Roman" w:hAnsi="Times New Roman"/>
                  <w:sz w:val="15"/>
                  <w:szCs w:val="15"/>
                  <w:color w:val="0000FF"/>
                </w:rPr>
                <w:t>Agreement, dated as of December 6, 2020, between Volvo Car Corporation and</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5"/>
                <w:szCs w:val="15"/>
                <w:color w:val="0000FF"/>
              </w:rPr>
            </w:pPr>
            <w:hyperlink r:id="rId250">
              <w:r>
                <w:rPr>
                  <w:rFonts w:ascii="Times New Roman" w:cs="Times New Roman" w:eastAsia="Times New Roman" w:hAnsi="Times New Roman"/>
                  <w:sz w:val="15"/>
                  <w:szCs w:val="15"/>
                  <w:color w:val="0000FF"/>
                </w:rPr>
                <w:t>Polestar Performance AB</w:t>
              </w:r>
            </w:hyperlink>
          </w:p>
        </w:tc>
        <w:tc>
          <w:tcPr>
            <w:tcW w:w="344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4.157†</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51">
              <w:r>
                <w:rPr>
                  <w:rFonts w:ascii="Times New Roman" w:cs="Times New Roman" w:eastAsia="Times New Roman" w:hAnsi="Times New Roman"/>
                  <w:sz w:val="15"/>
                  <w:szCs w:val="15"/>
                  <w:color w:val="0000FF"/>
                </w:rPr>
                <w:t>Service Agreement, dated as of April 3, 2024, between Polestar Performance</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4.157</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760" w:type="dxa"/>
            <w:vAlign w:val="bottom"/>
            <w:tcBorders>
              <w:top w:val="single" w:sz="8" w:color="0000FF"/>
            </w:tcBorders>
            <w:gridSpan w:val="28"/>
          </w:tcPr>
          <w:p>
            <w:pPr>
              <w:spacing w:after="0" w:line="154" w:lineRule="exact"/>
              <w:rPr>
                <w:rFonts w:ascii="Times New Roman" w:cs="Times New Roman" w:eastAsia="Times New Roman" w:hAnsi="Times New Roman"/>
                <w:sz w:val="15"/>
                <w:szCs w:val="15"/>
                <w:color w:val="0000FF"/>
              </w:rPr>
            </w:pPr>
            <w:hyperlink r:id="rId251">
              <w:r>
                <w:rPr>
                  <w:rFonts w:ascii="Times New Roman" w:cs="Times New Roman" w:eastAsia="Times New Roman" w:hAnsi="Times New Roman"/>
                  <w:sz w:val="15"/>
                  <w:szCs w:val="15"/>
                  <w:color w:val="0000FF"/>
                </w:rPr>
                <w:t>AB and Volvo Car Corporation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4.158†</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52">
              <w:r>
                <w:rPr>
                  <w:rFonts w:ascii="Times New Roman" w:cs="Times New Roman" w:eastAsia="Times New Roman" w:hAnsi="Times New Roman"/>
                  <w:sz w:val="15"/>
                  <w:szCs w:val="15"/>
                  <w:color w:val="0000FF"/>
                </w:rPr>
                <w:t>Partner Agreement, dated June 4, 2024, between Polestar Automotive Sweden</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4.158</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920" w:type="dxa"/>
            <w:vAlign w:val="bottom"/>
            <w:tcBorders>
              <w:top w:val="single" w:sz="8" w:color="0000FF"/>
            </w:tcBorders>
            <w:gridSpan w:val="36"/>
          </w:tcPr>
          <w:p>
            <w:pPr>
              <w:spacing w:after="0" w:line="154" w:lineRule="exact"/>
              <w:rPr>
                <w:rFonts w:ascii="Times New Roman" w:cs="Times New Roman" w:eastAsia="Times New Roman" w:hAnsi="Times New Roman"/>
                <w:sz w:val="15"/>
                <w:szCs w:val="15"/>
                <w:color w:val="0000FF"/>
              </w:rPr>
            </w:pPr>
            <w:hyperlink r:id="rId252">
              <w:r>
                <w:rPr>
                  <w:rFonts w:ascii="Times New Roman" w:cs="Times New Roman" w:eastAsia="Times New Roman" w:hAnsi="Times New Roman"/>
                  <w:sz w:val="15"/>
                  <w:szCs w:val="15"/>
                  <w:color w:val="0000FF"/>
                </w:rPr>
                <w:t>AB and Volvo Car Retail AB</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4.159*†</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53">
              <w:r>
                <w:rPr>
                  <w:rFonts w:ascii="Times New Roman" w:cs="Times New Roman" w:eastAsia="Times New Roman" w:hAnsi="Times New Roman"/>
                  <w:sz w:val="15"/>
                  <w:szCs w:val="15"/>
                  <w:color w:val="0000FF"/>
                </w:rPr>
                <w:t>Service Agreement, dated as of May 16, 2024, between Polestar Performance</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20-F/A</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4.159</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9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5"/>
                <w:szCs w:val="15"/>
                <w:color w:val="0000FF"/>
              </w:rPr>
            </w:pPr>
            <w:hyperlink r:id="rId253">
              <w:r>
                <w:rPr>
                  <w:rFonts w:ascii="Times New Roman" w:cs="Times New Roman" w:eastAsia="Times New Roman" w:hAnsi="Times New Roman"/>
                  <w:sz w:val="15"/>
                  <w:szCs w:val="15"/>
                  <w:color w:val="0000FF"/>
                </w:rPr>
                <w:t>AB and Asia Euro Automobile Manufacturing (Taizhou) Co., Ltd.</w:t>
              </w:r>
            </w:hyperlink>
          </w:p>
        </w:tc>
        <w:tc>
          <w:tcPr>
            <w:tcW w:w="7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4.160</w:t>
            </w:r>
          </w:p>
        </w:tc>
        <w:tc>
          <w:tcPr>
            <w:tcW w:w="5040" w:type="dxa"/>
            <w:vAlign w:val="bottom"/>
            <w:gridSpan w:val="42"/>
          </w:tcPr>
          <w:p>
            <w:pPr>
              <w:spacing w:after="0"/>
              <w:rPr>
                <w:rFonts w:ascii="Times New Roman" w:cs="Times New Roman" w:eastAsia="Times New Roman" w:hAnsi="Times New Roman"/>
                <w:sz w:val="15"/>
                <w:szCs w:val="15"/>
                <w:color w:val="3051F2"/>
              </w:rPr>
            </w:pPr>
            <w:hyperlink r:id="rId254">
              <w:r>
                <w:rPr>
                  <w:rFonts w:ascii="Times New Roman" w:cs="Times New Roman" w:eastAsia="Times New Roman" w:hAnsi="Times New Roman"/>
                  <w:sz w:val="15"/>
                  <w:szCs w:val="15"/>
                  <w:color w:val="3051F2"/>
                </w:rPr>
                <w:t>Facility Agreement, dated November 8, 2023, by and between Polestar</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6-K</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380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November 8, 2023</w:t>
            </w: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380" w:type="dxa"/>
            <w:vAlign w:val="bottom"/>
            <w:gridSpan w:val="5"/>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580" w:type="dxa"/>
            <w:vAlign w:val="bottom"/>
            <w:gridSpan w:val="3"/>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3051F2"/>
              </w:rPr>
            </w:pPr>
            <w:hyperlink r:id="rId254">
              <w:r>
                <w:rPr>
                  <w:rFonts w:ascii="Times New Roman" w:cs="Times New Roman" w:eastAsia="Times New Roman" w:hAnsi="Times New Roman"/>
                  <w:sz w:val="15"/>
                  <w:szCs w:val="15"/>
                  <w:color w:val="3051F2"/>
                </w:rPr>
                <w:t>Automotive Holding UK PLC, as borrower, and Geely Sweden Automotive</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700" w:type="dxa"/>
            <w:vAlign w:val="bottom"/>
            <w:tcBorders>
              <w:top w:val="single" w:sz="8" w:color="3051F2"/>
            </w:tcBorders>
            <w:gridSpan w:val="25"/>
          </w:tcPr>
          <w:p>
            <w:pPr>
              <w:spacing w:after="0" w:line="154" w:lineRule="exact"/>
              <w:rPr>
                <w:rFonts w:ascii="Times New Roman" w:cs="Times New Roman" w:eastAsia="Times New Roman" w:hAnsi="Times New Roman"/>
                <w:sz w:val="15"/>
                <w:szCs w:val="15"/>
                <w:color w:val="3051F2"/>
              </w:rPr>
            </w:pPr>
            <w:hyperlink r:id="rId254">
              <w:r>
                <w:rPr>
                  <w:rFonts w:ascii="Times New Roman" w:cs="Times New Roman" w:eastAsia="Times New Roman" w:hAnsi="Times New Roman"/>
                  <w:sz w:val="15"/>
                  <w:szCs w:val="15"/>
                  <w:color w:val="3051F2"/>
                </w:rPr>
                <w:t>Investment AB, as original lender and agent.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380" w:type="dxa"/>
            <w:vAlign w:val="bottom"/>
            <w:gridSpan w:val="5"/>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4.161</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55">
              <w:r>
                <w:rPr>
                  <w:rFonts w:ascii="Times New Roman" w:cs="Times New Roman" w:eastAsia="Times New Roman" w:hAnsi="Times New Roman"/>
                  <w:sz w:val="15"/>
                  <w:szCs w:val="15"/>
                  <w:color w:val="0000FF"/>
                </w:rPr>
                <w:t>Amendment Letter, dated November 8, 2023, by and between Polestar</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6-K</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w:t>
            </w:r>
          </w:p>
        </w:tc>
        <w:tc>
          <w:tcPr>
            <w:tcW w:w="3800" w:type="dxa"/>
            <w:vAlign w:val="bottom"/>
          </w:tcPr>
          <w:p>
            <w:pPr>
              <w:jc w:val="center"/>
              <w:ind w:right="2163"/>
              <w:spacing w:after="0"/>
              <w:rPr>
                <w:sz w:val="20"/>
                <w:szCs w:val="20"/>
                <w:color w:val="auto"/>
              </w:rPr>
            </w:pPr>
            <w:r>
              <w:rPr>
                <w:rFonts w:ascii="Times New Roman" w:cs="Times New Roman" w:eastAsia="Times New Roman" w:hAnsi="Times New Roman"/>
                <w:sz w:val="15"/>
                <w:szCs w:val="15"/>
                <w:color w:val="auto"/>
              </w:rPr>
              <w:t>November 8, 2023</w:t>
            </w: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0000FF"/>
              </w:rPr>
            </w:pPr>
            <w:hyperlink r:id="rId255">
              <w:r>
                <w:rPr>
                  <w:rFonts w:ascii="Times New Roman" w:cs="Times New Roman" w:eastAsia="Times New Roman" w:hAnsi="Times New Roman"/>
                  <w:sz w:val="15"/>
                  <w:szCs w:val="15"/>
                  <w:color w:val="0000FF"/>
                </w:rPr>
                <w:t>Automotive Holding UK PLC, as borrower, and Snita Holding B.V., as original</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000" w:type="dxa"/>
            <w:vAlign w:val="bottom"/>
            <w:tcBorders>
              <w:top w:val="single" w:sz="8" w:color="0000FF"/>
            </w:tcBorders>
            <w:gridSpan w:val="40"/>
          </w:tcPr>
          <w:p>
            <w:pPr>
              <w:spacing w:after="0" w:line="154" w:lineRule="exact"/>
              <w:rPr>
                <w:rFonts w:ascii="Times New Roman" w:cs="Times New Roman" w:eastAsia="Times New Roman" w:hAnsi="Times New Roman"/>
                <w:sz w:val="15"/>
                <w:szCs w:val="15"/>
                <w:color w:val="0000FF"/>
              </w:rPr>
            </w:pPr>
            <w:hyperlink r:id="rId255">
              <w:r>
                <w:rPr>
                  <w:rFonts w:ascii="Times New Roman" w:cs="Times New Roman" w:eastAsia="Times New Roman" w:hAnsi="Times New Roman"/>
                  <w:sz w:val="15"/>
                  <w:szCs w:val="15"/>
                  <w:color w:val="0000FF"/>
                </w:rPr>
                <w:t>lender and agent.</w:t>
              </w:r>
            </w:hyperlink>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4.162</w:t>
            </w:r>
          </w:p>
        </w:tc>
        <w:tc>
          <w:tcPr>
            <w:tcW w:w="4660" w:type="dxa"/>
            <w:vAlign w:val="bottom"/>
            <w:tcBorders>
              <w:bottom w:val="single" w:sz="8" w:color="3051F2"/>
            </w:tcBorders>
            <w:gridSpan w:val="23"/>
          </w:tcPr>
          <w:p>
            <w:pPr>
              <w:spacing w:after="0"/>
              <w:rPr>
                <w:rFonts w:ascii="Times New Roman" w:cs="Times New Roman" w:eastAsia="Times New Roman" w:hAnsi="Times New Roman"/>
                <w:sz w:val="15"/>
                <w:szCs w:val="15"/>
                <w:color w:val="3051F2"/>
              </w:rPr>
            </w:pPr>
            <w:hyperlink r:id="rId256">
              <w:r>
                <w:rPr>
                  <w:rFonts w:ascii="Times New Roman" w:cs="Times New Roman" w:eastAsia="Times New Roman" w:hAnsi="Times New Roman"/>
                  <w:sz w:val="15"/>
                  <w:szCs w:val="15"/>
                  <w:color w:val="3051F2"/>
                </w:rPr>
                <w:t>Shareholders Agreement, dated June 19, 2023, among Polestar Automotive</w:t>
              </w:r>
            </w:hyperlink>
          </w:p>
        </w:tc>
        <w:tc>
          <w:tcPr>
            <w:tcW w:w="380" w:type="dxa"/>
            <w:vAlign w:val="bottom"/>
            <w:gridSpan w:val="19"/>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6-K</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99.2</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June 20, 2023</w:t>
            </w: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3051F2"/>
              </w:rPr>
            </w:pPr>
            <w:hyperlink r:id="rId256">
              <w:r>
                <w:rPr>
                  <w:rFonts w:ascii="Times New Roman" w:cs="Times New Roman" w:eastAsia="Times New Roman" w:hAnsi="Times New Roman"/>
                  <w:sz w:val="15"/>
                  <w:szCs w:val="15"/>
                  <w:color w:val="3051F2"/>
                </w:rPr>
                <w:t>(Singapore) Distribution Pte. Ltd., Polestar Automotive (Singapore) Pte. Ltd.</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00" w:type="dxa"/>
            <w:vAlign w:val="bottom"/>
            <w:tcBorders>
              <w:top w:val="single" w:sz="8" w:color="3051F2"/>
            </w:tcBorders>
            <w:gridSpan w:val="30"/>
          </w:tcPr>
          <w:p>
            <w:pPr>
              <w:spacing w:after="0" w:line="154" w:lineRule="exact"/>
              <w:rPr>
                <w:rFonts w:ascii="Times New Roman" w:cs="Times New Roman" w:eastAsia="Times New Roman" w:hAnsi="Times New Roman"/>
                <w:sz w:val="15"/>
                <w:szCs w:val="15"/>
                <w:color w:val="3051F2"/>
              </w:rPr>
            </w:pPr>
            <w:hyperlink r:id="rId256">
              <w:r>
                <w:rPr>
                  <w:rFonts w:ascii="Times New Roman" w:cs="Times New Roman" w:eastAsia="Times New Roman" w:hAnsi="Times New Roman"/>
                  <w:sz w:val="15"/>
                  <w:szCs w:val="15"/>
                  <w:color w:val="3051F2"/>
                </w:rPr>
                <w:t>and Hubei Xingji Meizu Group Co., Ltd.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1380" w:type="dxa"/>
            <w:vAlign w:val="bottom"/>
            <w:gridSpan w:val="5"/>
            <w:shd w:val="clear" w:color="auto" w:fill="3051F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4.163</w:t>
            </w:r>
          </w:p>
        </w:tc>
        <w:tc>
          <w:tcPr>
            <w:tcW w:w="4520" w:type="dxa"/>
            <w:vAlign w:val="bottom"/>
            <w:tcBorders>
              <w:bottom w:val="single" w:sz="8" w:color="0000FF"/>
            </w:tcBorders>
            <w:gridSpan w:val="19"/>
          </w:tcPr>
          <w:p>
            <w:pPr>
              <w:spacing w:after="0"/>
              <w:rPr>
                <w:rFonts w:ascii="Times New Roman" w:cs="Times New Roman" w:eastAsia="Times New Roman" w:hAnsi="Times New Roman"/>
                <w:sz w:val="15"/>
                <w:szCs w:val="15"/>
                <w:color w:val="0000FF"/>
              </w:rPr>
            </w:pPr>
            <w:hyperlink r:id="rId257">
              <w:r>
                <w:rPr>
                  <w:rFonts w:ascii="Times New Roman" w:cs="Times New Roman" w:eastAsia="Times New Roman" w:hAnsi="Times New Roman"/>
                  <w:sz w:val="15"/>
                  <w:szCs w:val="15"/>
                  <w:color w:val="0000FF"/>
                </w:rPr>
                <w:t>Business Cooperation Agreement, dated June 19, 2023, between Polestar</w:t>
              </w:r>
            </w:hyperlink>
          </w:p>
        </w:tc>
        <w:tc>
          <w:tcPr>
            <w:tcW w:w="520" w:type="dxa"/>
            <w:vAlign w:val="bottom"/>
            <w:gridSpan w:val="23"/>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6-K</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99.3</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June 20, 2023</w:t>
            </w:r>
          </w:p>
        </w:tc>
      </w:tr>
      <w:tr>
        <w:trPr>
          <w:trHeight w:val="154"/>
        </w:trPr>
        <w:tc>
          <w:tcPr>
            <w:tcW w:w="920" w:type="dxa"/>
            <w:vAlign w:val="bottom"/>
          </w:tcPr>
          <w:p>
            <w:pPr>
              <w:spacing w:after="0"/>
              <w:rPr>
                <w:sz w:val="13"/>
                <w:szCs w:val="13"/>
                <w:color w:val="auto"/>
              </w:rPr>
            </w:pPr>
          </w:p>
        </w:tc>
        <w:tc>
          <w:tcPr>
            <w:tcW w:w="5040" w:type="dxa"/>
            <w:vAlign w:val="bottom"/>
            <w:gridSpan w:val="42"/>
          </w:tcPr>
          <w:p>
            <w:pPr>
              <w:spacing w:after="0" w:line="154" w:lineRule="exact"/>
              <w:rPr>
                <w:rFonts w:ascii="Times New Roman" w:cs="Times New Roman" w:eastAsia="Times New Roman" w:hAnsi="Times New Roman"/>
                <w:sz w:val="15"/>
                <w:szCs w:val="15"/>
                <w:color w:val="0000FF"/>
              </w:rPr>
            </w:pPr>
            <w:hyperlink r:id="rId257">
              <w:r>
                <w:rPr>
                  <w:rFonts w:ascii="Times New Roman" w:cs="Times New Roman" w:eastAsia="Times New Roman" w:hAnsi="Times New Roman"/>
                  <w:sz w:val="15"/>
                  <w:szCs w:val="15"/>
                  <w:color w:val="0000FF"/>
                </w:rPr>
                <w:t>Automotive (Singapore) Distribution Pte. Ltd and Hubei Xingji Meizu Group</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5"/>
                <w:szCs w:val="15"/>
                <w:color w:val="0000FF"/>
              </w:rPr>
            </w:pPr>
            <w:hyperlink r:id="rId257">
              <w:r>
                <w:rPr>
                  <w:rFonts w:ascii="Times New Roman" w:cs="Times New Roman" w:eastAsia="Times New Roman" w:hAnsi="Times New Roman"/>
                  <w:sz w:val="15"/>
                  <w:szCs w:val="15"/>
                  <w:color w:val="0000FF"/>
                </w:rPr>
                <w:t>Co., Ltd.</w:t>
              </w:r>
            </w:hyperlink>
          </w:p>
        </w:tc>
        <w:tc>
          <w:tcPr>
            <w:tcW w:w="430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4.164†</w:t>
            </w:r>
          </w:p>
        </w:tc>
        <w:tc>
          <w:tcPr>
            <w:tcW w:w="5040" w:type="dxa"/>
            <w:vAlign w:val="bottom"/>
            <w:gridSpan w:val="42"/>
          </w:tcPr>
          <w:p>
            <w:pPr>
              <w:spacing w:after="0"/>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Amendment No. 3 to the Registration Rights Agreement, dated as of April 26,</w:t>
              </w:r>
            </w:hyperlink>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20-F</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4.164</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920" w:type="dxa"/>
            <w:vAlign w:val="bottom"/>
          </w:tcPr>
          <w:p>
            <w:pPr>
              <w:spacing w:after="0"/>
              <w:rPr>
                <w:sz w:val="13"/>
                <w:szCs w:val="13"/>
                <w:color w:val="auto"/>
              </w:rPr>
            </w:pPr>
          </w:p>
        </w:tc>
        <w:tc>
          <w:tcPr>
            <w:tcW w:w="4900" w:type="dxa"/>
            <w:vAlign w:val="bottom"/>
            <w:tcBorders>
              <w:top w:val="single" w:sz="8" w:color="0000FF"/>
            </w:tcBorders>
            <w:gridSpan w:val="35"/>
          </w:tcPr>
          <w:p>
            <w:pPr>
              <w:spacing w:after="0" w:line="154" w:lineRule="exact"/>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2023, between Polestar Automotive Holding UK PLC, Zibo High-Tech</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Industrial Investment Co., Ltd., Zibo Financial Holding Group Co., Ltd,</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460" w:type="dxa"/>
            <w:vAlign w:val="bottom"/>
            <w:gridSpan w:val="16"/>
          </w:tcPr>
          <w:p>
            <w:pPr>
              <w:spacing w:after="0" w:line="154" w:lineRule="exact"/>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Chongqing Liangjiang, Northpole GLY 1 LP, GLP New Mobility 1. LP,</w:t>
              </w:r>
            </w:hyperlink>
          </w:p>
        </w:tc>
        <w:tc>
          <w:tcPr>
            <w:tcW w:w="580" w:type="dxa"/>
            <w:vAlign w:val="bottom"/>
            <w:gridSpan w:val="26"/>
          </w:tcPr>
          <w:p>
            <w:pPr>
              <w:jc w:val="right"/>
              <w:ind w:right="260"/>
              <w:spacing w:after="0" w:line="154" w:lineRule="exact"/>
              <w:rPr>
                <w:rFonts w:ascii="Times New Roman" w:cs="Times New Roman" w:eastAsia="Times New Roman" w:hAnsi="Times New Roman"/>
                <w:sz w:val="15"/>
                <w:szCs w:val="15"/>
                <w:color w:val="0000FF"/>
                <w:w w:val="97"/>
              </w:rPr>
            </w:pPr>
            <w:hyperlink r:id="rId258">
              <w:r>
                <w:rPr>
                  <w:rFonts w:ascii="Times New Roman" w:cs="Times New Roman" w:eastAsia="Times New Roman" w:hAnsi="Times New Roman"/>
                  <w:sz w:val="15"/>
                  <w:szCs w:val="15"/>
                  <w:color w:val="0000FF"/>
                  <w:w w:val="97"/>
                </w:rPr>
                <w:t>Snita</w:t>
              </w:r>
            </w:hyperlink>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31"/>
          </w:tcPr>
          <w:p>
            <w:pPr>
              <w:spacing w:after="0" w:line="154" w:lineRule="exact"/>
              <w:rPr>
                <w:rFonts w:ascii="Times New Roman" w:cs="Times New Roman" w:eastAsia="Times New Roman" w:hAnsi="Times New Roman"/>
                <w:sz w:val="15"/>
                <w:szCs w:val="15"/>
                <w:color w:val="0000FF"/>
              </w:rPr>
            </w:pPr>
            <w:hyperlink r:id="rId258">
              <w:r>
                <w:rPr>
                  <w:rFonts w:ascii="Times New Roman" w:cs="Times New Roman" w:eastAsia="Times New Roman" w:hAnsi="Times New Roman"/>
                  <w:sz w:val="15"/>
                  <w:szCs w:val="15"/>
                  <w:color w:val="0000FF"/>
                </w:rPr>
                <w:t>Holding B.V., PSD Investment Limited, and Gores Guggenheim Sponsor LLC</w:t>
              </w:r>
            </w:hyperlink>
          </w:p>
        </w:tc>
        <w:tc>
          <w:tcPr>
            <w:tcW w:w="140" w:type="dxa"/>
            <w:vAlign w:val="bottom"/>
            <w:tcBorders>
              <w:bottom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00"/>
        </w:trPr>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4.165</w:t>
            </w:r>
          </w:p>
        </w:tc>
        <w:tc>
          <w:tcPr>
            <w:tcW w:w="5040" w:type="dxa"/>
            <w:vAlign w:val="bottom"/>
            <w:gridSpan w:val="42"/>
          </w:tcPr>
          <w:p>
            <w:pPr>
              <w:spacing w:after="0"/>
              <w:rPr>
                <w:rFonts w:ascii="Times New Roman" w:cs="Times New Roman" w:eastAsia="Times New Roman" w:hAnsi="Times New Roman"/>
                <w:sz w:val="15"/>
                <w:szCs w:val="15"/>
                <w:color w:val="3051F2"/>
              </w:rPr>
            </w:pPr>
            <w:hyperlink r:id="rId259">
              <w:r>
                <w:rPr>
                  <w:rFonts w:ascii="Times New Roman" w:cs="Times New Roman" w:eastAsia="Times New Roman" w:hAnsi="Times New Roman"/>
                  <w:sz w:val="15"/>
                  <w:szCs w:val="15"/>
                  <w:color w:val="3051F2"/>
                </w:rPr>
                <w:t>Facilities Agreement, by and among Polestar Automotive Holding UK PLC,</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6-K</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3800" w:type="dxa"/>
            <w:vAlign w:val="bottom"/>
          </w:tcPr>
          <w:p>
            <w:pPr>
              <w:jc w:val="center"/>
              <w:ind w:right="2143"/>
              <w:spacing w:after="0"/>
              <w:rPr>
                <w:sz w:val="20"/>
                <w:szCs w:val="20"/>
                <w:color w:val="auto"/>
              </w:rPr>
            </w:pPr>
            <w:r>
              <w:rPr>
                <w:rFonts w:ascii="Times New Roman" w:cs="Times New Roman" w:eastAsia="Times New Roman" w:hAnsi="Times New Roman"/>
                <w:sz w:val="15"/>
                <w:szCs w:val="15"/>
                <w:color w:val="auto"/>
              </w:rPr>
              <w:t>February 28, 2024</w:t>
            </w:r>
          </w:p>
        </w:tc>
      </w:tr>
      <w:tr>
        <w:trPr>
          <w:trHeight w:val="154"/>
        </w:trPr>
        <w:tc>
          <w:tcPr>
            <w:tcW w:w="920" w:type="dxa"/>
            <w:vAlign w:val="bottom"/>
          </w:tcPr>
          <w:p>
            <w:pPr>
              <w:spacing w:after="0"/>
              <w:rPr>
                <w:sz w:val="13"/>
                <w:szCs w:val="13"/>
                <w:color w:val="auto"/>
              </w:rPr>
            </w:pPr>
          </w:p>
        </w:tc>
        <w:tc>
          <w:tcPr>
            <w:tcW w:w="4720" w:type="dxa"/>
            <w:vAlign w:val="bottom"/>
            <w:tcBorders>
              <w:top w:val="single" w:sz="8" w:color="3051F2"/>
            </w:tcBorders>
            <w:gridSpan w:val="26"/>
          </w:tcPr>
          <w:p>
            <w:pPr>
              <w:spacing w:after="0" w:line="154" w:lineRule="exact"/>
              <w:rPr>
                <w:rFonts w:ascii="Times New Roman" w:cs="Times New Roman" w:eastAsia="Times New Roman" w:hAnsi="Times New Roman"/>
                <w:sz w:val="15"/>
                <w:szCs w:val="15"/>
                <w:color w:val="3051F2"/>
              </w:rPr>
            </w:pPr>
            <w:hyperlink r:id="rId259">
              <w:r>
                <w:rPr>
                  <w:rFonts w:ascii="Times New Roman" w:cs="Times New Roman" w:eastAsia="Times New Roman" w:hAnsi="Times New Roman"/>
                  <w:sz w:val="15"/>
                  <w:szCs w:val="15"/>
                  <w:color w:val="3051F2"/>
                </w:rPr>
                <w:t>Standard Chartered Bank and the Original Lenders named therein, dated</w:t>
              </w:r>
            </w:hyperlink>
          </w:p>
        </w:tc>
        <w:tc>
          <w:tcPr>
            <w:tcW w:w="320" w:type="dxa"/>
            <w:vAlign w:val="bottom"/>
            <w:gridSpan w:val="16"/>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54"/>
        </w:trPr>
        <w:tc>
          <w:tcPr>
            <w:tcW w:w="920" w:type="dxa"/>
            <w:vAlign w:val="bottom"/>
          </w:tcPr>
          <w:p>
            <w:pPr>
              <w:spacing w:after="0"/>
              <w:rPr>
                <w:sz w:val="13"/>
                <w:szCs w:val="13"/>
                <w:color w:val="auto"/>
              </w:rPr>
            </w:pPr>
          </w:p>
        </w:tc>
        <w:tc>
          <w:tcPr>
            <w:tcW w:w="1140" w:type="dxa"/>
            <w:vAlign w:val="bottom"/>
            <w:tcBorders>
              <w:top w:val="single" w:sz="8" w:color="3051F2"/>
              <w:bottom w:val="single" w:sz="8" w:color="3051F2"/>
            </w:tcBorders>
            <w:gridSpan w:val="4"/>
          </w:tcPr>
          <w:p>
            <w:pPr>
              <w:spacing w:after="0" w:line="154" w:lineRule="exact"/>
              <w:rPr>
                <w:rFonts w:ascii="Times New Roman" w:cs="Times New Roman" w:eastAsia="Times New Roman" w:hAnsi="Times New Roman"/>
                <w:sz w:val="15"/>
                <w:szCs w:val="15"/>
                <w:color w:val="3051F2"/>
              </w:rPr>
            </w:pPr>
            <w:hyperlink r:id="rId259">
              <w:r>
                <w:rPr>
                  <w:rFonts w:ascii="Times New Roman" w:cs="Times New Roman" w:eastAsia="Times New Roman" w:hAnsi="Times New Roman"/>
                  <w:sz w:val="15"/>
                  <w:szCs w:val="15"/>
                  <w:color w:val="3051F2"/>
                </w:rPr>
                <w:t>February 22, 2024</w:t>
              </w:r>
            </w:hyperlink>
          </w:p>
        </w:tc>
        <w:tc>
          <w:tcPr>
            <w:tcW w:w="3340" w:type="dxa"/>
            <w:vAlign w:val="bottom"/>
            <w:tcBorders>
              <w:top w:val="single" w:sz="8" w:color="3051F2"/>
            </w:tcBorders>
            <w:gridSpan w:val="13"/>
          </w:tcPr>
          <w:p>
            <w:pPr>
              <w:spacing w:after="0"/>
              <w:rPr>
                <w:sz w:val="13"/>
                <w:szCs w:val="13"/>
                <w:color w:val="auto"/>
              </w:rPr>
            </w:pPr>
          </w:p>
        </w:tc>
        <w:tc>
          <w:tcPr>
            <w:tcW w:w="560" w:type="dxa"/>
            <w:vAlign w:val="bottom"/>
            <w:gridSpan w:val="25"/>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686"/>
        </w:trPr>
        <w:tc>
          <w:tcPr>
            <w:tcW w:w="920" w:type="dxa"/>
            <w:vAlign w:val="bottom"/>
          </w:tcPr>
          <w:p>
            <w:pPr>
              <w:spacing w:after="0"/>
              <w:rPr>
                <w:sz w:val="24"/>
                <w:szCs w:val="24"/>
                <w:color w:val="auto"/>
              </w:rPr>
            </w:pPr>
          </w:p>
        </w:tc>
        <w:tc>
          <w:tcPr>
            <w:tcW w:w="4820" w:type="dxa"/>
            <w:vAlign w:val="bottom"/>
            <w:gridSpan w:val="31"/>
          </w:tcPr>
          <w:p>
            <w:pPr>
              <w:jc w:val="right"/>
              <w:ind w:right="40"/>
              <w:spacing w:after="0"/>
              <w:rPr>
                <w:sz w:val="20"/>
                <w:szCs w:val="20"/>
                <w:color w:val="auto"/>
              </w:rPr>
            </w:pPr>
            <w:r>
              <w:rPr>
                <w:rFonts w:ascii="Times New Roman" w:cs="Times New Roman" w:eastAsia="Times New Roman" w:hAnsi="Times New Roman"/>
                <w:sz w:val="15"/>
                <w:szCs w:val="15"/>
                <w:color w:val="auto"/>
              </w:rPr>
              <w:t>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6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6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sectPr>
      </w:pPr>
    </w:p>
    <w:bookmarkStart w:id="63" w:name="page64"/>
    <w:bookmarkEnd w:id="63"/>
    <w:tbl>
      <w:tblPr>
        <w:tblLayout w:type="fixed"/>
        <w:tblInd w:w="89" w:type="dxa"/>
        <w:tblCellMar>
          <w:top w:w="0" w:type="dxa"/>
          <w:left w:w="0" w:type="dxa"/>
          <w:bottom w:w="0" w:type="dxa"/>
          <w:right w:w="0" w:type="dxa"/>
        </w:tblCellMar>
      </w:tblPr>
      <w:tr>
        <w:trPr>
          <w:trHeight w:val="218"/>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59"/>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4.166†</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Shareholders Agreement, dated February 29, 2024, by and among Nanjing</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4.166</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20"/>
        </w:trPr>
        <w:tc>
          <w:tcPr>
            <w:tcW w:w="6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4"/>
        </w:trPr>
        <w:tc>
          <w:tcPr>
            <w:tcW w:w="68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Jiangning Economic and Technological Development Zone Industrial Equity</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4740" w:type="dxa"/>
            <w:vAlign w:val="bottom"/>
            <w:tcBorders>
              <w:top w:val="single" w:sz="8" w:color="0000FF"/>
            </w:tcBorders>
            <w:gridSpan w:val="21"/>
          </w:tcPr>
          <w:p>
            <w:pPr>
              <w:spacing w:after="0" w:line="154"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Investment Partnership (Limited partnership), Polestar Times Technology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4"/>
        </w:trPr>
        <w:tc>
          <w:tcPr>
            <w:tcW w:w="68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(Nanjing) Co., Ltd., Jiangsu Xingji Meizu Technology Co., Ltd., and Polestar</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5"/>
                <w:szCs w:val="15"/>
                <w:color w:val="0000FF"/>
              </w:rPr>
            </w:pPr>
            <w:hyperlink r:id="rId262">
              <w:r>
                <w:rPr>
                  <w:rFonts w:ascii="Times New Roman" w:cs="Times New Roman" w:eastAsia="Times New Roman" w:hAnsi="Times New Roman"/>
                  <w:sz w:val="15"/>
                  <w:szCs w:val="15"/>
                  <w:color w:val="0000FF"/>
                </w:rPr>
                <w:t>Automotive (Singapore) Distribution Pte. Ltd.</w:t>
              </w:r>
            </w:hyperlink>
          </w:p>
        </w:tc>
        <w:tc>
          <w:tcPr>
            <w:tcW w:w="19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4.167†</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3">
              <w:r>
                <w:rPr>
                  <w:rFonts w:ascii="Times New Roman" w:cs="Times New Roman" w:eastAsia="Times New Roman" w:hAnsi="Times New Roman"/>
                  <w:sz w:val="15"/>
                  <w:szCs w:val="15"/>
                  <w:color w:val="0000FF"/>
                </w:rPr>
                <w:t>Amendment Agreement No. 1, dated May 16, 2024, to the Service Agreement,</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4.167</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680" w:type="dxa"/>
            <w:vAlign w:val="bottom"/>
          </w:tcPr>
          <w:p>
            <w:pPr>
              <w:spacing w:after="0"/>
              <w:rPr>
                <w:sz w:val="13"/>
                <w:szCs w:val="13"/>
                <w:color w:val="auto"/>
              </w:rPr>
            </w:pPr>
          </w:p>
        </w:tc>
        <w:tc>
          <w:tcPr>
            <w:tcW w:w="4880" w:type="dxa"/>
            <w:vAlign w:val="bottom"/>
            <w:tcBorders>
              <w:top w:val="single" w:sz="8" w:color="0000FF"/>
            </w:tcBorders>
            <w:gridSpan w:val="26"/>
          </w:tcPr>
          <w:p>
            <w:pPr>
              <w:spacing w:after="0" w:line="154" w:lineRule="exact"/>
              <w:rPr>
                <w:rFonts w:ascii="Times New Roman" w:cs="Times New Roman" w:eastAsia="Times New Roman" w:hAnsi="Times New Roman"/>
                <w:sz w:val="15"/>
                <w:szCs w:val="15"/>
                <w:color w:val="0000FF"/>
              </w:rPr>
            </w:pPr>
            <w:hyperlink r:id="rId263">
              <w:r>
                <w:rPr>
                  <w:rFonts w:ascii="Times New Roman" w:cs="Times New Roman" w:eastAsia="Times New Roman" w:hAnsi="Times New Roman"/>
                  <w:sz w:val="15"/>
                  <w:szCs w:val="15"/>
                  <w:color w:val="0000FF"/>
                </w:rPr>
                <w:t>executed as of September 27, 2022, between Volvo Car Corporation and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5"/>
                <w:szCs w:val="15"/>
                <w:color w:val="0000FF"/>
              </w:rPr>
            </w:pPr>
            <w:hyperlink r:id="rId263">
              <w:r>
                <w:rPr>
                  <w:rFonts w:ascii="Times New Roman" w:cs="Times New Roman" w:eastAsia="Times New Roman" w:hAnsi="Times New Roman"/>
                  <w:sz w:val="15"/>
                  <w:szCs w:val="15"/>
                  <w:color w:val="0000FF"/>
                </w:rPr>
                <w:t>Polestar Performance AB</w:t>
              </w:r>
            </w:hyperlink>
          </w:p>
        </w:tc>
        <w:tc>
          <w:tcPr>
            <w:tcW w:w="29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4.168†</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4">
              <w:r>
                <w:rPr>
                  <w:rFonts w:ascii="Times New Roman" w:cs="Times New Roman" w:eastAsia="Times New Roman" w:hAnsi="Times New Roman"/>
                  <w:sz w:val="15"/>
                  <w:szCs w:val="15"/>
                  <w:color w:val="0000FF"/>
                </w:rPr>
                <w:t>Amendment Agreement No. 1, dated May 23, 2024, to the Service Agreement,</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4.168</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680" w:type="dxa"/>
            <w:vAlign w:val="bottom"/>
          </w:tcPr>
          <w:p>
            <w:pPr>
              <w:spacing w:after="0"/>
              <w:rPr>
                <w:sz w:val="13"/>
                <w:szCs w:val="13"/>
                <w:color w:val="auto"/>
              </w:rPr>
            </w:pPr>
          </w:p>
        </w:tc>
        <w:tc>
          <w:tcPr>
            <w:tcW w:w="4880" w:type="dxa"/>
            <w:vAlign w:val="bottom"/>
            <w:tcBorders>
              <w:top w:val="single" w:sz="8" w:color="0000FF"/>
            </w:tcBorders>
            <w:gridSpan w:val="26"/>
          </w:tcPr>
          <w:p>
            <w:pPr>
              <w:spacing w:after="0" w:line="154" w:lineRule="exact"/>
              <w:rPr>
                <w:rFonts w:ascii="Times New Roman" w:cs="Times New Roman" w:eastAsia="Times New Roman" w:hAnsi="Times New Roman"/>
                <w:sz w:val="15"/>
                <w:szCs w:val="15"/>
                <w:color w:val="0000FF"/>
              </w:rPr>
            </w:pPr>
            <w:hyperlink r:id="rId264">
              <w:r>
                <w:rPr>
                  <w:rFonts w:ascii="Times New Roman" w:cs="Times New Roman" w:eastAsia="Times New Roman" w:hAnsi="Times New Roman"/>
                  <w:sz w:val="15"/>
                  <w:szCs w:val="15"/>
                  <w:color w:val="0000FF"/>
                </w:rPr>
                <w:t>dated as of November 29, 2023, between Zhejiang ZEEKR Automobile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4440" w:type="dxa"/>
            <w:vAlign w:val="bottom"/>
            <w:tcBorders>
              <w:top w:val="single" w:sz="8" w:color="0000FF"/>
            </w:tcBorders>
            <w:gridSpan w:val="14"/>
          </w:tcPr>
          <w:p>
            <w:pPr>
              <w:spacing w:after="0" w:line="154" w:lineRule="exact"/>
              <w:rPr>
                <w:rFonts w:ascii="Times New Roman" w:cs="Times New Roman" w:eastAsia="Times New Roman" w:hAnsi="Times New Roman"/>
                <w:sz w:val="15"/>
                <w:szCs w:val="15"/>
                <w:color w:val="0000FF"/>
              </w:rPr>
            </w:pPr>
            <w:hyperlink r:id="rId264">
              <w:r>
                <w:rPr>
                  <w:rFonts w:ascii="Times New Roman" w:cs="Times New Roman" w:eastAsia="Times New Roman" w:hAnsi="Times New Roman"/>
                  <w:sz w:val="15"/>
                  <w:szCs w:val="15"/>
                  <w:color w:val="0000FF"/>
                </w:rPr>
                <w:t>Research &amp; Development Co., Ltd and Polestar Performance AB</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4.169†</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5">
              <w:r>
                <w:rPr>
                  <w:rFonts w:ascii="Times New Roman" w:cs="Times New Roman" w:eastAsia="Times New Roman" w:hAnsi="Times New Roman"/>
                  <w:sz w:val="15"/>
                  <w:szCs w:val="15"/>
                  <w:color w:val="0000FF"/>
                </w:rPr>
                <w:t>Spare Part Supply Agreement, dated June 26, 2024, between Polestar</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4.169</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680" w:type="dxa"/>
            <w:vAlign w:val="bottom"/>
          </w:tcPr>
          <w:p>
            <w:pPr>
              <w:spacing w:after="0"/>
              <w:rPr>
                <w:sz w:val="13"/>
                <w:szCs w:val="13"/>
                <w:color w:val="auto"/>
              </w:rPr>
            </w:pPr>
          </w:p>
        </w:tc>
        <w:tc>
          <w:tcPr>
            <w:tcW w:w="4280" w:type="dxa"/>
            <w:vAlign w:val="bottom"/>
            <w:tcBorders>
              <w:top w:val="single" w:sz="8" w:color="0000FF"/>
            </w:tcBorders>
            <w:gridSpan w:val="12"/>
          </w:tcPr>
          <w:p>
            <w:pPr>
              <w:spacing w:after="0" w:line="154" w:lineRule="exact"/>
              <w:rPr>
                <w:rFonts w:ascii="Times New Roman" w:cs="Times New Roman" w:eastAsia="Times New Roman" w:hAnsi="Times New Roman"/>
                <w:sz w:val="15"/>
                <w:szCs w:val="15"/>
                <w:color w:val="0000FF"/>
              </w:rPr>
            </w:pPr>
            <w:hyperlink r:id="rId265">
              <w:r>
                <w:rPr>
                  <w:rFonts w:ascii="Times New Roman" w:cs="Times New Roman" w:eastAsia="Times New Roman" w:hAnsi="Times New Roman"/>
                  <w:sz w:val="15"/>
                  <w:szCs w:val="15"/>
                  <w:color w:val="0000FF"/>
                </w:rPr>
                <w:t>Performance AB and Lynk &amp; Co Automobile Sales Co., Ltd.</w:t>
              </w:r>
            </w:hyperlink>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4.170†</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6">
              <w:r>
                <w:rPr>
                  <w:rFonts w:ascii="Times New Roman" w:cs="Times New Roman" w:eastAsia="Times New Roman" w:hAnsi="Times New Roman"/>
                  <w:sz w:val="15"/>
                  <w:szCs w:val="15"/>
                  <w:color w:val="0000FF"/>
                </w:rPr>
                <w:t>Variation Agreement, dated May 20, 2024, between Volvo Car Financial</w:t>
              </w:r>
            </w:hyperlink>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4.170</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68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5"/>
                <w:szCs w:val="15"/>
                <w:color w:val="0000FF"/>
              </w:rPr>
            </w:pPr>
            <w:hyperlink r:id="rId266">
              <w:r>
                <w:rPr>
                  <w:rFonts w:ascii="Times New Roman" w:cs="Times New Roman" w:eastAsia="Times New Roman" w:hAnsi="Times New Roman"/>
                  <w:sz w:val="15"/>
                  <w:szCs w:val="15"/>
                  <w:color w:val="0000FF"/>
                </w:rPr>
                <w:t>Services UK Limited and Polestar Automotive UK Limited.</w:t>
              </w:r>
            </w:hyperlink>
          </w:p>
        </w:tc>
        <w:tc>
          <w:tcPr>
            <w:tcW w:w="78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4.171†</w:t>
            </w:r>
          </w:p>
        </w:tc>
        <w:tc>
          <w:tcPr>
            <w:tcW w:w="4760" w:type="dxa"/>
            <w:vAlign w:val="bottom"/>
            <w:tcBorders>
              <w:bottom w:val="single" w:sz="8" w:color="0000FF"/>
            </w:tcBorders>
            <w:gridSpan w:val="22"/>
          </w:tcPr>
          <w:p>
            <w:pPr>
              <w:spacing w:after="0"/>
              <w:rPr>
                <w:rFonts w:ascii="Times New Roman" w:cs="Times New Roman" w:eastAsia="Times New Roman" w:hAnsi="Times New Roman"/>
                <w:sz w:val="15"/>
                <w:szCs w:val="15"/>
                <w:color w:val="0000FF"/>
              </w:rPr>
            </w:pPr>
            <w:hyperlink r:id="rId267">
              <w:r>
                <w:rPr>
                  <w:rFonts w:ascii="Times New Roman" w:cs="Times New Roman" w:eastAsia="Times New Roman" w:hAnsi="Times New Roman"/>
                  <w:sz w:val="15"/>
                  <w:szCs w:val="15"/>
                  <w:color w:val="0000FF"/>
                </w:rPr>
                <w:t>Commitment Letter, dated July 26, 2024, between Polestar Performance AB,</w:t>
              </w:r>
            </w:hyperlink>
          </w:p>
        </w:tc>
        <w:tc>
          <w:tcPr>
            <w:tcW w:w="320" w:type="dxa"/>
            <w:vAlign w:val="bottom"/>
            <w:gridSpan w:val="8"/>
          </w:tcPr>
          <w:p>
            <w:pPr>
              <w:spacing w:after="0"/>
              <w:rPr>
                <w:sz w:val="17"/>
                <w:szCs w:val="17"/>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20-F/A</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4.171</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15, 2024</w:t>
            </w:r>
          </w:p>
        </w:tc>
      </w:tr>
      <w:tr>
        <w:trPr>
          <w:trHeight w:val="154"/>
        </w:trPr>
        <w:tc>
          <w:tcPr>
            <w:tcW w:w="680" w:type="dxa"/>
            <w:vAlign w:val="bottom"/>
          </w:tcPr>
          <w:p>
            <w:pPr>
              <w:spacing w:after="0"/>
              <w:rPr>
                <w:sz w:val="13"/>
                <w:szCs w:val="13"/>
                <w:color w:val="auto"/>
              </w:rPr>
            </w:pPr>
          </w:p>
        </w:tc>
        <w:tc>
          <w:tcPr>
            <w:tcW w:w="5080" w:type="dxa"/>
            <w:vAlign w:val="bottom"/>
            <w:gridSpan w:val="30"/>
          </w:tcPr>
          <w:p>
            <w:pPr>
              <w:spacing w:after="0" w:line="154" w:lineRule="exact"/>
              <w:rPr>
                <w:rFonts w:ascii="Times New Roman" w:cs="Times New Roman" w:eastAsia="Times New Roman" w:hAnsi="Times New Roman"/>
                <w:sz w:val="15"/>
                <w:szCs w:val="15"/>
                <w:color w:val="0000FF"/>
              </w:rPr>
            </w:pPr>
            <w:hyperlink r:id="rId267">
              <w:r>
                <w:rPr>
                  <w:rFonts w:ascii="Times New Roman" w:cs="Times New Roman" w:eastAsia="Times New Roman" w:hAnsi="Times New Roman"/>
                  <w:sz w:val="15"/>
                  <w:szCs w:val="15"/>
                  <w:color w:val="0000FF"/>
                </w:rPr>
                <w:t>Volvo Car Distribution (Shanghai) Co., Ltd, and Lynk &amp; Co Automobile Sales</w:t>
              </w:r>
            </w:hyperlink>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5"/>
                <w:szCs w:val="15"/>
                <w:color w:val="0000FF"/>
              </w:rPr>
            </w:pPr>
            <w:hyperlink r:id="rId267">
              <w:r>
                <w:rPr>
                  <w:rFonts w:ascii="Times New Roman" w:cs="Times New Roman" w:eastAsia="Times New Roman" w:hAnsi="Times New Roman"/>
                  <w:sz w:val="15"/>
                  <w:szCs w:val="15"/>
                  <w:color w:val="0000FF"/>
                </w:rPr>
                <w:t>Co., Ltd.</w:t>
              </w:r>
            </w:hyperlink>
          </w:p>
        </w:tc>
        <w:tc>
          <w:tcPr>
            <w:tcW w:w="430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4.172†</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8">
              <w:r>
                <w:rPr>
                  <w:rFonts w:ascii="Times New Roman" w:cs="Times New Roman" w:eastAsia="Times New Roman" w:hAnsi="Times New Roman"/>
                  <w:sz w:val="15"/>
                  <w:szCs w:val="15"/>
                  <w:color w:val="0000FF"/>
                </w:rPr>
                <w:t>Variation Agreement, dated June 14, 2021, between Volvo Car Financial</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4.172</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68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5"/>
                <w:szCs w:val="15"/>
                <w:color w:val="0000FF"/>
              </w:rPr>
            </w:pPr>
            <w:hyperlink r:id="rId268">
              <w:r>
                <w:rPr>
                  <w:rFonts w:ascii="Times New Roman" w:cs="Times New Roman" w:eastAsia="Times New Roman" w:hAnsi="Times New Roman"/>
                  <w:sz w:val="15"/>
                  <w:szCs w:val="15"/>
                  <w:color w:val="0000FF"/>
                </w:rPr>
                <w:t>Services UK Limited and Polestar Automotive UK Limited.</w:t>
              </w:r>
            </w:hyperlink>
          </w:p>
        </w:tc>
        <w:tc>
          <w:tcPr>
            <w:tcW w:w="78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0"/>
        </w:trPr>
        <w:tc>
          <w:tcPr>
            <w:tcW w:w="68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4.173†</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69">
              <w:r>
                <w:rPr>
                  <w:rFonts w:ascii="Times New Roman" w:cs="Times New Roman" w:eastAsia="Times New Roman" w:hAnsi="Times New Roman"/>
                  <w:sz w:val="15"/>
                  <w:szCs w:val="15"/>
                  <w:color w:val="0000FF"/>
                </w:rPr>
                <w:t>Variation Letter, dated December 5, 2023, between Volvo Car Financial</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4.173</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154"/>
        </w:trPr>
        <w:tc>
          <w:tcPr>
            <w:tcW w:w="6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5"/>
                <w:szCs w:val="15"/>
                <w:color w:val="0000FF"/>
              </w:rPr>
            </w:pPr>
            <w:hyperlink r:id="rId269">
              <w:r>
                <w:rPr>
                  <w:rFonts w:ascii="Times New Roman" w:cs="Times New Roman" w:eastAsia="Times New Roman" w:hAnsi="Times New Roman"/>
                  <w:sz w:val="15"/>
                  <w:szCs w:val="15"/>
                  <w:color w:val="0000FF"/>
                </w:rPr>
                <w:t>Services UK Limited and Polestar Automotive UK Limited.</w:t>
              </w:r>
            </w:hyperlink>
          </w:p>
        </w:tc>
        <w:tc>
          <w:tcPr>
            <w:tcW w:w="70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93"/>
        </w:trPr>
        <w:tc>
          <w:tcPr>
            <w:tcW w:w="68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8.1*</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70">
              <w:r>
                <w:rPr>
                  <w:rFonts w:ascii="Times New Roman" w:cs="Times New Roman" w:eastAsia="Times New Roman" w:hAnsi="Times New Roman"/>
                  <w:sz w:val="15"/>
                  <w:szCs w:val="15"/>
                  <w:color w:val="0000FF"/>
                </w:rPr>
                <w:t>Subsidiaries of Polestar Automotive Holding UK PLC</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20"/>
        </w:trPr>
        <w:tc>
          <w:tcPr>
            <w:tcW w:w="6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680" w:type="dxa"/>
            <w:vAlign w:val="bottom"/>
          </w:tcPr>
          <w:p>
            <w:pPr>
              <w:jc w:val="center"/>
              <w:ind w:right="103"/>
              <w:spacing w:after="0"/>
              <w:rPr>
                <w:sz w:val="20"/>
                <w:szCs w:val="20"/>
                <w:color w:val="auto"/>
              </w:rPr>
            </w:pPr>
            <w:r>
              <w:rPr>
                <w:rFonts w:ascii="Times New Roman" w:cs="Times New Roman" w:eastAsia="Times New Roman" w:hAnsi="Times New Roman"/>
                <w:sz w:val="15"/>
                <w:szCs w:val="15"/>
                <w:color w:val="auto"/>
              </w:rPr>
              <w:t>12.1*#</w:t>
            </w:r>
          </w:p>
        </w:tc>
        <w:tc>
          <w:tcPr>
            <w:tcW w:w="5080" w:type="dxa"/>
            <w:vAlign w:val="bottom"/>
            <w:gridSpan w:val="30"/>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Pursuant to Rules 13a-14(a) and</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54"/>
        </w:trPr>
        <w:tc>
          <w:tcPr>
            <w:tcW w:w="680" w:type="dxa"/>
            <w:vAlign w:val="bottom"/>
          </w:tcPr>
          <w:p>
            <w:pPr>
              <w:spacing w:after="0"/>
              <w:rPr>
                <w:sz w:val="13"/>
                <w:szCs w:val="13"/>
                <w:color w:val="auto"/>
              </w:rPr>
            </w:pPr>
          </w:p>
        </w:tc>
        <w:tc>
          <w:tcPr>
            <w:tcW w:w="4700" w:type="dxa"/>
            <w:vAlign w:val="bottom"/>
            <w:tcBorders>
              <w:top w:val="single" w:sz="8" w:color="0000FF"/>
            </w:tcBorders>
            <w:gridSpan w:val="20"/>
          </w:tcPr>
          <w:p>
            <w:pPr>
              <w:spacing w:after="0" w:line="154" w:lineRule="exact"/>
              <w:rPr>
                <w:sz w:val="20"/>
                <w:szCs w:val="20"/>
                <w:color w:val="auto"/>
              </w:rPr>
            </w:pPr>
            <w:r>
              <w:rPr>
                <w:rFonts w:ascii="Times New Roman" w:cs="Times New Roman" w:eastAsia="Times New Roman" w:hAnsi="Times New Roman"/>
                <w:sz w:val="15"/>
                <w:szCs w:val="15"/>
                <w:color w:val="0000FF"/>
              </w:rPr>
              <w:t>15d-14(a) under the Securities Exchange Act of 1934, as Adopted Pursuant</w:t>
            </w:r>
          </w:p>
        </w:tc>
        <w:tc>
          <w:tcPr>
            <w:tcW w:w="380" w:type="dxa"/>
            <w:vAlign w:val="bottom"/>
            <w:gridSpan w:val="10"/>
          </w:tcPr>
          <w:p>
            <w:pPr>
              <w:jc w:val="right"/>
              <w:ind w:right="280"/>
              <w:spacing w:after="0" w:line="154" w:lineRule="exact"/>
              <w:rPr>
                <w:sz w:val="20"/>
                <w:szCs w:val="20"/>
                <w:color w:val="auto"/>
              </w:rPr>
            </w:pPr>
            <w:r>
              <w:rPr>
                <w:rFonts w:ascii="Times New Roman" w:cs="Times New Roman" w:eastAsia="Times New Roman" w:hAnsi="Times New Roman"/>
                <w:sz w:val="14"/>
                <w:szCs w:val="14"/>
                <w:color w:val="0000FF"/>
                <w:w w:val="72"/>
              </w:rPr>
              <w:t>to</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4800" w:type="dxa"/>
            <w:vAlign w:val="bottom"/>
            <w:tcBorders>
              <w:top w:val="single" w:sz="8" w:color="0000FF"/>
            </w:tcBorders>
            <w:gridSpan w:val="24"/>
          </w:tcPr>
          <w:p>
            <w:pPr>
              <w:spacing w:after="0" w:line="154" w:lineRule="exact"/>
              <w:rPr>
                <w:sz w:val="20"/>
                <w:szCs w:val="20"/>
                <w:color w:val="auto"/>
              </w:rPr>
            </w:pPr>
            <w:r>
              <w:rPr>
                <w:rFonts w:ascii="Times New Roman" w:cs="Times New Roman" w:eastAsia="Times New Roman" w:hAnsi="Times New Roman"/>
                <w:sz w:val="15"/>
                <w:szCs w:val="15"/>
                <w:color w:val="0000FF"/>
              </w:rPr>
              <w:t>Section 302 of the Sarbanes-Oxley Act of 2002.</w:t>
            </w: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1"/>
        </w:trPr>
        <w:tc>
          <w:tcPr>
            <w:tcW w:w="680" w:type="dxa"/>
            <w:vAlign w:val="bottom"/>
          </w:tcPr>
          <w:p>
            <w:pPr>
              <w:jc w:val="center"/>
              <w:ind w:right="103"/>
              <w:spacing w:after="0"/>
              <w:rPr>
                <w:sz w:val="20"/>
                <w:szCs w:val="20"/>
                <w:color w:val="auto"/>
              </w:rPr>
            </w:pPr>
            <w:r>
              <w:rPr>
                <w:rFonts w:ascii="Times New Roman" w:cs="Times New Roman" w:eastAsia="Times New Roman" w:hAnsi="Times New Roman"/>
                <w:sz w:val="15"/>
                <w:szCs w:val="15"/>
                <w:color w:val="auto"/>
              </w:rPr>
              <w:t>12.2*#</w:t>
            </w:r>
          </w:p>
        </w:tc>
        <w:tc>
          <w:tcPr>
            <w:tcW w:w="5080" w:type="dxa"/>
            <w:vAlign w:val="bottom"/>
            <w:gridSpan w:val="30"/>
          </w:tcPr>
          <w:p>
            <w:pPr>
              <w:spacing w:after="0"/>
              <w:rPr>
                <w:sz w:val="20"/>
                <w:szCs w:val="20"/>
                <w:color w:val="auto"/>
              </w:rPr>
            </w:pPr>
            <w:r>
              <w:rPr>
                <w:rFonts w:ascii="Times New Roman" w:cs="Times New Roman" w:eastAsia="Times New Roman" w:hAnsi="Times New Roman"/>
                <w:sz w:val="15"/>
                <w:szCs w:val="15"/>
                <w:color w:val="0000FF"/>
              </w:rPr>
              <w:t>Certification of Principal Financial Officer Pursuant to Rules 13a-14(a) and</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4"/>
        </w:trPr>
        <w:tc>
          <w:tcPr>
            <w:tcW w:w="680" w:type="dxa"/>
            <w:vAlign w:val="bottom"/>
          </w:tcPr>
          <w:p>
            <w:pPr>
              <w:spacing w:after="0"/>
              <w:rPr>
                <w:sz w:val="13"/>
                <w:szCs w:val="13"/>
                <w:color w:val="auto"/>
              </w:rPr>
            </w:pPr>
          </w:p>
        </w:tc>
        <w:tc>
          <w:tcPr>
            <w:tcW w:w="4680" w:type="dxa"/>
            <w:vAlign w:val="bottom"/>
            <w:tcBorders>
              <w:top w:val="single" w:sz="8" w:color="0000FF"/>
            </w:tcBorders>
            <w:gridSpan w:val="19"/>
          </w:tcPr>
          <w:p>
            <w:pPr>
              <w:spacing w:after="0" w:line="154" w:lineRule="exact"/>
              <w:rPr>
                <w:sz w:val="20"/>
                <w:szCs w:val="20"/>
                <w:color w:val="auto"/>
              </w:rPr>
            </w:pPr>
            <w:r>
              <w:rPr>
                <w:rFonts w:ascii="Times New Roman" w:cs="Times New Roman" w:eastAsia="Times New Roman" w:hAnsi="Times New Roman"/>
                <w:sz w:val="15"/>
                <w:szCs w:val="15"/>
                <w:color w:val="0000FF"/>
              </w:rPr>
              <w:t>15d-14(a) under the Securities Exchange Act of 1934, as Adopted Pursuant</w:t>
            </w:r>
          </w:p>
        </w:tc>
        <w:tc>
          <w:tcPr>
            <w:tcW w:w="400" w:type="dxa"/>
            <w:vAlign w:val="bottom"/>
            <w:gridSpan w:val="11"/>
          </w:tcPr>
          <w:p>
            <w:pPr>
              <w:jc w:val="right"/>
              <w:ind w:right="280"/>
              <w:spacing w:after="0" w:line="154" w:lineRule="exact"/>
              <w:rPr>
                <w:sz w:val="20"/>
                <w:szCs w:val="20"/>
                <w:color w:val="auto"/>
              </w:rPr>
            </w:pPr>
            <w:r>
              <w:rPr>
                <w:rFonts w:ascii="Times New Roman" w:cs="Times New Roman" w:eastAsia="Times New Roman" w:hAnsi="Times New Roman"/>
                <w:sz w:val="15"/>
                <w:szCs w:val="15"/>
                <w:color w:val="0000FF"/>
                <w:w w:val="85"/>
              </w:rPr>
              <w:t>to</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4800" w:type="dxa"/>
            <w:vAlign w:val="bottom"/>
            <w:tcBorders>
              <w:top w:val="single" w:sz="8" w:color="0000FF"/>
            </w:tcBorders>
            <w:gridSpan w:val="24"/>
          </w:tcPr>
          <w:p>
            <w:pPr>
              <w:spacing w:after="0" w:line="154" w:lineRule="exact"/>
              <w:rPr>
                <w:sz w:val="20"/>
                <w:szCs w:val="20"/>
                <w:color w:val="auto"/>
              </w:rPr>
            </w:pPr>
            <w:r>
              <w:rPr>
                <w:rFonts w:ascii="Times New Roman" w:cs="Times New Roman" w:eastAsia="Times New Roman" w:hAnsi="Times New Roman"/>
                <w:sz w:val="15"/>
                <w:szCs w:val="15"/>
                <w:color w:val="0000FF"/>
              </w:rPr>
              <w:t>Section 302 of the Sarbanes-Oxley Act of 2002.</w:t>
            </w: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8"/>
        </w:trPr>
        <w:tc>
          <w:tcPr>
            <w:tcW w:w="680" w:type="dxa"/>
            <w:vAlign w:val="bottom"/>
          </w:tcPr>
          <w:p>
            <w:pPr>
              <w:jc w:val="center"/>
              <w:ind w:right="103"/>
              <w:spacing w:after="0"/>
              <w:rPr>
                <w:sz w:val="20"/>
                <w:szCs w:val="20"/>
                <w:color w:val="auto"/>
              </w:rPr>
            </w:pPr>
            <w:r>
              <w:rPr>
                <w:rFonts w:ascii="Times New Roman" w:cs="Times New Roman" w:eastAsia="Times New Roman" w:hAnsi="Times New Roman"/>
                <w:sz w:val="15"/>
                <w:szCs w:val="15"/>
                <w:color w:val="auto"/>
              </w:rPr>
              <w:t>13.1***</w:t>
            </w:r>
          </w:p>
        </w:tc>
        <w:tc>
          <w:tcPr>
            <w:tcW w:w="5080" w:type="dxa"/>
            <w:vAlign w:val="bottom"/>
            <w:gridSpan w:val="30"/>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Pursuant to 18 U.S.C. Section 1350,</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54"/>
        </w:trPr>
        <w:tc>
          <w:tcPr>
            <w:tcW w:w="68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5"/>
          </w:tcPr>
          <w:p>
            <w:pPr>
              <w:spacing w:after="0" w:line="154" w:lineRule="exact"/>
              <w:rPr>
                <w:sz w:val="20"/>
                <w:szCs w:val="20"/>
                <w:color w:val="auto"/>
              </w:rPr>
            </w:pPr>
            <w:r>
              <w:rPr>
                <w:rFonts w:ascii="Times New Roman" w:cs="Times New Roman" w:eastAsia="Times New Roman" w:hAnsi="Times New Roman"/>
                <w:sz w:val="15"/>
                <w:szCs w:val="15"/>
                <w:color w:val="0000FF"/>
              </w:rPr>
              <w:t>as Adopted Pursuant to Section 906 of the Sarbanes-Oxley Act of 2002.</w:t>
            </w:r>
          </w:p>
        </w:tc>
        <w:tc>
          <w:tcPr>
            <w:tcW w:w="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46"/>
        </w:trPr>
        <w:tc>
          <w:tcPr>
            <w:tcW w:w="680" w:type="dxa"/>
            <w:vAlign w:val="bottom"/>
          </w:tcPr>
          <w:p>
            <w:pPr>
              <w:jc w:val="center"/>
              <w:ind w:right="103"/>
              <w:spacing w:after="0"/>
              <w:rPr>
                <w:sz w:val="20"/>
                <w:szCs w:val="20"/>
                <w:color w:val="auto"/>
              </w:rPr>
            </w:pPr>
            <w:r>
              <w:rPr>
                <w:rFonts w:ascii="Times New Roman" w:cs="Times New Roman" w:eastAsia="Times New Roman" w:hAnsi="Times New Roman"/>
                <w:sz w:val="15"/>
                <w:szCs w:val="15"/>
                <w:color w:val="auto"/>
              </w:rPr>
              <w:t>13.2***</w:t>
            </w:r>
          </w:p>
        </w:tc>
        <w:tc>
          <w:tcPr>
            <w:tcW w:w="5080" w:type="dxa"/>
            <w:vAlign w:val="bottom"/>
            <w:gridSpan w:val="30"/>
          </w:tcPr>
          <w:p>
            <w:pPr>
              <w:spacing w:after="0"/>
              <w:rPr>
                <w:sz w:val="20"/>
                <w:szCs w:val="20"/>
                <w:color w:val="auto"/>
              </w:rPr>
            </w:pPr>
            <w:r>
              <w:rPr>
                <w:rFonts w:ascii="Times New Roman" w:cs="Times New Roman" w:eastAsia="Times New Roman" w:hAnsi="Times New Roman"/>
                <w:sz w:val="15"/>
                <w:szCs w:val="15"/>
                <w:color w:val="0000FF"/>
              </w:rPr>
              <w:t>Certification of Principal Financial Officer Pursuant to 18 U.S.C. Section 1350,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54"/>
        </w:trPr>
        <w:tc>
          <w:tcPr>
            <w:tcW w:w="68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5"/>
          </w:tcPr>
          <w:p>
            <w:pPr>
              <w:spacing w:after="0" w:line="154" w:lineRule="exact"/>
              <w:rPr>
                <w:sz w:val="20"/>
                <w:szCs w:val="20"/>
                <w:color w:val="auto"/>
              </w:rPr>
            </w:pPr>
            <w:r>
              <w:rPr>
                <w:rFonts w:ascii="Times New Roman" w:cs="Times New Roman" w:eastAsia="Times New Roman" w:hAnsi="Times New Roman"/>
                <w:sz w:val="15"/>
                <w:szCs w:val="15"/>
                <w:color w:val="0000FF"/>
              </w:rPr>
              <w:t>as Adopted Pursuant to Section 906 of the Sarbanes-Oxley Act of 2002.</w:t>
            </w:r>
          </w:p>
        </w:tc>
        <w:tc>
          <w:tcPr>
            <w:tcW w:w="440" w:type="dxa"/>
            <w:vAlign w:val="bottom"/>
            <w:tcBorders>
              <w:top w:val="single" w:sz="8" w:color="0000FF"/>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93"/>
        </w:trPr>
        <w:tc>
          <w:tcPr>
            <w:tcW w:w="68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15.1*</w:t>
            </w:r>
          </w:p>
        </w:tc>
        <w:tc>
          <w:tcPr>
            <w:tcW w:w="4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5"/>
                <w:szCs w:val="15"/>
                <w:color w:val="0000FF"/>
              </w:rPr>
              <w:t>Consent of Deloitte AB, independent registered accounting firm to Polestar</w:t>
            </w:r>
          </w:p>
        </w:tc>
        <w:tc>
          <w:tcPr>
            <w:tcW w:w="42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4"/>
        </w:trPr>
        <w:tc>
          <w:tcPr>
            <w:tcW w:w="680" w:type="dxa"/>
            <w:vAlign w:val="bottom"/>
          </w:tcPr>
          <w:p>
            <w:pPr>
              <w:spacing w:after="0"/>
              <w:rPr>
                <w:sz w:val="13"/>
                <w:szCs w:val="13"/>
                <w:color w:val="auto"/>
              </w:rPr>
            </w:pPr>
          </w:p>
        </w:tc>
        <w:tc>
          <w:tcPr>
            <w:tcW w:w="5080" w:type="dxa"/>
            <w:vAlign w:val="bottom"/>
            <w:gridSpan w:val="30"/>
          </w:tcPr>
          <w:p>
            <w:pPr>
              <w:spacing w:after="0" w:line="154" w:lineRule="exact"/>
              <w:rPr>
                <w:sz w:val="20"/>
                <w:szCs w:val="20"/>
                <w:color w:val="auto"/>
              </w:rPr>
            </w:pPr>
            <w:r>
              <w:rPr>
                <w:rFonts w:ascii="Times New Roman" w:cs="Times New Roman" w:eastAsia="Times New Roman" w:hAnsi="Times New Roman"/>
                <w:sz w:val="15"/>
                <w:szCs w:val="15"/>
                <w:color w:val="0000FF"/>
              </w:rPr>
              <w:t>Automotive Holding UK PLC (formerly known as Polestar Automotive Holding</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4980" w:type="dxa"/>
            <w:vAlign w:val="bottom"/>
            <w:tcBorders>
              <w:top w:val="single" w:sz="8" w:color="0000FF"/>
            </w:tcBorders>
            <w:gridSpan w:val="29"/>
          </w:tcPr>
          <w:p>
            <w:pPr>
              <w:spacing w:after="0" w:line="154" w:lineRule="exact"/>
              <w:rPr>
                <w:sz w:val="20"/>
                <w:szCs w:val="20"/>
                <w:color w:val="auto"/>
              </w:rPr>
            </w:pPr>
            <w:r>
              <w:rPr>
                <w:rFonts w:ascii="Times New Roman" w:cs="Times New Roman" w:eastAsia="Times New Roman" w:hAnsi="Times New Roman"/>
                <w:sz w:val="15"/>
                <w:szCs w:val="15"/>
                <w:color w:val="0000FF"/>
              </w:rPr>
              <w:t>UK Limited).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100" w:type="dxa"/>
            <w:vAlign w:val="bottom"/>
            <w:gridSpan w:val="2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3"/>
        </w:trPr>
        <w:tc>
          <w:tcPr>
            <w:tcW w:w="6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97.1*</w:t>
            </w:r>
          </w:p>
        </w:tc>
        <w:tc>
          <w:tcPr>
            <w:tcW w:w="5080" w:type="dxa"/>
            <w:vAlign w:val="bottom"/>
            <w:gridSpan w:val="30"/>
          </w:tcPr>
          <w:p>
            <w:pPr>
              <w:spacing w:after="0"/>
              <w:rPr>
                <w:rFonts w:ascii="Times New Roman" w:cs="Times New Roman" w:eastAsia="Times New Roman" w:hAnsi="Times New Roman"/>
                <w:sz w:val="15"/>
                <w:szCs w:val="15"/>
                <w:color w:val="0000FF"/>
              </w:rPr>
            </w:pPr>
            <w:hyperlink r:id="rId271">
              <w:r>
                <w:rPr>
                  <w:rFonts w:ascii="Times New Roman" w:cs="Times New Roman" w:eastAsia="Times New Roman" w:hAnsi="Times New Roman"/>
                  <w:sz w:val="15"/>
                  <w:szCs w:val="15"/>
                  <w:color w:val="0000FF"/>
                </w:rPr>
                <w:t>Compensation Clawback Policy</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20-F</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97.1</w:t>
            </w:r>
          </w:p>
        </w:tc>
        <w:tc>
          <w:tcPr>
            <w:tcW w:w="1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August 14, 2024</w:t>
            </w:r>
          </w:p>
        </w:tc>
      </w:tr>
      <w:tr>
        <w:trPr>
          <w:trHeight w:val="20"/>
        </w:trPr>
        <w:tc>
          <w:tcPr>
            <w:tcW w:w="6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43" w:lineRule="exact"/>
        <w:rPr>
          <w:sz w:val="20"/>
          <w:szCs w:val="20"/>
          <w:color w:val="auto"/>
        </w:rPr>
      </w:pPr>
    </w:p>
    <w:p>
      <w:pPr>
        <w:ind w:left="329" w:hanging="299"/>
        <w:spacing w:after="0"/>
        <w:tabs>
          <w:tab w:leader="none" w:pos="329" w:val="left"/>
        </w:tabs>
        <w:numPr>
          <w:ilvl w:val="2"/>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  Inline XBRL Instance Document.</w:t>
      </w:r>
    </w:p>
    <w:p>
      <w:pPr>
        <w:spacing w:after="0" w:line="47" w:lineRule="exact"/>
        <w:rPr>
          <w:rFonts w:ascii="Times New Roman" w:cs="Times New Roman" w:eastAsia="Times New Roman" w:hAnsi="Times New Roman"/>
          <w:sz w:val="15"/>
          <w:szCs w:val="15"/>
          <w:color w:val="auto"/>
        </w:rPr>
      </w:pPr>
    </w:p>
    <w:p>
      <w:pPr>
        <w:ind w:left="309" w:hanging="305"/>
        <w:spacing w:after="0"/>
        <w:tabs>
          <w:tab w:leader="none" w:pos="309"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 Inline XBRL Taxonomy Extension Schema Document.</w:t>
      </w:r>
    </w:p>
    <w:p>
      <w:pPr>
        <w:spacing w:after="0" w:line="47" w:lineRule="exact"/>
        <w:rPr>
          <w:rFonts w:ascii="Times New Roman" w:cs="Times New Roman" w:eastAsia="Times New Roman" w:hAnsi="Times New Roman"/>
          <w:sz w:val="15"/>
          <w:szCs w:val="15"/>
          <w:color w:val="auto"/>
        </w:rPr>
      </w:pPr>
    </w:p>
    <w:p>
      <w:pPr>
        <w:ind w:left="309" w:hanging="309"/>
        <w:spacing w:after="0"/>
        <w:tabs>
          <w:tab w:leader="none" w:pos="309"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 Inline XBRL Taxonomy Extension Calculation Linkbase Document.</w:t>
      </w:r>
    </w:p>
    <w:p>
      <w:pPr>
        <w:spacing w:after="0" w:line="200" w:lineRule="exact"/>
        <w:rPr>
          <w:sz w:val="20"/>
          <w:szCs w:val="20"/>
          <w:color w:val="auto"/>
        </w:rPr>
      </w:pPr>
    </w:p>
    <w:p>
      <w:pPr>
        <w:spacing w:after="0" w:line="299" w:lineRule="exact"/>
        <w:rPr>
          <w:sz w:val="20"/>
          <w:szCs w:val="20"/>
          <w:color w:val="auto"/>
        </w:rPr>
      </w:pPr>
    </w:p>
    <w:p>
      <w:pPr>
        <w:ind w:left="538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55880</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988"/>
          </w:cols>
          <w:pgMar w:left="471" w:top="83" w:right="1440" w:bottom="1440" w:gutter="0" w:footer="0" w:header="0"/>
        </w:sectPr>
      </w:pPr>
    </w:p>
    <w:bookmarkStart w:id="64" w:name="page65"/>
    <w:bookmarkEnd w:id="64"/>
    <w:p>
      <w:pPr>
        <w:jc w:val="center"/>
        <w:ind w:right="-7"/>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93" w:lineRule="exact"/>
        <w:rPr>
          <w:sz w:val="20"/>
          <w:szCs w:val="20"/>
          <w:color w:val="auto"/>
        </w:rPr>
      </w:pPr>
    </w:p>
    <w:p>
      <w:pPr>
        <w:ind w:left="468" w:hanging="300"/>
        <w:spacing w:after="0"/>
        <w:tabs>
          <w:tab w:leader="none" w:pos="468"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 Inline XBRL Taxonomy Extension Definition Linkbase Document.</w:t>
      </w:r>
    </w:p>
    <w:p>
      <w:pPr>
        <w:spacing w:after="0" w:line="47" w:lineRule="exact"/>
        <w:rPr>
          <w:rFonts w:ascii="Times New Roman" w:cs="Times New Roman" w:eastAsia="Times New Roman" w:hAnsi="Times New Roman"/>
          <w:sz w:val="15"/>
          <w:szCs w:val="15"/>
          <w:color w:val="auto"/>
        </w:rPr>
      </w:pPr>
    </w:p>
    <w:p>
      <w:pPr>
        <w:ind w:left="468" w:hanging="309"/>
        <w:spacing w:after="0"/>
        <w:tabs>
          <w:tab w:leader="none" w:pos="46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LAB* Inline XBRL Taxonomy Extension Label Linkbase Document.</w:t>
      </w:r>
    </w:p>
    <w:p>
      <w:pPr>
        <w:spacing w:after="0" w:line="47" w:lineRule="exact"/>
        <w:rPr>
          <w:rFonts w:ascii="Times New Roman" w:cs="Times New Roman" w:eastAsia="Times New Roman" w:hAnsi="Times New Roman"/>
          <w:sz w:val="15"/>
          <w:szCs w:val="15"/>
          <w:color w:val="auto"/>
        </w:rPr>
      </w:pPr>
    </w:p>
    <w:p>
      <w:pPr>
        <w:ind w:left="488" w:hanging="316"/>
        <w:spacing w:after="0"/>
        <w:tabs>
          <w:tab w:leader="none" w:pos="488"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 Inline XBRL Taxonomy Extension Presentation Linkbase Document.</w:t>
      </w:r>
    </w:p>
    <w:p>
      <w:pPr>
        <w:spacing w:after="0" w:line="47" w:lineRule="exact"/>
        <w:rPr>
          <w:sz w:val="20"/>
          <w:szCs w:val="20"/>
          <w:color w:val="auto"/>
        </w:rPr>
      </w:pPr>
    </w:p>
    <w:p>
      <w:pPr>
        <w:ind w:left="348"/>
        <w:spacing w:after="0"/>
        <w:tabs>
          <w:tab w:leader="none" w:pos="908" w:val="left"/>
        </w:tabs>
        <w:rPr>
          <w:sz w:val="20"/>
          <w:szCs w:val="20"/>
          <w:color w:val="auto"/>
        </w:rPr>
      </w:pPr>
      <w:r>
        <w:rPr>
          <w:rFonts w:ascii="Times New Roman" w:cs="Times New Roman" w:eastAsia="Times New Roman" w:hAnsi="Times New Roman"/>
          <w:sz w:val="15"/>
          <w:szCs w:val="15"/>
          <w:color w:val="auto"/>
        </w:rPr>
        <w:t>104*</w:t>
      </w:r>
      <w:r>
        <w:rPr>
          <w:sz w:val="20"/>
          <w:szCs w:val="20"/>
          <w:color w:val="auto"/>
        </w:rPr>
        <w:tab/>
      </w:r>
      <w:r>
        <w:rPr>
          <w:rFonts w:ascii="Times New Roman" w:cs="Times New Roman" w:eastAsia="Times New Roman" w:hAnsi="Times New Roman"/>
          <w:sz w:val="15"/>
          <w:szCs w:val="15"/>
          <w:color w:val="auto"/>
        </w:rPr>
        <w:t>Cover Page Interactive Data Filed (embedded within the Inline XBRL</w:t>
      </w:r>
    </w:p>
    <w:p>
      <w:pPr>
        <w:spacing w:after="0" w:line="17"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5"/>
          <w:szCs w:val="15"/>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53581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73">
                      <a:extLst>
                        <a:ext uri="{28A0092B-C50C-407E-A947-70E740481C1C}"/>
                      </a:extLst>
                    </a:blip>
                    <a:srcRect/>
                    <a:stretch>
                      <a:fillRect/>
                    </a:stretch>
                  </pic:blipFill>
                  <pic:spPr bwMode="auto">
                    <a:xfrm>
                      <a:off x="0" y="0"/>
                      <a:ext cx="535813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Filed herewith.</w:t>
      </w:r>
    </w:p>
    <w:p>
      <w:pPr>
        <w:spacing w:after="0" w:line="17" w:lineRule="exact"/>
        <w:rPr>
          <w:sz w:val="20"/>
          <w:szCs w:val="20"/>
          <w:color w:val="auto"/>
        </w:rPr>
      </w:pPr>
    </w:p>
    <w:p>
      <w:pPr>
        <w:ind w:left="188" w:hanging="188"/>
        <w:spacing w:after="0"/>
        <w:tabs>
          <w:tab w:leader="none" w:pos="188"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8-K was originally filed by Gores Guggenheim, Inc., which became a subsidiary of Polestar in connection with the Business Combination.</w:t>
      </w:r>
    </w:p>
    <w:p>
      <w:pPr>
        <w:spacing w:after="0" w:line="1"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Indicates management contract or compensatory plan.</w:t>
      </w:r>
    </w:p>
    <w:p>
      <w:pPr>
        <w:spacing w:after="0" w:line="1" w:lineRule="exact"/>
        <w:rPr>
          <w:sz w:val="20"/>
          <w:szCs w:val="20"/>
          <w:color w:val="auto"/>
        </w:rPr>
      </w:pPr>
    </w:p>
    <w:p>
      <w:pPr>
        <w:ind w:left="408" w:hanging="407"/>
        <w:spacing w:after="0" w:line="241" w:lineRule="auto"/>
        <w:tabs>
          <w:tab w:leader="none" w:pos="11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line="1" w:lineRule="exact"/>
        <w:rPr>
          <w:sz w:val="20"/>
          <w:szCs w:val="20"/>
          <w:color w:val="auto"/>
        </w:rPr>
      </w:pPr>
    </w:p>
    <w:p>
      <w:pPr>
        <w:ind w:left="408" w:hanging="407"/>
        <w:spacing w:after="0" w:line="241" w:lineRule="auto"/>
        <w:tabs>
          <w:tab w:leader="none" w:pos="27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Excludes certifications related to Exchange Act Rules 13a-15(e), 13a-15(f), 15d-15(e), and 15d-15(f) for establishing and maintaining disclosure controls and procedures and internal control over financial reporting. These certifications are not included in Exhibits 12.1 and 12.2 filed herewith as </w:t>
      </w:r>
      <w:r>
        <w:rPr>
          <w:rFonts w:ascii="Times New Roman" w:cs="Times New Roman" w:eastAsia="Times New Roman" w:hAnsi="Times New Roman"/>
          <w:sz w:val="15"/>
          <w:szCs w:val="15"/>
          <w:i w:val="1"/>
          <w:iCs w:val="1"/>
          <w:color w:val="auto"/>
        </w:rPr>
        <w:t>Item 15. Controls and Procedures</w:t>
      </w:r>
      <w:r>
        <w:rPr>
          <w:rFonts w:ascii="Times New Roman" w:cs="Times New Roman" w:eastAsia="Times New Roman" w:hAnsi="Times New Roman"/>
          <w:sz w:val="15"/>
          <w:szCs w:val="15"/>
          <w:color w:val="auto"/>
        </w:rPr>
        <w:t xml:space="preserve"> has not been amended in this filing. Refer to Exhibits 12.1 and 12.2 to the Form 20-F/A filed on August 14, 2024 for these certifications.</w:t>
      </w:r>
    </w:p>
    <w:p>
      <w:pPr>
        <w:spacing w:after="0" w:line="1" w:lineRule="exact"/>
        <w:rPr>
          <w:sz w:val="20"/>
          <w:szCs w:val="20"/>
          <w:color w:val="auto"/>
        </w:rPr>
      </w:pPr>
    </w:p>
    <w:p>
      <w:pPr>
        <w:ind w:left="188" w:hanging="187"/>
        <w:spacing w:after="0"/>
        <w:tabs>
          <w:tab w:leader="none" w:pos="18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schedules and similar attachments to the exhibit have been omitted in accordance with Regulation S-K Item 601(a)(5).</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25" w:lineRule="exact"/>
        <w:rPr>
          <w:rFonts w:ascii="Times New Roman" w:cs="Times New Roman" w:eastAsia="Times New Roman" w:hAnsi="Times New Roman"/>
          <w:sz w:val="15"/>
          <w:szCs w:val="15"/>
          <w:color w:val="auto"/>
        </w:rPr>
      </w:pPr>
    </w:p>
    <w:p>
      <w:pPr>
        <w:ind w:left="554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7740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7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104" w:right="319" w:bottom="1440" w:gutter="0" w:footer="0" w:header="0"/>
        </w:sectPr>
      </w:pPr>
    </w:p>
    <w:bookmarkStart w:id="65" w:name="page66"/>
    <w:bookmarkEnd w:id="65"/>
    <w:p>
      <w:pPr>
        <w:jc w:val="center"/>
        <w:ind w:right="-179"/>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67" w:lineRule="exact"/>
        <w:rPr>
          <w:sz w:val="20"/>
          <w:szCs w:val="20"/>
          <w:color w:val="auto"/>
        </w:rPr>
      </w:pPr>
    </w:p>
    <w:p>
      <w:pPr>
        <w:ind w:firstLine="378"/>
        <w:spacing w:after="0" w:line="263" w:lineRule="auto"/>
        <w:rPr>
          <w:sz w:val="20"/>
          <w:szCs w:val="20"/>
          <w:color w:val="auto"/>
        </w:rPr>
      </w:pPr>
      <w:r>
        <w:rPr>
          <w:rFonts w:ascii="Times New Roman" w:cs="Times New Roman" w:eastAsia="Times New Roman" w:hAnsi="Times New Roman"/>
          <w:sz w:val="15"/>
          <w:szCs w:val="15"/>
          <w:color w:val="auto"/>
        </w:rPr>
        <w:t>The registrant hereby certifies that it meets all of the requirements for filing on Form 20-F and that it has duly caused and authorized the undersigned to sign this report on its behalf.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23, 2025</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b w:val="1"/>
          <w:bCs w:val="1"/>
          <w:color w:val="auto"/>
        </w:rPr>
        <w:t>POLESTAR AUTOMOTIVE</w:t>
      </w:r>
    </w:p>
    <w:p>
      <w:pPr>
        <w:spacing w:after="0" w:line="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b w:val="1"/>
          <w:bCs w:val="1"/>
          <w:color w:val="auto"/>
        </w:rPr>
        <w:t>HOLDING UK PLC</w:t>
      </w:r>
    </w:p>
    <w:p>
      <w:pPr>
        <w:spacing w:after="0" w:line="66" w:lineRule="exact"/>
        <w:rPr>
          <w:sz w:val="20"/>
          <w:szCs w:val="20"/>
          <w:color w:val="auto"/>
        </w:rPr>
      </w:pPr>
    </w:p>
    <w:p>
      <w:pPr>
        <w:ind w:left="5000"/>
        <w:spacing w:after="0"/>
        <w:tabs>
          <w:tab w:leader="none" w:pos="5440" w:val="left"/>
        </w:tabs>
        <w:rPr>
          <w:sz w:val="20"/>
          <w:szCs w:val="20"/>
          <w:color w:val="auto"/>
        </w:rPr>
      </w:pPr>
      <w:r>
        <w:rPr>
          <w:rFonts w:ascii="Times New Roman" w:cs="Times New Roman" w:eastAsia="Times New Roman" w:hAnsi="Times New Roman"/>
          <w:sz w:val="15"/>
          <w:szCs w:val="15"/>
          <w:color w:val="auto"/>
        </w:rPr>
        <w:t>By:</w:t>
        <w:tab/>
        <w:t>/s/ Michael Lohscheller</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-108585</wp:posOffset>
            </wp:positionV>
            <wp:extent cx="13081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75">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16" w:lineRule="exact"/>
        <w:rPr>
          <w:sz w:val="20"/>
          <w:szCs w:val="20"/>
          <w:color w:val="auto"/>
        </w:rPr>
      </w:pPr>
    </w:p>
    <w:p>
      <w:pPr>
        <w:ind w:left="5000"/>
        <w:spacing w:after="0"/>
        <w:tabs>
          <w:tab w:leader="none" w:pos="544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200" w:lineRule="exact"/>
        <w:rPr>
          <w:sz w:val="20"/>
          <w:szCs w:val="20"/>
          <w:color w:val="auto"/>
        </w:rPr>
      </w:pPr>
    </w:p>
    <w:p>
      <w:pPr>
        <w:spacing w:after="0" w:line="342" w:lineRule="exact"/>
        <w:rPr>
          <w:sz w:val="20"/>
          <w:szCs w:val="20"/>
          <w:color w:val="auto"/>
        </w:rPr>
      </w:pPr>
    </w:p>
    <w:p>
      <w:pPr>
        <w:ind w:left="5000"/>
        <w:spacing w:after="0"/>
        <w:tabs>
          <w:tab w:leader="none" w:pos="5440" w:val="left"/>
        </w:tabs>
        <w:rPr>
          <w:sz w:val="20"/>
          <w:szCs w:val="20"/>
          <w:color w:val="auto"/>
        </w:rPr>
      </w:pPr>
      <w:r>
        <w:rPr>
          <w:rFonts w:ascii="Times New Roman" w:cs="Times New Roman" w:eastAsia="Times New Roman" w:hAnsi="Times New Roman"/>
          <w:sz w:val="15"/>
          <w:szCs w:val="15"/>
          <w:color w:val="auto"/>
        </w:rPr>
        <w:t>By:</w:t>
        <w:tab/>
        <w:t>/s/ Jean-François Mady</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-108585</wp:posOffset>
            </wp:positionV>
            <wp:extent cx="13081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76">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16" w:lineRule="exact"/>
        <w:rPr>
          <w:sz w:val="20"/>
          <w:szCs w:val="20"/>
          <w:color w:val="auto"/>
        </w:rPr>
      </w:pPr>
    </w:p>
    <w:p>
      <w:pPr>
        <w:ind w:left="5000"/>
        <w:spacing w:after="0"/>
        <w:tabs>
          <w:tab w:leader="none" w:pos="5440" w:val="left"/>
        </w:tabs>
        <w:rPr>
          <w:sz w:val="20"/>
          <w:szCs w:val="20"/>
          <w:color w:val="auto"/>
        </w:rPr>
      </w:pPr>
      <w:r>
        <w:rPr>
          <w:rFonts w:ascii="Times New Roman" w:cs="Times New Roman" w:eastAsia="Times New Roman" w:hAnsi="Times New Roman"/>
          <w:sz w:val="15"/>
          <w:szCs w:val="15"/>
          <w:color w:val="auto"/>
        </w:rPr>
        <w:t>Title:</w:t>
        <w:tab/>
        <w:t>Chief Financial Officer</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7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080"/>
          </w:cols>
          <w:pgMar w:left="320" w:top="104" w:right="49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400" w:type="dxa"/>
            <w:vAlign w:val="bottom"/>
            <w:gridSpan w:val="5"/>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tc>
        <w:tc>
          <w:tcPr>
            <w:tcW w:w="3360" w:type="dxa"/>
            <w:vAlign w:val="bottom"/>
          </w:tcPr>
          <w:p>
            <w:pPr>
              <w:spacing w:after="0"/>
              <w:rPr>
                <w:sz w:val="17"/>
                <w:szCs w:val="17"/>
                <w:color w:val="auto"/>
              </w:rPr>
            </w:pPr>
          </w:p>
        </w:tc>
      </w:tr>
      <w:tr>
        <w:trPr>
          <w:trHeight w:val="336"/>
        </w:trPr>
        <w:tc>
          <w:tcPr>
            <w:tcW w:w="790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Polestar Automotive Holding UK PLC</w:t>
            </w:r>
          </w:p>
        </w:tc>
        <w:tc>
          <w:tcPr>
            <w:tcW w:w="3360" w:type="dxa"/>
            <w:vAlign w:val="bottom"/>
          </w:tcPr>
          <w:p>
            <w:pPr>
              <w:spacing w:after="0"/>
              <w:rPr>
                <w:sz w:val="24"/>
                <w:szCs w:val="24"/>
                <w:color w:val="auto"/>
              </w:rPr>
            </w:pPr>
          </w:p>
        </w:tc>
      </w:tr>
      <w:tr>
        <w:trPr>
          <w:trHeight w:val="345"/>
        </w:trPr>
        <w:tc>
          <w:tcPr>
            <w:tcW w:w="790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Financial Statements — For the years ended December 31, 2023, 2022, and 2021</w:t>
            </w:r>
          </w:p>
        </w:tc>
        <w:tc>
          <w:tcPr>
            <w:tcW w:w="3360" w:type="dxa"/>
            <w:vAlign w:val="bottom"/>
          </w:tcPr>
          <w:p>
            <w:pPr>
              <w:spacing w:after="0"/>
              <w:rPr>
                <w:sz w:val="24"/>
                <w:szCs w:val="24"/>
                <w:color w:val="auto"/>
              </w:rPr>
            </w:pPr>
          </w:p>
        </w:tc>
      </w:tr>
      <w:tr>
        <w:trPr>
          <w:trHeight w:val="165"/>
        </w:trPr>
        <w:tc>
          <w:tcPr>
            <w:tcW w:w="40" w:type="dxa"/>
            <w:vAlign w:val="bottom"/>
          </w:tcPr>
          <w:p>
            <w:pPr>
              <w:spacing w:after="0"/>
              <w:rPr>
                <w:sz w:val="14"/>
                <w:szCs w:val="14"/>
                <w:color w:val="auto"/>
              </w:rPr>
            </w:pPr>
          </w:p>
        </w:tc>
        <w:tc>
          <w:tcPr>
            <w:tcW w:w="7860" w:type="dxa"/>
            <w:vAlign w:val="bottom"/>
            <w:gridSpan w:val="6"/>
          </w:tcPr>
          <w:p>
            <w:pPr>
              <w:spacing w:after="0" w:line="165" w:lineRule="exact"/>
              <w:rPr>
                <w:sz w:val="20"/>
                <w:szCs w:val="20"/>
                <w:color w:val="auto"/>
              </w:rPr>
            </w:pPr>
            <w:r>
              <w:rPr>
                <w:rFonts w:ascii="Times New Roman" w:cs="Times New Roman" w:eastAsia="Times New Roman" w:hAnsi="Times New Roman"/>
                <w:sz w:val="15"/>
                <w:szCs w:val="15"/>
                <w:color w:val="0000FF"/>
              </w:rPr>
              <w:t>Report of Independent Registered Public Accounting Firm - Deloitte AB (PCAOB ID No. 1126)</w:t>
            </w:r>
          </w:p>
        </w:tc>
        <w:tc>
          <w:tcPr>
            <w:tcW w:w="3360" w:type="dxa"/>
            <w:vAlign w:val="bottom"/>
          </w:tcPr>
          <w:p>
            <w:pPr>
              <w:ind w:left="2540"/>
              <w:spacing w:after="0" w:line="165" w:lineRule="exact"/>
              <w:rPr>
                <w:sz w:val="20"/>
                <w:szCs w:val="20"/>
                <w:color w:val="auto"/>
              </w:rPr>
            </w:pPr>
            <w:r>
              <w:rPr>
                <w:rFonts w:ascii="Times New Roman" w:cs="Times New Roman" w:eastAsia="Times New Roman" w:hAnsi="Times New Roman"/>
                <w:sz w:val="15"/>
                <w:szCs w:val="15"/>
                <w:color w:val="auto"/>
              </w:rPr>
              <w:t>F-3</w:t>
            </w:r>
          </w:p>
        </w:tc>
      </w:tr>
      <w:tr>
        <w:trPr>
          <w:trHeight w:val="20"/>
        </w:trPr>
        <w:tc>
          <w:tcPr>
            <w:tcW w:w="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77"/>
        </w:trPr>
        <w:tc>
          <w:tcPr>
            <w:tcW w:w="7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5"/>
                <w:szCs w:val="15"/>
                <w:color w:val="0000FF"/>
              </w:rPr>
              <w:t>Consolidated Statement of Loss and Comprehensive Loss (as restated) for the Years Ended December 31, 2023, 2022, and 2021</w:t>
            </w:r>
          </w:p>
        </w:tc>
        <w:tc>
          <w:tcPr>
            <w:tcW w:w="336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F-6</w:t>
            </w:r>
          </w:p>
        </w:tc>
      </w:tr>
      <w:tr>
        <w:trPr>
          <w:trHeight w:val="177"/>
        </w:trPr>
        <w:tc>
          <w:tcPr>
            <w:tcW w:w="790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Consolidated Statement of Financial Position (as restated) as of December 31, 2023 and 2022</w:t>
            </w:r>
          </w:p>
        </w:tc>
        <w:tc>
          <w:tcPr>
            <w:tcW w:w="336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F-7</w:t>
            </w:r>
          </w:p>
        </w:tc>
      </w:tr>
      <w:tr>
        <w:trPr>
          <w:trHeight w:val="20"/>
        </w:trPr>
        <w:tc>
          <w:tcPr>
            <w:tcW w:w="3500" w:type="dxa"/>
            <w:vAlign w:val="bottom"/>
            <w:gridSpan w:val="2"/>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77"/>
        </w:trPr>
        <w:tc>
          <w:tcPr>
            <w:tcW w:w="7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rPr>
              <w:t>Consolidated Statement of Changes in Equity (as restated) for the Years Ended December 31, 2023, 2022, and 2021</w:t>
            </w:r>
          </w:p>
        </w:tc>
        <w:tc>
          <w:tcPr>
            <w:tcW w:w="740" w:type="dxa"/>
            <w:vAlign w:val="bottom"/>
          </w:tcPr>
          <w:p>
            <w:pPr>
              <w:spacing w:after="0"/>
              <w:rPr>
                <w:sz w:val="15"/>
                <w:szCs w:val="15"/>
                <w:color w:val="auto"/>
              </w:rPr>
            </w:pPr>
          </w:p>
        </w:tc>
        <w:tc>
          <w:tcPr>
            <w:tcW w:w="336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F-9</w:t>
            </w:r>
          </w:p>
        </w:tc>
      </w:tr>
      <w:tr>
        <w:trPr>
          <w:trHeight w:val="177"/>
        </w:trPr>
        <w:tc>
          <w:tcPr>
            <w:tcW w:w="790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Consolidated Statement of Cash Flows (as restated) for the Years Ended December 31, 2023, 2022 and 2021</w:t>
            </w:r>
          </w:p>
        </w:tc>
        <w:tc>
          <w:tcPr>
            <w:tcW w:w="336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F-10</w:t>
            </w:r>
          </w:p>
        </w:tc>
      </w:tr>
      <w:tr>
        <w:trPr>
          <w:trHeight w:val="177"/>
        </w:trPr>
        <w:tc>
          <w:tcPr>
            <w:tcW w:w="6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Notes to Consolidated Financial Statements (as restated)</w:t>
            </w:r>
          </w:p>
        </w:tc>
        <w:tc>
          <w:tcPr>
            <w:tcW w:w="1200" w:type="dxa"/>
            <w:vAlign w:val="bottom"/>
            <w:gridSpan w:val="2"/>
          </w:tcPr>
          <w:p>
            <w:pPr>
              <w:spacing w:after="0"/>
              <w:rPr>
                <w:sz w:val="15"/>
                <w:szCs w:val="15"/>
                <w:color w:val="auto"/>
              </w:rPr>
            </w:pPr>
          </w:p>
        </w:tc>
        <w:tc>
          <w:tcPr>
            <w:tcW w:w="336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F-12</w:t>
            </w:r>
          </w:p>
        </w:tc>
      </w:tr>
      <w:tr>
        <w:trPr>
          <w:trHeight w:val="663"/>
        </w:trPr>
        <w:tc>
          <w:tcPr>
            <w:tcW w:w="40" w:type="dxa"/>
            <w:vAlign w:val="bottom"/>
            <w:tcBorders>
              <w:top w:val="single" w:sz="8" w:color="0000FF"/>
            </w:tcBorders>
          </w:tcPr>
          <w:p>
            <w:pPr>
              <w:spacing w:after="0"/>
              <w:rPr>
                <w:sz w:val="24"/>
                <w:szCs w:val="24"/>
                <w:color w:val="auto"/>
              </w:rPr>
            </w:pPr>
          </w:p>
        </w:tc>
        <w:tc>
          <w:tcPr>
            <w:tcW w:w="3460" w:type="dxa"/>
            <w:vAlign w:val="bottom"/>
            <w:tcBorders>
              <w:top w:val="single" w:sz="8" w:color="0000FF"/>
            </w:tcBorders>
          </w:tcPr>
          <w:p>
            <w:pPr>
              <w:spacing w:after="0"/>
              <w:rPr>
                <w:sz w:val="24"/>
                <w:szCs w:val="24"/>
                <w:color w:val="auto"/>
              </w:rPr>
            </w:pPr>
          </w:p>
        </w:tc>
        <w:tc>
          <w:tcPr>
            <w:tcW w:w="4400" w:type="dxa"/>
            <w:vAlign w:val="bottom"/>
            <w:gridSpan w:val="5"/>
          </w:tcPr>
          <w:p>
            <w:pPr>
              <w:jc w:val="center"/>
              <w:ind w:right="140"/>
              <w:spacing w:after="0"/>
              <w:rPr>
                <w:sz w:val="20"/>
                <w:szCs w:val="20"/>
                <w:color w:val="auto"/>
              </w:rPr>
            </w:pPr>
            <w:r>
              <w:rPr>
                <w:rFonts w:ascii="Times New Roman" w:cs="Times New Roman" w:eastAsia="Times New Roman" w:hAnsi="Times New Roman"/>
                <w:sz w:val="15"/>
                <w:szCs w:val="15"/>
                <w:color w:val="auto"/>
              </w:rPr>
              <w:t>F-1</w:t>
            </w:r>
          </w:p>
        </w:tc>
        <w:tc>
          <w:tcPr>
            <w:tcW w:w="3360" w:type="dxa"/>
            <w:vAlign w:val="bottom"/>
          </w:tcPr>
          <w:p>
            <w:pPr>
              <w:spacing w:after="0"/>
              <w:rPr>
                <w:sz w:val="24"/>
                <w:szCs w:val="24"/>
                <w:color w:val="auto"/>
              </w:rPr>
            </w:pPr>
          </w:p>
        </w:tc>
      </w:tr>
      <w:tr>
        <w:trPr>
          <w:trHeight w:val="84"/>
        </w:trPr>
        <w:tc>
          <w:tcPr>
            <w:tcW w:w="4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7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7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Polestar Group</w:t>
      </w: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Financial Statements for the Years Ended December 31, 2023, 2022, and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48895</wp:posOffset>
            </wp:positionV>
            <wp:extent cx="71774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8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Polestar Automotive Holding UK PLC: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75"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15"/>
          <w:szCs w:val="15"/>
          <w:color w:val="auto"/>
        </w:rPr>
        <w:t>We have audited the accompanying consolidated statements of financial position of Polestar Automotive Holding UK PLC and subsidiaries (the "Company") as at December 31, 2023 and 2022, the related consolidated statements of profit or loss and comprehensive loss, changes in equity, and cash flows for each of the three years in the period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2023 and the related notes (collectively referred to as the "financial statements").</w:t>
      </w:r>
    </w:p>
    <w:p>
      <w:pPr>
        <w:spacing w:after="0" w:line="55"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5"/>
          <w:szCs w:val="15"/>
          <w:color w:val="auto"/>
        </w:rPr>
        <w:t>In our opinion, the accompanying financial statements present fairly, in all material respects, the financial position of the Company as at December 31, 2023 and 2022, and its financial performance and cash flows for each of the three years ended December 31, 2023, in conformity with IFRS Accounting Standards as issued by the International Accounting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Standards Board (IASB).</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5"/>
          <w:szCs w:val="15"/>
          <w:i w:val="1"/>
          <w:iCs w:val="1"/>
          <w:color w:val="auto"/>
        </w:rPr>
        <w:t>Internal Control — Integrated Framework (2013)</w:t>
      </w:r>
      <w:r>
        <w:rPr>
          <w:rFonts w:ascii="Times New Roman" w:cs="Times New Roman" w:eastAsia="Times New Roman" w:hAnsi="Times New Roman"/>
          <w:sz w:val="15"/>
          <w:szCs w:val="15"/>
          <w:color w:val="auto"/>
        </w:rPr>
        <w:t xml:space="preserve"> issued by the Committee of Sponsoring Organizations of the</w:t>
      </w:r>
    </w:p>
    <w:p>
      <w:pPr>
        <w:spacing w:after="0" w:line="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5"/>
          <w:szCs w:val="15"/>
          <w:color w:val="auto"/>
        </w:rPr>
        <w:t>Treadway Commission and our report dated August 14, 2024, expressed an adverse opinion on the Company’s internal control over financial reporting because of material weaknesses.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Restatement of the 2023 and 2022 financial statements</w:t>
      </w:r>
    </w:p>
    <w:p>
      <w:pPr>
        <w:spacing w:after="0" w:line="86" w:lineRule="exact"/>
        <w:rPr>
          <w:sz w:val="20"/>
          <w:szCs w:val="20"/>
          <w:color w:val="auto"/>
        </w:rPr>
      </w:pPr>
    </w:p>
    <w:p>
      <w:pPr>
        <w:ind w:right="760"/>
        <w:spacing w:after="0" w:line="246" w:lineRule="auto"/>
        <w:rPr>
          <w:sz w:val="20"/>
          <w:szCs w:val="20"/>
          <w:color w:val="auto"/>
        </w:rPr>
      </w:pPr>
      <w:r>
        <w:rPr>
          <w:rFonts w:ascii="Times New Roman" w:cs="Times New Roman" w:eastAsia="Times New Roman" w:hAnsi="Times New Roman"/>
          <w:sz w:val="15"/>
          <w:szCs w:val="15"/>
          <w:color w:val="auto"/>
        </w:rPr>
        <w:t>As discussed in Note 2 and Note 31 to the financial statements, the 2023 and 2022 financial statements have been restated to correct misstatements (referred to as "current restatement" in the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Going Concern</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accompanying financial statements have been prepared assuming that the Company will continue as a going concern. As discussed in Note 1 to the financial statements, the Company requires additional financing to support operating and development activities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75"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laws and the applicable rules and regulations of the Securities and Exchange Commission and the PCAOB.</w:t>
      </w:r>
    </w:p>
    <w:p>
      <w:pPr>
        <w:spacing w:after="0" w:line="5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w:t>
      </w:r>
    </w:p>
    <w:p>
      <w:pPr>
        <w:spacing w:after="0" w:line="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5"/>
          <w:szCs w:val="15"/>
          <w:color w:val="auto"/>
        </w:rPr>
        <w:t>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from the sales of vehicles — Refer to Notes 2 and 4 to the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Critical Audit Matter Description</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Company’s revenue primarily consists of revenue from the sales of vehicles, which are sold to individuals, fleet customers, financial service providers, dealers and importers based on contractual agreements. The Company recognizes revenue at the point in time when the customer obtains control of the vehicle, and thus can direct the use of, and obtain the benefits from, the vehicle.</w:t>
      </w:r>
    </w:p>
    <w:p>
      <w:pPr>
        <w:spacing w:after="0" w:line="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We identified revenue recognition related to the sales of vehicles as a critical audit matter because of the nature of the various agreements and the complexity of certain terms in these contracts that may affect the timing or measurement of revenue recognition. This required extensive audit effort due to the variation and complexity in terms found within some contracts, the high degree of auditor judgment in determining the audit procedures, and the nature and extent of evidence required to determine revenue recognition was appropriate.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How the Critical Audit Matter Was Addressed in the Audit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revenue recognized from the sale of vehicles included, but were not limited 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8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40" w:hanging="281"/>
        <w:spacing w:after="0" w:line="246" w:lineRule="auto"/>
        <w:tabs>
          <w:tab w:leader="none" w:pos="83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obtained an understanding of management’s process for identifying and reviewing contracts with all types of customers and determining the revenue recognition treatment in accordance with IFRS 15,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w:t>
      </w:r>
    </w:p>
    <w:p>
      <w:pPr>
        <w:spacing w:after="0" w:line="51" w:lineRule="exact"/>
        <w:rPr>
          <w:rFonts w:ascii="Times New Roman" w:cs="Times New Roman" w:eastAsia="Times New Roman" w:hAnsi="Times New Roman"/>
          <w:sz w:val="15"/>
          <w:szCs w:val="15"/>
          <w:color w:val="auto"/>
        </w:rPr>
      </w:pPr>
    </w:p>
    <w:p>
      <w:pPr>
        <w:jc w:val="both"/>
        <w:ind w:left="840" w:hanging="281"/>
        <w:spacing w:after="0" w:line="232" w:lineRule="auto"/>
        <w:tabs>
          <w:tab w:leader="none" w:pos="83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sample of agreements with customers, focusing on those that differed from standard frame agreements, we obtained the contract and assessed the contract for terms that could impact the appropriateness of revenue recognition not identified by management. For those contracts identified with complex terms, we evaluated whether the Company appropriately accounted for those contracts in accordance with IFRS 15.</w:t>
      </w:r>
    </w:p>
    <w:p>
      <w:pPr>
        <w:spacing w:after="0" w:line="55"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performed detailed transaction testing for a sample of revenue from the sale of vehicles, by obtaining and inspecting sales orders or contracts with the customer and other related source documents, including delivery documents, invoices, and cash receipts, as applicable, to determine that control had transferred to the customer.</w:t>
      </w:r>
    </w:p>
    <w:p>
      <w:pPr>
        <w:spacing w:after="0" w:line="39"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sample of revenue from the sale of vehicles for certain customers, we also confirmed directly with the customers the contract terms and conditions.</w:t>
      </w:r>
    </w:p>
    <w:p>
      <w:pPr>
        <w:spacing w:after="0" w:line="82" w:lineRule="exact"/>
        <w:rPr>
          <w:rFonts w:ascii="Times New Roman" w:cs="Times New Roman" w:eastAsia="Times New Roman" w:hAnsi="Times New Roman"/>
          <w:sz w:val="15"/>
          <w:szCs w:val="15"/>
          <w:color w:val="auto"/>
        </w:rPr>
      </w:pPr>
    </w:p>
    <w:p>
      <w:pPr>
        <w:ind w:left="840" w:hanging="281"/>
        <w:spacing w:after="0" w:line="246" w:lineRule="auto"/>
        <w:tabs>
          <w:tab w:leader="none" w:pos="83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considered audit evidence obtained throughout our audit as to whether there is any wider information relevant to the point in time at which the Company recognizes revenue from the sales of vehicles.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Inventories — Refer to Notes 2 and 20 to the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Critical Audit Matter Description</w:t>
      </w:r>
    </w:p>
    <w:p>
      <w:pPr>
        <w:spacing w:after="0" w:line="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The Company’s inventories include new, used, and internal vehicles that are held in geographically disparate locations. Management employs a range of procedures, including physical counts to record and verify the existence, completeness, and condition of inventories. Inventories are valued at the lower of cost or net realizable value.</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We identified the existence, completeness, and valuation of inventories as a critical audit matter because of the extent of effort in performing procedures and evaluating audit evidence due to the geographical dispersion of the Company’s inventories and. because of the high degree of auditor’s judgment and increased extent of effort required when performing audit procedures to evaluate the reasonableness of net realizable value of inventory.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inventory existence, completeness and valuation included, but were not limited to:</w:t>
      </w:r>
    </w:p>
    <w:p>
      <w:pPr>
        <w:spacing w:after="0" w:line="71" w:lineRule="exact"/>
        <w:rPr>
          <w:sz w:val="20"/>
          <w:szCs w:val="20"/>
          <w:color w:val="auto"/>
        </w:rPr>
      </w:pPr>
    </w:p>
    <w:p>
      <w:pPr>
        <w:ind w:left="840" w:hanging="281"/>
        <w:spacing w:after="0"/>
        <w:tabs>
          <w:tab w:leader="none" w:pos="8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selection of inventory locations:</w:t>
      </w:r>
    </w:p>
    <w:p>
      <w:pPr>
        <w:spacing w:after="0" w:line="82" w:lineRule="exact"/>
        <w:rPr>
          <w:rFonts w:ascii="Times New Roman" w:cs="Times New Roman" w:eastAsia="Times New Roman" w:hAnsi="Times New Roman"/>
          <w:sz w:val="15"/>
          <w:szCs w:val="15"/>
          <w:color w:val="auto"/>
        </w:rPr>
      </w:pPr>
    </w:p>
    <w:p>
      <w:pPr>
        <w:ind w:left="1100" w:hanging="274"/>
        <w:spacing w:after="0" w:line="246" w:lineRule="auto"/>
        <w:tabs>
          <w:tab w:leader="none" w:pos="1097"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observed management's inventory count procedures close to the year-end date and performed independent sample counts and tested the Company’s roll-back of balances, between the time of the inventory count and December 31, 2023, or</w:t>
      </w:r>
    </w:p>
    <w:p>
      <w:pPr>
        <w:spacing w:after="0" w:line="39"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obtained confirmations to test the inventory held at third-party locations.</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sample of inventory, we obtained third-party invoices and other relevant documents to recalculate the vehicle cost.</w:t>
      </w:r>
    </w:p>
    <w:p>
      <w:pPr>
        <w:spacing w:after="0" w:line="70" w:lineRule="exact"/>
        <w:rPr>
          <w:rFonts w:ascii="Times New Roman" w:cs="Times New Roman" w:eastAsia="Times New Roman" w:hAnsi="Times New Roman"/>
          <w:sz w:val="15"/>
          <w:szCs w:val="15"/>
          <w:color w:val="auto"/>
        </w:rPr>
      </w:pPr>
    </w:p>
    <w:p>
      <w:pPr>
        <w:ind w:left="840" w:hanging="281"/>
        <w:spacing w:after="0" w:line="246" w:lineRule="auto"/>
        <w:tabs>
          <w:tab w:leader="none" w:pos="8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reasonableness of the Company’s methodology and key assumptions and judgments the Company used to estimate the net realizable value of inventory by performing the following:</w:t>
      </w:r>
    </w:p>
    <w:p>
      <w:pPr>
        <w:spacing w:after="0" w:line="51" w:lineRule="exact"/>
        <w:rPr>
          <w:rFonts w:ascii="Times New Roman" w:cs="Times New Roman" w:eastAsia="Times New Roman" w:hAnsi="Times New Roman"/>
          <w:sz w:val="15"/>
          <w:szCs w:val="15"/>
          <w:color w:val="auto"/>
        </w:rPr>
      </w:pPr>
    </w:p>
    <w:p>
      <w:pPr>
        <w:ind w:left="1100" w:hanging="274"/>
        <w:spacing w:after="0" w:line="246" w:lineRule="auto"/>
        <w:tabs>
          <w:tab w:leader="none" w:pos="1097"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benchmarked selling prices to observable data to evaluate the impact of changes in the significant assumptions of net realizable value within the inventories to the carrying value.</w:t>
      </w:r>
    </w:p>
    <w:p>
      <w:pPr>
        <w:spacing w:after="0" w:line="39"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performed corroborating inquiries with the personnel responsible for sales forecasting to evaluate the reasonableness of the product demand forecasts.</w:t>
      </w:r>
    </w:p>
    <w:p>
      <w:pPr>
        <w:spacing w:after="0" w:line="82" w:lineRule="exact"/>
        <w:rPr>
          <w:rFonts w:ascii="Times New Roman" w:cs="Times New Roman" w:eastAsia="Times New Roman" w:hAnsi="Times New Roman"/>
          <w:sz w:val="15"/>
          <w:szCs w:val="15"/>
          <w:color w:val="auto"/>
        </w:rPr>
      </w:pPr>
    </w:p>
    <w:p>
      <w:pPr>
        <w:ind w:left="1100" w:right="20" w:hanging="274"/>
        <w:spacing w:after="0" w:line="246" w:lineRule="auto"/>
        <w:tabs>
          <w:tab w:leader="none" w:pos="112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made inquiries of various personnel in the Company including, but not limited to, finance and operations personnel about the expected timing of the introduction of new products.</w:t>
      </w:r>
    </w:p>
    <w:p>
      <w:pPr>
        <w:spacing w:after="0" w:line="39"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mathematical accuracy of management’s calculations.</w:t>
      </w:r>
    </w:p>
    <w:p>
      <w:pPr>
        <w:spacing w:after="0" w:line="82" w:lineRule="exact"/>
        <w:rPr>
          <w:rFonts w:ascii="Times New Roman" w:cs="Times New Roman" w:eastAsia="Times New Roman" w:hAnsi="Times New Roman"/>
          <w:sz w:val="15"/>
          <w:szCs w:val="15"/>
          <w:color w:val="auto"/>
        </w:rPr>
      </w:pPr>
    </w:p>
    <w:p>
      <w:pPr>
        <w:ind w:left="840" w:hanging="281"/>
        <w:spacing w:after="0" w:line="246" w:lineRule="auto"/>
        <w:tabs>
          <w:tab w:leader="none" w:pos="8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performed procedures to evaluate the sufficiency and appropriateness of audit evidence and the nature and extent of audit procedures performed in connection with forming our overall opinion on the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of tangible and definite-lived intangible assets of the Polestar 2 CGU — Refer to Note 2 to the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Critical Audit Matter Description</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Company’s evaluation of tangible and definite-lived intangible assets for impairment involves the comparison of the recoverable amount of each applicable cash generating unit (“CGU”), to its carrying value on at least an annual basis, in line with International Accounting Standard 36 Impairment of Assets. An impairment loss is recognized if the recoverable amount is lower than the carrying value. The recoverable amount is determined based on the higher of value in use (VIU) and fair value less costs to dispose (FVLCD).</w:t>
      </w:r>
    </w:p>
    <w:p>
      <w:pPr>
        <w:spacing w:after="0"/>
        <w:rPr>
          <w:sz w:val="20"/>
          <w:szCs w:val="20"/>
          <w:color w:val="auto"/>
        </w:rPr>
      </w:pPr>
      <w:r>
        <w:rPr>
          <w:rFonts w:ascii="Times New Roman" w:cs="Times New Roman" w:eastAsia="Times New Roman" w:hAnsi="Times New Roman"/>
          <w:sz w:val="15"/>
          <w:szCs w:val="15"/>
          <w:color w:val="auto"/>
        </w:rPr>
        <w:t>The Company recorded an impairment of $340 million relating to the Polestar 2 CGU during the period.</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Management’s value in use analysis is based on the 2024-2028 business plan. We identified the valuation of the Polestar 2 CGU as a critical audit matter because of the significant estimates and assumptions management made in the value in use calculation related to future revenues, volumes, EBITDA margin, discount rate and change in net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Auditing the significant judgements and assumptions required a high degree of auditor judgement and increased audit effort, including the need to involve our valuation specialists.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8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intangible asset valuation included, but were not limited to:</w:t>
      </w:r>
    </w:p>
    <w:p>
      <w:pPr>
        <w:spacing w:after="0" w:line="82" w:lineRule="exact"/>
        <w:rPr>
          <w:sz w:val="20"/>
          <w:szCs w:val="20"/>
          <w:color w:val="auto"/>
        </w:rPr>
      </w:pPr>
    </w:p>
    <w:p>
      <w:pPr>
        <w:ind w:left="840" w:hanging="281"/>
        <w:spacing w:after="0"/>
        <w:tabs>
          <w:tab w:leader="none" w:pos="8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assessed the key assumptions used in calculating VIU including future revenue, volumes, EBITDA margins, and change in working capital by:</w:t>
      </w:r>
    </w:p>
    <w:p>
      <w:pPr>
        <w:spacing w:after="0" w:line="70"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comparing forecasted vehicles volumes to industry analyst coverage.</w:t>
      </w:r>
    </w:p>
    <w:p>
      <w:pPr>
        <w:spacing w:after="0" w:line="70" w:lineRule="exact"/>
        <w:rPr>
          <w:rFonts w:ascii="Times New Roman" w:cs="Times New Roman" w:eastAsia="Times New Roman" w:hAnsi="Times New Roman"/>
          <w:sz w:val="15"/>
          <w:szCs w:val="15"/>
          <w:color w:val="auto"/>
        </w:rPr>
      </w:pPr>
    </w:p>
    <w:p>
      <w:pPr>
        <w:ind w:left="1100" w:right="20" w:hanging="274"/>
        <w:spacing w:after="0" w:line="263" w:lineRule="auto"/>
        <w:tabs>
          <w:tab w:leader="none" w:pos="1108"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comparing the assumptions used in the forecasts to the Company’s historical trends in forecasted sales volume, revenue per car, gross profit (loss) per car and capital expenditure.</w:t>
      </w:r>
    </w:p>
    <w:p>
      <w:pPr>
        <w:spacing w:after="0" w:line="27"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comparing forecasted revenue, profitability margin, and capital expenditure assumptions to preliminary recorded results from subsequent periods.</w:t>
      </w:r>
    </w:p>
    <w:p>
      <w:pPr>
        <w:spacing w:after="0" w:line="70" w:lineRule="exact"/>
        <w:rPr>
          <w:rFonts w:ascii="Times New Roman" w:cs="Times New Roman" w:eastAsia="Times New Roman" w:hAnsi="Times New Roman"/>
          <w:sz w:val="15"/>
          <w:szCs w:val="15"/>
          <w:color w:val="auto"/>
        </w:rPr>
      </w:pPr>
    </w:p>
    <w:p>
      <w:pPr>
        <w:ind w:left="840" w:hanging="281"/>
        <w:spacing w:after="0" w:line="263" w:lineRule="auto"/>
        <w:tabs>
          <w:tab w:leader="none" w:pos="8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assistance of our valuation specialists, we evaluated the discount rate, including testing the underlying source information and the mathematical accuracy of the calculations, and developing a range of independent estimates and comparing those to the discount rate selected by management.</w:t>
      </w:r>
    </w:p>
    <w:p>
      <w:pPr>
        <w:spacing w:after="0" w:line="27"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management’s ability to accurately forecast revenue, volumes, EBITDA margins, change in working capital by comparing actual results to management’s historical forecasts, the Company’s historical results, external analyst reports and internal communications to management and the Board of Directors.</w:t>
      </w:r>
    </w:p>
    <w:p>
      <w:pPr>
        <w:spacing w:after="0" w:line="51" w:lineRule="exact"/>
        <w:rPr>
          <w:rFonts w:ascii="Times New Roman" w:cs="Times New Roman" w:eastAsia="Times New Roman" w:hAnsi="Times New Roman"/>
          <w:sz w:val="15"/>
          <w:szCs w:val="15"/>
          <w:color w:val="auto"/>
        </w:rPr>
      </w:pPr>
    </w:p>
    <w:p>
      <w:pPr>
        <w:jc w:val="both"/>
        <w:ind w:left="840" w:hanging="281"/>
        <w:spacing w:after="0" w:line="232" w:lineRule="auto"/>
        <w:tabs>
          <w:tab w:leader="none" w:pos="8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assistance of our valuation specialists, we further evaluated the Company’s sensitivity analysis by comparing to our own sensitivity analysis to corroborate the disclosures around assumptions that are most sensitive to a reasonably possible change that could cause the carrying amount to exceed its recoverable amount for a cash generating unit.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/s/ </w:t>
      </w:r>
      <w:r>
        <w:rPr>
          <w:rFonts w:ascii="Times New Roman" w:cs="Times New Roman" w:eastAsia="Times New Roman" w:hAnsi="Times New Roman"/>
          <w:sz w:val="15"/>
          <w:szCs w:val="15"/>
          <w:color w:val="auto"/>
        </w:rPr>
        <w:t>Deloitte AB</w:t>
      </w:r>
    </w:p>
    <w:p>
      <w:pPr>
        <w:spacing w:after="0"/>
        <w:rPr>
          <w:sz w:val="20"/>
          <w:szCs w:val="20"/>
          <w:color w:val="auto"/>
        </w:rPr>
      </w:pPr>
      <w:r>
        <w:rPr>
          <w:rFonts w:ascii="Times New Roman" w:cs="Times New Roman" w:eastAsia="Times New Roman" w:hAnsi="Times New Roman"/>
          <w:sz w:val="15"/>
          <w:szCs w:val="15"/>
          <w:color w:val="auto"/>
        </w:rPr>
        <w:t>Gothenburg, Sweden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August 14, 2024 (April 23, 2025 as to the effects of the current restatement discussed in Notes 2 and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2021.</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8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3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Polestar Automotive Holding UK PLC</w:t>
      </w:r>
    </w:p>
    <w:p>
      <w:pPr>
        <w:ind w:left="3840"/>
        <w:spacing w:after="0" w:line="225" w:lineRule="auto"/>
        <w:rPr>
          <w:sz w:val="20"/>
          <w:szCs w:val="20"/>
          <w:color w:val="auto"/>
        </w:rPr>
      </w:pPr>
      <w:r>
        <w:rPr>
          <w:rFonts w:ascii="Times New Roman" w:cs="Times New Roman" w:eastAsia="Times New Roman" w:hAnsi="Times New Roman"/>
          <w:sz w:val="15"/>
          <w:szCs w:val="15"/>
          <w:color w:val="auto"/>
        </w:rPr>
        <w:t>Consolidated Statement of Loss and Comprehensive Loss</w:t>
      </w:r>
    </w:p>
    <w:p>
      <w:pPr>
        <w:jc w:val="center"/>
        <w:ind w:right="-19"/>
        <w:spacing w:after="0"/>
        <w:rPr>
          <w:sz w:val="20"/>
          <w:szCs w:val="20"/>
          <w:color w:val="auto"/>
        </w:rPr>
      </w:pPr>
      <w:r>
        <w:rPr>
          <w:rFonts w:ascii="Times New Roman" w:cs="Times New Roman" w:eastAsia="Times New Roman" w:hAnsi="Times New Roman"/>
          <w:sz w:val="15"/>
          <w:szCs w:val="15"/>
          <w:color w:val="auto"/>
        </w:rPr>
        <w:t>(in thousands of U.S. dollars except per share data and unless otherwise stated)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 of Loss</w:t>
            </w:r>
          </w:p>
        </w:tc>
        <w:tc>
          <w:tcPr>
            <w:tcW w:w="540" w:type="dxa"/>
            <w:vAlign w:val="bottom"/>
            <w:tcBorders>
              <w:bottom w:val="single" w:sz="8" w:color="auto"/>
            </w:tcBorders>
            <w:shd w:val="clear" w:color="auto" w:fill="DBDBDB"/>
          </w:tcPr>
          <w:p>
            <w:pPr>
              <w:spacing w:after="0"/>
              <w:rPr>
                <w:sz w:val="17"/>
                <w:szCs w:val="17"/>
                <w:color w:val="auto"/>
              </w:rPr>
            </w:pPr>
          </w:p>
        </w:tc>
        <w:tc>
          <w:tcPr>
            <w:tcW w:w="376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6880" w:type="dxa"/>
            <w:vAlign w:val="bottom"/>
          </w:tcPr>
          <w:p>
            <w:pPr>
              <w:spacing w:after="0"/>
              <w:rPr>
                <w:sz w:val="16"/>
                <w:szCs w:val="16"/>
                <w:color w:val="auto"/>
              </w:rPr>
            </w:pPr>
          </w:p>
        </w:tc>
        <w:tc>
          <w:tcPr>
            <w:tcW w:w="54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Note</w:t>
            </w:r>
          </w:p>
        </w:tc>
        <w:tc>
          <w:tcPr>
            <w:tcW w:w="13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6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14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6880" w:type="dxa"/>
            <w:vAlign w:val="bottom"/>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30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1260" w:type="dxa"/>
            <w:vAlign w:val="bottom"/>
            <w:tcBorders>
              <w:bottom w:val="single" w:sz="8" w:color="auto"/>
            </w:tcBorders>
            <w:shd w:val="clear" w:color="auto" w:fill="DBDBDB"/>
          </w:tcPr>
          <w:p>
            <w:pPr>
              <w:jc w:val="center"/>
              <w:ind w:right="16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1140" w:type="dxa"/>
            <w:vAlign w:val="bottom"/>
            <w:tcBorders>
              <w:bottom w:val="single" w:sz="8" w:color="auto"/>
            </w:tcBorders>
            <w:shd w:val="clear" w:color="auto" w:fill="DBDBDB"/>
          </w:tcPr>
          <w:p>
            <w:pPr>
              <w:jc w:val="right"/>
              <w:ind w:right="20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r>
      <w:tr>
        <w:trPr>
          <w:trHeight w:val="188"/>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2,368,085</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2,440,818</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1,343,625</w:t>
            </w:r>
          </w:p>
        </w:tc>
      </w:tr>
      <w:tr>
        <w:trPr>
          <w:trHeight w:val="197"/>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5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w:t>
            </w: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(2,778,222)</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(2,339,696)</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(1,332,569)</w:t>
            </w:r>
          </w:p>
        </w:tc>
      </w:tr>
      <w:tr>
        <w:trPr>
          <w:trHeight w:val="188"/>
        </w:trPr>
        <w:tc>
          <w:tcPr>
            <w:tcW w:w="6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54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(410,137)</w:t>
            </w: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101,122</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11,056</w:t>
            </w:r>
          </w:p>
        </w:tc>
      </w:tr>
      <w:tr>
        <w:trPr>
          <w:trHeight w:val="188"/>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5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(944,177)</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(840,151)</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(686,957)</w:t>
            </w:r>
          </w:p>
        </w:tc>
      </w:tr>
      <w:tr>
        <w:trPr>
          <w:trHeight w:val="197"/>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(157,280)</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(174,916)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(234,019)</w:t>
            </w:r>
          </w:p>
        </w:tc>
      </w:tr>
      <w:tr>
        <w:trPr>
          <w:trHeight w:val="197"/>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operating income (expense), net</w:t>
            </w:r>
          </w:p>
        </w:tc>
        <w:tc>
          <w:tcPr>
            <w:tcW w:w="5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42,080</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(305)</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(50,716)</w:t>
            </w:r>
          </w:p>
        </w:tc>
      </w:tr>
      <w:tr>
        <w:trPr>
          <w:trHeight w:val="197"/>
        </w:trPr>
        <w:tc>
          <w:tcPr>
            <w:tcW w:w="6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540" w:type="dxa"/>
            <w:vAlign w:val="bottom"/>
            <w:tcBorders>
              <w:bottom w:val="single" w:sz="8" w:color="DBDBDB"/>
            </w:tcBorders>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(372,318)</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54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(1,469,514)</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(1,286,568)</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(960,636)</w:t>
            </w:r>
          </w:p>
        </w:tc>
      </w:tr>
      <w:tr>
        <w:trPr>
          <w:trHeight w:val="188"/>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Finance income</w:t>
            </w: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69,565</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8,552</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32,970</w:t>
            </w:r>
          </w:p>
        </w:tc>
      </w:tr>
      <w:tr>
        <w:trPr>
          <w:trHeight w:val="197"/>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Finance expense</w:t>
            </w:r>
          </w:p>
        </w:tc>
        <w:tc>
          <w:tcPr>
            <w:tcW w:w="5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(213,242)</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(108,402)</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(45,218)</w:t>
            </w:r>
          </w:p>
        </w:tc>
      </w:tr>
      <w:tr>
        <w:trPr>
          <w:trHeight w:val="197"/>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443,168</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902,068</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5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22,000</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35,090</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Share of losses in associates</w:t>
            </w:r>
          </w:p>
        </w:tc>
        <w:tc>
          <w:tcPr>
            <w:tcW w:w="540" w:type="dxa"/>
            <w:vAlign w:val="bottom"/>
            <w:tcBorders>
              <w:bottom w:val="single" w:sz="8" w:color="DBDBDB"/>
            </w:tcBorders>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(43,304)</w:t>
            </w: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54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(1,191,327)</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(449,260)</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(972,884)</w:t>
            </w:r>
          </w:p>
        </w:tc>
      </w:tr>
      <w:tr>
        <w:trPr>
          <w:trHeight w:val="188"/>
        </w:trPr>
        <w:tc>
          <w:tcPr>
            <w:tcW w:w="6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540" w:type="dxa"/>
            <w:vAlign w:val="bottom"/>
            <w:tcBorders>
              <w:bottom w:val="single" w:sz="8" w:color="DBDBDB"/>
            </w:tcBorders>
          </w:tcPr>
          <w:p>
            <w:pPr>
              <w:jc w:val="right"/>
              <w:ind w:right="23"/>
              <w:spacing w:after="0"/>
              <w:rPr>
                <w:sz w:val="20"/>
                <w:szCs w:val="20"/>
                <w:color w:val="auto"/>
              </w:rPr>
            </w:pPr>
            <w:r>
              <w:rPr>
                <w:rFonts w:ascii="Times New Roman" w:cs="Times New Roman" w:eastAsia="Times New Roman" w:hAnsi="Times New Roman"/>
                <w:sz w:val="15"/>
                <w:szCs w:val="15"/>
                <w:color w:val="auto"/>
              </w:rPr>
              <w:t>13</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9,452</w:t>
            </w: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(29,757)</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3,076</w:t>
            </w:r>
          </w:p>
        </w:tc>
      </w:tr>
      <w:tr>
        <w:trPr>
          <w:trHeight w:val="188"/>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54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(969,808)</w:t>
            </w:r>
          </w:p>
        </w:tc>
      </w:tr>
      <w:tr>
        <w:trPr>
          <w:trHeight w:val="177"/>
        </w:trPr>
        <w:tc>
          <w:tcPr>
            <w:tcW w:w="6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loss per share (in U.S. dollars)</w:t>
            </w: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6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Class A - Basic and Diluted</w:t>
            </w:r>
          </w:p>
        </w:tc>
        <w:tc>
          <w:tcPr>
            <w:tcW w:w="54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(0.56)</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(0.24)</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(0.51)</w:t>
            </w:r>
          </w:p>
        </w:tc>
      </w:tr>
      <w:tr>
        <w:trPr>
          <w:trHeight w:val="197"/>
        </w:trPr>
        <w:tc>
          <w:tcPr>
            <w:tcW w:w="6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Class B - Basic and Diluted</w:t>
            </w:r>
          </w:p>
        </w:tc>
        <w:tc>
          <w:tcPr>
            <w:tcW w:w="54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(0.56)</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w:t>
            </w:r>
          </w:p>
        </w:tc>
      </w:tr>
      <w:tr>
        <w:trPr>
          <w:trHeight w:val="220"/>
        </w:trPr>
        <w:tc>
          <w:tcPr>
            <w:tcW w:w="688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r>
      <w:tr>
        <w:trPr>
          <w:trHeight w:val="197"/>
        </w:trPr>
        <w:tc>
          <w:tcPr>
            <w:tcW w:w="6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 of Comprehensive Loss</w:t>
            </w: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2"/>
        </w:trPr>
        <w:tc>
          <w:tcPr>
            <w:tcW w:w="688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r>
      <w:tr>
        <w:trPr>
          <w:trHeight w:val="197"/>
        </w:trPr>
        <w:tc>
          <w:tcPr>
            <w:tcW w:w="6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54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(969,808)</w:t>
            </w:r>
          </w:p>
        </w:tc>
      </w:tr>
      <w:tr>
        <w:trPr>
          <w:trHeight w:val="197"/>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Other comprehensive (loss) income:</w:t>
            </w:r>
          </w:p>
        </w:tc>
        <w:tc>
          <w:tcPr>
            <w:tcW w:w="54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r>
      <w:tr>
        <w:trPr>
          <w:trHeight w:val="197"/>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Items that may be subsequently reclassified to the Consolidated Statement of Loss:</w:t>
            </w: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6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Exchange rate differences from translation of foreign operations</w:t>
            </w:r>
          </w:p>
        </w:tc>
        <w:tc>
          <w:tcPr>
            <w:tcW w:w="540" w:type="dxa"/>
            <w:vAlign w:val="bottom"/>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(10,143)</w:t>
            </w:r>
          </w:p>
        </w:tc>
        <w:tc>
          <w:tcPr>
            <w:tcW w:w="1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431</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(32,304)</w:t>
            </w:r>
          </w:p>
        </w:tc>
      </w:tr>
      <w:tr>
        <w:trPr>
          <w:trHeight w:val="188"/>
        </w:trPr>
        <w:tc>
          <w:tcPr>
            <w:tcW w:w="6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other comprehensive (loss) income</w:t>
            </w:r>
          </w:p>
        </w:tc>
        <w:tc>
          <w:tcPr>
            <w:tcW w:w="54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(10,143)</w:t>
            </w: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431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(32,304)</w:t>
            </w:r>
          </w:p>
        </w:tc>
      </w:tr>
      <w:tr>
        <w:trPr>
          <w:trHeight w:val="188"/>
        </w:trPr>
        <w:tc>
          <w:tcPr>
            <w:tcW w:w="6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54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(1,192,018)</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(478,586)</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(1,002,112)</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1 - Refer to </w:t>
      </w:r>
      <w:r>
        <w:rPr>
          <w:rFonts w:ascii="Times New Roman" w:cs="Times New Roman" w:eastAsia="Times New Roman" w:hAnsi="Times New Roman"/>
          <w:sz w:val="12"/>
          <w:szCs w:val="12"/>
          <w:i w:val="1"/>
          <w:iCs w:val="1"/>
          <w:color w:val="auto"/>
        </w:rPr>
        <w:t>Note 31 - Restatement of financial statements</w:t>
      </w:r>
      <w:r>
        <w:rPr>
          <w:rFonts w:ascii="Times New Roman" w:cs="Times New Roman" w:eastAsia="Times New Roman" w:hAnsi="Times New Roman"/>
          <w:sz w:val="12"/>
          <w:szCs w:val="12"/>
          <w:color w:val="auto"/>
        </w:rPr>
        <w:t xml:space="preserve"> for reconciliations between previously reported and as revised annual amounts.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8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Consolidated Statement of Financial Position</w:t>
      </w:r>
    </w:p>
    <w:tbl>
      <w:tblPr>
        <w:tblLayout w:type="fixed"/>
        <w:tblInd w:w="0"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800" w:type="dxa"/>
            <w:vAlign w:val="bottom"/>
            <w:gridSpan w:val="2"/>
          </w:tcPr>
          <w:p>
            <w:pPr>
              <w:jc w:val="center"/>
              <w:ind w:right="1323"/>
              <w:spacing w:after="0"/>
              <w:rPr>
                <w:sz w:val="20"/>
                <w:szCs w:val="20"/>
                <w:color w:val="auto"/>
              </w:rPr>
            </w:pPr>
            <w:r>
              <w:rPr>
                <w:rFonts w:ascii="Times New Roman" w:cs="Times New Roman" w:eastAsia="Times New Roman" w:hAnsi="Times New Roman"/>
                <w:sz w:val="15"/>
                <w:szCs w:val="15"/>
                <w:color w:val="auto"/>
              </w:rPr>
              <w:t>(in thousands of U.S. dollars unless otherwise stated)</w:t>
            </w: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gridSpan w:val="2"/>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spacing w:after="0"/>
              <w:rPr>
                <w:sz w:val="17"/>
                <w:szCs w:val="17"/>
                <w:color w:val="auto"/>
              </w:rPr>
            </w:pPr>
          </w:p>
        </w:tc>
        <w:tc>
          <w:tcPr>
            <w:tcW w:w="4120" w:type="dxa"/>
            <w:vAlign w:val="bottom"/>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2500" w:type="dxa"/>
            <w:vAlign w:val="bottom"/>
            <w:tcBorders>
              <w:bottom w:val="single" w:sz="8" w:color="auto"/>
            </w:tcBorders>
            <w:gridSpan w:val="2"/>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As of the year ended December 31,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Note</w:t>
            </w:r>
          </w:p>
        </w:tc>
        <w:tc>
          <w:tcPr>
            <w:tcW w:w="13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4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spacing w:after="0"/>
              <w:rPr>
                <w:sz w:val="17"/>
                <w:szCs w:val="17"/>
                <w:color w:val="auto"/>
              </w:rPr>
            </w:pPr>
          </w:p>
        </w:tc>
        <w:tc>
          <w:tcPr>
            <w:tcW w:w="4120" w:type="dxa"/>
            <w:vAlign w:val="bottom"/>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30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1140" w:type="dxa"/>
            <w:vAlign w:val="bottom"/>
            <w:tcBorders>
              <w:bottom w:val="single" w:sz="8" w:color="auto"/>
            </w:tcBorders>
            <w:shd w:val="clear" w:color="auto" w:fill="DBDBDB"/>
          </w:tcPr>
          <w:p>
            <w:pPr>
              <w:jc w:val="right"/>
              <w:ind w:right="18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Non-current assets</w:t>
            </w:r>
          </w:p>
        </w:tc>
        <w:tc>
          <w:tcPr>
            <w:tcW w:w="412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Intangible assets and goodwill</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15</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1,418,707</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1,393,539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12, 16</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476,039</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352,340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Vehicles under operating leases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12</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70,223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17</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9,733</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assets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13</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42,336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investments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17</w:t>
            </w:r>
          </w:p>
        </w:tc>
        <w:tc>
          <w:tcPr>
            <w:tcW w:w="13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2,414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412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2,019,452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1,863,053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4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17</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768,264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973,877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19</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126,716</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241,432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receivables - related parties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19, 27</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61,026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Accrued income - related parties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27</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152,605</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49,060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20</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927,686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Current tax assets</w:t>
            </w:r>
          </w:p>
        </w:tc>
        <w:tc>
          <w:tcPr>
            <w:tcW w:w="412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12,657</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Assets held for sale</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28</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current assets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21</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214,228</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109,747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Other current assets - related parties</w:t>
            </w:r>
          </w:p>
        </w:tc>
        <w:tc>
          <w:tcPr>
            <w:tcW w:w="4800" w:type="dxa"/>
            <w:vAlign w:val="bottom"/>
            <w:tcBorders>
              <w:bottom w:val="single" w:sz="8" w:color="DBDBDB"/>
            </w:tcBorders>
            <w:gridSpan w:val="2"/>
          </w:tcPr>
          <w:p>
            <w:pPr>
              <w:ind w:left="4160"/>
              <w:spacing w:after="0"/>
              <w:rPr>
                <w:sz w:val="20"/>
                <w:szCs w:val="20"/>
                <w:color w:val="auto"/>
              </w:rPr>
            </w:pPr>
            <w:r>
              <w:rPr>
                <w:rFonts w:ascii="Times New Roman" w:cs="Times New Roman" w:eastAsia="Times New Roman" w:hAnsi="Times New Roman"/>
                <w:sz w:val="15"/>
                <w:szCs w:val="15"/>
                <w:color w:val="auto"/>
              </w:rPr>
              <w:t>27</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9,576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412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2,272,758</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2,146,680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412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4,292,210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4,009,733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4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Share capital</w:t>
            </w: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(21,168)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contributed capital</w:t>
            </w:r>
          </w:p>
        </w:tc>
        <w:tc>
          <w:tcPr>
            <w:tcW w:w="412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(3,615,187)</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(3,584,232)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currency translation reserve</w:t>
            </w: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25,639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Accumulated deficit</w:t>
            </w:r>
          </w:p>
        </w:tc>
        <w:tc>
          <w:tcPr>
            <w:tcW w:w="412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4,861,707</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3,679,832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4800" w:type="dxa"/>
            <w:vAlign w:val="bottom"/>
            <w:tcBorders>
              <w:bottom w:val="single" w:sz="8" w:color="DBDBDB"/>
            </w:tcBorders>
            <w:gridSpan w:val="2"/>
          </w:tcPr>
          <w:p>
            <w:pPr>
              <w:ind w:left="4160"/>
              <w:spacing w:after="0"/>
              <w:rPr>
                <w:sz w:val="20"/>
                <w:szCs w:val="20"/>
                <w:color w:val="auto"/>
              </w:rPr>
            </w:pPr>
            <w:r>
              <w:rPr>
                <w:rFonts w:ascii="Times New Roman" w:cs="Times New Roman" w:eastAsia="Times New Roman" w:hAnsi="Times New Roman"/>
                <w:sz w:val="15"/>
                <w:szCs w:val="15"/>
                <w:color w:val="auto"/>
              </w:rPr>
              <w:t>22</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1,250,991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89,931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Non-current contract liabilities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4</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(63,153)</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liabilities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13</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(3,335)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provisions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23</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(103,608)</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24</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(127,423)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Earn-out liability</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(155,402)</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(598,570)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interest-bearing liabilities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12, 17</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(54,439)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interest-bearing liabilities - related parties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27</w:t>
            </w: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(1,413,257)</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412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(1,920,617)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(912,946)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4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payables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17</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(92,441)</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payables - related parties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17, 27</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(275,704)</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(935,161)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expenses - related parties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27</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(446,038)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Advance payments from customers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17</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(16,415)</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provisions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23</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(88,745)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Liabilities to credit institutions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25</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(2,026,665)</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(1,327,102)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tax liabilities</w:t>
            </w: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(11,363)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Interest-bearing current liabilities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12, 17</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(19,547)</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(11,935)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Interest-bearing current liabilities - related parties</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27</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(73,814)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Current contract liabilities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4</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(74,879)</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Class C Shares liability</w:t>
            </w:r>
          </w:p>
        </w:tc>
        <w:tc>
          <w:tcPr>
            <w:tcW w:w="4800" w:type="dxa"/>
            <w:vAlign w:val="bottom"/>
            <w:gridSpan w:val="2"/>
          </w:tcPr>
          <w:p>
            <w:pPr>
              <w:ind w:left="4160"/>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(6,000)</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4800" w:type="dxa"/>
            <w:vAlign w:val="bottom"/>
            <w:gridSpan w:val="2"/>
            <w:shd w:val="clear" w:color="auto" w:fill="DBDBDB"/>
          </w:tcPr>
          <w:p>
            <w:pPr>
              <w:ind w:left="4160"/>
              <w:spacing w:after="0"/>
              <w:rPr>
                <w:sz w:val="20"/>
                <w:szCs w:val="20"/>
                <w:color w:val="auto"/>
              </w:rPr>
            </w:pPr>
            <w:r>
              <w:rPr>
                <w:rFonts w:ascii="Times New Roman" w:cs="Times New Roman" w:eastAsia="Times New Roman" w:hAnsi="Times New Roman"/>
                <w:sz w:val="15"/>
                <w:szCs w:val="15"/>
                <w:color w:val="auto"/>
              </w:rPr>
              <w:t>24</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(489,747)</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(382,375)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8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Other current liabilities - related parties</w:t>
            </w:r>
          </w:p>
        </w:tc>
        <w:tc>
          <w:tcPr>
            <w:tcW w:w="4800" w:type="dxa"/>
            <w:vAlign w:val="bottom"/>
            <w:tcBorders>
              <w:bottom w:val="single" w:sz="8" w:color="DBDBDB"/>
            </w:tcBorders>
            <w:gridSpan w:val="2"/>
          </w:tcPr>
          <w:p>
            <w:pPr>
              <w:ind w:left="4160"/>
              <w:spacing w:after="0"/>
              <w:rPr>
                <w:sz w:val="20"/>
                <w:szCs w:val="20"/>
                <w:color w:val="auto"/>
              </w:rPr>
            </w:pPr>
            <w:r>
              <w:rPr>
                <w:rFonts w:ascii="Times New Roman" w:cs="Times New Roman" w:eastAsia="Times New Roman" w:hAnsi="Times New Roman"/>
                <w:sz w:val="15"/>
                <w:szCs w:val="15"/>
                <w:color w:val="auto"/>
              </w:rPr>
              <w:t>27</w:t>
            </w: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(1,226)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(69,062)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412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(3,622,584)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(3,186,718)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9"/>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800" w:type="dxa"/>
            <w:vAlign w:val="bottom"/>
            <w:gridSpan w:val="2"/>
          </w:tcPr>
          <w:p>
            <w:pPr>
              <w:jc w:val="center"/>
              <w:ind w:right="1303"/>
              <w:spacing w:after="0"/>
              <w:rPr>
                <w:sz w:val="20"/>
                <w:szCs w:val="20"/>
                <w:color w:val="auto"/>
              </w:rPr>
            </w:pPr>
            <w:r>
              <w:rPr>
                <w:rFonts w:ascii="Times New Roman" w:cs="Times New Roman" w:eastAsia="Times New Roman" w:hAnsi="Times New Roman"/>
                <w:sz w:val="15"/>
                <w:szCs w:val="15"/>
                <w:color w:val="auto"/>
              </w:rPr>
              <w:t>F-7</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8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8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86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8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(5,543,201)</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(4,099,664)</w:t>
            </w:r>
          </w:p>
        </w:tc>
      </w:tr>
      <w:tr>
        <w:trPr>
          <w:trHeight w:val="188"/>
        </w:trPr>
        <w:tc>
          <w:tcPr>
            <w:tcW w:w="86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equity and liabilities</w:t>
            </w:r>
          </w:p>
        </w:tc>
        <w:tc>
          <w:tcPr>
            <w:tcW w:w="148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(4,292,210)</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(4,009,733)</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1 - Refer to </w:t>
      </w:r>
      <w:r>
        <w:rPr>
          <w:rFonts w:ascii="Times New Roman" w:cs="Times New Roman" w:eastAsia="Times New Roman" w:hAnsi="Times New Roman"/>
          <w:sz w:val="12"/>
          <w:szCs w:val="12"/>
          <w:i w:val="1"/>
          <w:iCs w:val="1"/>
          <w:color w:val="auto"/>
        </w:rPr>
        <w:t>Note 31 - Restatement of financial statements</w:t>
      </w:r>
      <w:r>
        <w:rPr>
          <w:rFonts w:ascii="Times New Roman" w:cs="Times New Roman" w:eastAsia="Times New Roman" w:hAnsi="Times New Roman"/>
          <w:sz w:val="12"/>
          <w:szCs w:val="12"/>
          <w:color w:val="auto"/>
        </w:rPr>
        <w:t xml:space="preserve"> for reconciliations between previously reported and as revised annual amounts.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8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Polestar Automotive Holding UK PLC</w:t>
      </w:r>
    </w:p>
    <w:p>
      <w:pPr>
        <w:ind w:left="4220"/>
        <w:spacing w:after="0" w:line="217" w:lineRule="auto"/>
        <w:rPr>
          <w:sz w:val="20"/>
          <w:szCs w:val="20"/>
          <w:color w:val="auto"/>
        </w:rPr>
      </w:pPr>
      <w:r>
        <w:rPr>
          <w:rFonts w:ascii="Times New Roman" w:cs="Times New Roman" w:eastAsia="Times New Roman" w:hAnsi="Times New Roman"/>
          <w:sz w:val="15"/>
          <w:szCs w:val="15"/>
          <w:color w:val="auto"/>
        </w:rPr>
        <w:t>Consolidated Statement of Changes in Equity</w:t>
      </w:r>
    </w:p>
    <w:p>
      <w:pPr>
        <w:jc w:val="center"/>
        <w:ind w:right="20"/>
        <w:spacing w:after="0"/>
        <w:rPr>
          <w:sz w:val="20"/>
          <w:szCs w:val="20"/>
          <w:color w:val="auto"/>
        </w:rPr>
      </w:pPr>
      <w:r>
        <w:rPr>
          <w:rFonts w:ascii="Times New Roman" w:cs="Times New Roman" w:eastAsia="Times New Roman" w:hAnsi="Times New Roman"/>
          <w:sz w:val="15"/>
          <w:szCs w:val="15"/>
          <w:color w:val="auto"/>
        </w:rPr>
        <w:t>(in thousands of U.S. dollars unless otherwise 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380" w:type="dxa"/>
            <w:vAlign w:val="bottom"/>
            <w:vMerge w:val="restart"/>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Other contributed</w:t>
            </w:r>
          </w:p>
        </w:tc>
        <w:tc>
          <w:tcPr>
            <w:tcW w:w="1220" w:type="dxa"/>
            <w:vAlign w:val="bottom"/>
            <w:shd w:val="clear" w:color="auto" w:fill="DBDBDB"/>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240" w:type="dxa"/>
            <w:vAlign w:val="bottom"/>
            <w:tcBorders>
              <w:right w:val="single" w:sz="8" w:color="auto"/>
            </w:tcBorders>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4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40" w:type="dxa"/>
            <w:vAlign w:val="bottom"/>
            <w:shd w:val="clear" w:color="auto" w:fill="DBDBDB"/>
          </w:tcPr>
          <w:p>
            <w:pPr>
              <w:spacing w:after="0"/>
              <w:rPr>
                <w:sz w:val="13"/>
                <w:szCs w:val="13"/>
                <w:color w:val="auto"/>
              </w:rPr>
            </w:pPr>
          </w:p>
        </w:tc>
        <w:tc>
          <w:tcPr>
            <w:tcW w:w="6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Note</w:t>
            </w:r>
          </w:p>
        </w:tc>
        <w:tc>
          <w:tcPr>
            <w:tcW w:w="1240" w:type="dxa"/>
            <w:vAlign w:val="bottom"/>
            <w:vMerge w:val="restart"/>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1380" w:type="dxa"/>
            <w:vAlign w:val="bottom"/>
            <w:vMerge w:val="continue"/>
            <w:shd w:val="clear" w:color="auto" w:fill="DBDBDB"/>
          </w:tcPr>
          <w:p>
            <w:pPr>
              <w:spacing w:after="0"/>
              <w:rPr>
                <w:sz w:val="13"/>
                <w:szCs w:val="13"/>
                <w:color w:val="auto"/>
              </w:rPr>
            </w:pPr>
          </w:p>
        </w:tc>
        <w:tc>
          <w:tcPr>
            <w:tcW w:w="1220" w:type="dxa"/>
            <w:vAlign w:val="bottom"/>
            <w:shd w:val="clear" w:color="auto" w:fill="DBDBDB"/>
          </w:tcPr>
          <w:p>
            <w:pPr>
              <w:jc w:val="center"/>
              <w:ind w:right="143"/>
              <w:spacing w:after="0" w:line="151"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40" w:type="dxa"/>
            <w:vAlign w:val="bottom"/>
            <w:tcBorders>
              <w:right w:val="single" w:sz="8" w:color="auto"/>
            </w:tcBorders>
            <w:vMerge w:val="continue"/>
            <w:shd w:val="clear" w:color="auto" w:fill="DBDBDB"/>
          </w:tcPr>
          <w:p>
            <w:pPr>
              <w:spacing w:after="0"/>
              <w:rPr>
                <w:sz w:val="13"/>
                <w:szCs w:val="13"/>
                <w:color w:val="auto"/>
              </w:rPr>
            </w:pPr>
          </w:p>
        </w:tc>
        <w:tc>
          <w:tcPr>
            <w:tcW w:w="1240" w:type="dxa"/>
            <w:vAlign w:val="bottom"/>
            <w:vMerge w:val="restart"/>
            <w:shd w:val="clear" w:color="auto" w:fill="DBDBDB"/>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shd w:val="clear" w:color="auto" w:fill="DBDBDB"/>
          </w:tcPr>
          <w:p>
            <w:pPr>
              <w:spacing w:after="0"/>
              <w:rPr>
                <w:sz w:val="18"/>
                <w:szCs w:val="18"/>
                <w:color w:val="auto"/>
              </w:rPr>
            </w:pPr>
          </w:p>
        </w:tc>
        <w:tc>
          <w:tcPr>
            <w:tcW w:w="660" w:type="dxa"/>
            <w:vAlign w:val="bottom"/>
            <w:tcBorders>
              <w:bottom w:val="single" w:sz="8" w:color="auto"/>
            </w:tcBorders>
            <w:vMerge w:val="continue"/>
            <w:shd w:val="clear" w:color="auto" w:fill="DBDBDB"/>
          </w:tcPr>
          <w:p>
            <w:pPr>
              <w:spacing w:after="0"/>
              <w:rPr>
                <w:sz w:val="18"/>
                <w:szCs w:val="18"/>
                <w:color w:val="auto"/>
              </w:rPr>
            </w:pPr>
          </w:p>
        </w:tc>
        <w:tc>
          <w:tcPr>
            <w:tcW w:w="1240" w:type="dxa"/>
            <w:vAlign w:val="bottom"/>
            <w:tcBorders>
              <w:bottom w:val="single" w:sz="8" w:color="auto"/>
            </w:tcBorders>
            <w:vMerge w:val="continue"/>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20" w:type="dxa"/>
            <w:vAlign w:val="bottom"/>
            <w:tcBorders>
              <w:bottom w:val="single" w:sz="8" w:color="auto"/>
            </w:tcBorders>
            <w:shd w:val="clear" w:color="auto" w:fill="DBDBDB"/>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1240" w:type="dxa"/>
            <w:vAlign w:val="bottom"/>
            <w:tcBorders>
              <w:bottom w:val="single" w:sz="8" w:color="auto"/>
              <w:right w:val="single" w:sz="8" w:color="auto"/>
            </w:tcBorders>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240" w:type="dxa"/>
            <w:vAlign w:val="bottom"/>
            <w:tcBorders>
              <w:bottom w:val="single" w:sz="8" w:color="auto"/>
            </w:tcBorders>
            <w:vMerge w:val="continue"/>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January 1, 2021 - (Restated)</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(1,318,752)</w:t>
            </w: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(16,377)</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731,881</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(603,248)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Net loss - (Restated)</w:t>
            </w:r>
          </w:p>
        </w:tc>
        <w:tc>
          <w:tcPr>
            <w:tcW w:w="6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969,808</w:t>
            </w:r>
          </w:p>
        </w:tc>
        <w:tc>
          <w:tcPr>
            <w:tcW w:w="12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969,808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loss - (Restated)</w:t>
            </w:r>
          </w:p>
        </w:tc>
        <w:tc>
          <w:tcPr>
            <w:tcW w:w="660" w:type="dxa"/>
            <w:vAlign w:val="bottom"/>
            <w:tcBorders>
              <w:bottom w:val="single" w:sz="8" w:color="DBDBDB"/>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32,304</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loss - (Restated)</w:t>
            </w:r>
          </w:p>
        </w:tc>
        <w:tc>
          <w:tcPr>
            <w:tcW w:w="660" w:type="dxa"/>
            <w:vAlign w:val="bottom"/>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32,304</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969,808</w:t>
            </w: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1,002,112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Convertible Notes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(35,231)</w:t>
            </w: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Issuance of new shares</w:t>
            </w: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(547,157)</w:t>
            </w:r>
          </w:p>
        </w:tc>
        <w:tc>
          <w:tcPr>
            <w:tcW w:w="13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(547,157)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2021 - (Restated)</w:t>
            </w:r>
          </w:p>
        </w:tc>
        <w:tc>
          <w:tcPr>
            <w:tcW w:w="660" w:type="dxa"/>
            <w:vAlign w:val="bottom"/>
            <w:tcBorders>
              <w:bottom w:val="single" w:sz="8" w:color="DBDBDB"/>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(1,865,909)</w:t>
            </w:r>
          </w:p>
        </w:tc>
        <w:tc>
          <w:tcPr>
            <w:tcW w:w="1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(35,231)</w:t>
            </w: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15,927</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1,701,689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(183,524)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Net loss - (Restated)</w:t>
            </w:r>
          </w:p>
        </w:tc>
        <w:tc>
          <w:tcPr>
            <w:tcW w:w="66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479,017</w:t>
            </w:r>
          </w:p>
        </w:tc>
        <w:tc>
          <w:tcPr>
            <w:tcW w:w="12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479,017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income - (Restated)</w:t>
            </w:r>
          </w:p>
        </w:tc>
        <w:tc>
          <w:tcPr>
            <w:tcW w:w="660" w:type="dxa"/>
            <w:vAlign w:val="bottom"/>
            <w:tcBorders>
              <w:bottom w:val="single" w:sz="8" w:color="DBDBDB"/>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(431)</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loss - (Restated)</w:t>
            </w:r>
          </w:p>
        </w:tc>
        <w:tc>
          <w:tcPr>
            <w:tcW w:w="660" w:type="dxa"/>
            <w:vAlign w:val="bottom"/>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(431)</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478,586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Merger with Gores Guggenheim Inc.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Changes in the consolidated group</w:t>
            </w:r>
          </w:p>
        </w:tc>
        <w:tc>
          <w:tcPr>
            <w:tcW w:w="6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1,846,472</w:t>
            </w:r>
          </w:p>
        </w:tc>
        <w:tc>
          <w:tcPr>
            <w:tcW w:w="138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(1,846,472)</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(1,512)</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Issuance of Volvo Cars Preference Shares</w:t>
            </w: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(588,237)</w:t>
            </w: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Issuance to Convertible Note holders</w:t>
            </w:r>
          </w:p>
        </w:tc>
        <w:tc>
          <w:tcPr>
            <w:tcW w:w="6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3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43</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Issuance to PIPE investors</w:t>
            </w: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(249,735)</w:t>
            </w: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Issuance to GGI shareholders</w:t>
            </w:r>
          </w:p>
        </w:tc>
        <w:tc>
          <w:tcPr>
            <w:tcW w:w="6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138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(521,285)</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(522,107)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Listing expense</w:t>
            </w: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(372,318)</w:t>
            </w: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Transaction costs</w:t>
            </w:r>
          </w:p>
        </w:tc>
        <w:tc>
          <w:tcPr>
            <w:tcW w:w="6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38,903</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38,903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Earn-out rights</w:t>
            </w:r>
          </w:p>
        </w:tc>
        <w:tc>
          <w:tcPr>
            <w:tcW w:w="6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1,500,638</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1,500,638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Equity-settled share-based payment</w:t>
            </w: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8, 22</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38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(9,900)</w:t>
            </w:r>
          </w:p>
        </w:tc>
        <w:tc>
          <w:tcPr>
            <w:tcW w:w="122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660" w:type="dxa"/>
            <w:vAlign w:val="bottom"/>
            <w:tcBorders>
              <w:bottom w:val="single" w:sz="8" w:color="DBDBDB"/>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(21,165)</w:t>
            </w:r>
          </w:p>
        </w:tc>
        <w:tc>
          <w:tcPr>
            <w:tcW w:w="1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(3,584,232)</w:t>
            </w: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15,496</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3,679,832</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89,931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Net loss - (Restated)</w:t>
            </w:r>
          </w:p>
        </w:tc>
        <w:tc>
          <w:tcPr>
            <w:tcW w:w="66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1,181,875</w:t>
            </w:r>
          </w:p>
        </w:tc>
        <w:tc>
          <w:tcPr>
            <w:tcW w:w="12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1,181,875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loss - (Restated)</w:t>
            </w:r>
          </w:p>
        </w:tc>
        <w:tc>
          <w:tcPr>
            <w:tcW w:w="660" w:type="dxa"/>
            <w:vAlign w:val="bottom"/>
            <w:tcBorders>
              <w:bottom w:val="single" w:sz="8" w:color="DBDBDB"/>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10,143</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loss - (Restated)</w:t>
            </w:r>
          </w:p>
        </w:tc>
        <w:tc>
          <w:tcPr>
            <w:tcW w:w="660" w:type="dxa"/>
            <w:vAlign w:val="bottom"/>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10,143</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1,192,018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Equity-settled share-based payment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8, 22</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(5,390)</w:t>
            </w: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Related party capital contribution</w:t>
            </w: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22, 27</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(25,565)</w:t>
            </w:r>
          </w:p>
        </w:tc>
        <w:tc>
          <w:tcPr>
            <w:tcW w:w="122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6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(21,168)</w:t>
            </w:r>
          </w:p>
        </w:tc>
        <w:tc>
          <w:tcPr>
            <w:tcW w:w="13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(3,615,187)</w:t>
            </w: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25,639</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4,861,707</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1,250,991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F-9</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9A9A9A"/>
            </w:tcBorders>
          </w:tcPr>
          <w:p>
            <w:pPr>
              <w:spacing w:after="0"/>
              <w:rPr>
                <w:sz w:val="6"/>
                <w:szCs w:val="6"/>
                <w:color w:val="auto"/>
              </w:rPr>
            </w:pPr>
          </w:p>
        </w:tc>
        <w:tc>
          <w:tcPr>
            <w:tcW w:w="42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8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8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color w:val="auto"/>
        </w:rPr>
        <w:t>Polestar Automotive Holding UK PLC</w:t>
      </w:r>
    </w:p>
    <w:p>
      <w:pPr>
        <w:ind w:left="4420"/>
        <w:spacing w:after="0" w:line="225" w:lineRule="auto"/>
        <w:rPr>
          <w:sz w:val="20"/>
          <w:szCs w:val="20"/>
          <w:color w:val="auto"/>
        </w:rPr>
      </w:pPr>
      <w:r>
        <w:rPr>
          <w:rFonts w:ascii="Times New Roman" w:cs="Times New Roman" w:eastAsia="Times New Roman" w:hAnsi="Times New Roman"/>
          <w:sz w:val="15"/>
          <w:szCs w:val="15"/>
          <w:color w:val="auto"/>
        </w:rPr>
        <w:t>Consolidated Statement of Cash Flows</w:t>
      </w:r>
    </w:p>
    <w:p>
      <w:pPr>
        <w:jc w:val="center"/>
        <w:ind w:right="20"/>
        <w:spacing w:after="0"/>
        <w:rPr>
          <w:sz w:val="20"/>
          <w:szCs w:val="20"/>
          <w:color w:val="auto"/>
        </w:rPr>
      </w:pPr>
      <w:r>
        <w:rPr>
          <w:rFonts w:ascii="Times New Roman" w:cs="Times New Roman" w:eastAsia="Times New Roman" w:hAnsi="Times New Roman"/>
          <w:sz w:val="15"/>
          <w:szCs w:val="15"/>
          <w:color w:val="auto"/>
        </w:rPr>
        <w:t>(in thousands of U.S. dollars unless otherwise stated)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160" w:type="dxa"/>
            <w:vAlign w:val="bottom"/>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spacing w:after="0"/>
              <w:rPr>
                <w:sz w:val="15"/>
                <w:szCs w:val="15"/>
                <w:color w:val="auto"/>
              </w:rPr>
            </w:pPr>
          </w:p>
        </w:tc>
        <w:tc>
          <w:tcPr>
            <w:tcW w:w="2620" w:type="dxa"/>
            <w:vAlign w:val="bottom"/>
            <w:tcBorders>
              <w:bottom w:val="single" w:sz="8" w:color="auto"/>
            </w:tcBorders>
            <w:gridSpan w:val="2"/>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140" w:type="dxa"/>
            <w:vAlign w:val="bottom"/>
            <w:tcBorders>
              <w:bottom w:val="single" w:sz="8" w:color="auto"/>
            </w:tcBorders>
            <w:shd w:val="clear" w:color="auto" w:fill="DBDBDB"/>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30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Note</w:t>
            </w:r>
          </w:p>
        </w:tc>
        <w:tc>
          <w:tcPr>
            <w:tcW w:w="13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14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30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1260" w:type="dxa"/>
            <w:vAlign w:val="bottom"/>
            <w:tcBorders>
              <w:bottom w:val="single" w:sz="8" w:color="auto"/>
            </w:tcBorders>
            <w:shd w:val="clear" w:color="auto" w:fill="DBDBDB"/>
          </w:tcPr>
          <w:p>
            <w:pPr>
              <w:jc w:val="right"/>
              <w:ind w:right="30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1140" w:type="dxa"/>
            <w:vAlign w:val="bottom"/>
            <w:tcBorders>
              <w:bottom w:val="single" w:sz="8" w:color="auto"/>
            </w:tcBorders>
            <w:shd w:val="clear" w:color="auto" w:fill="DBDBDB"/>
          </w:tcPr>
          <w:p>
            <w:pPr>
              <w:jc w:val="right"/>
              <w:ind w:right="183"/>
              <w:spacing w:after="0" w:line="197" w:lineRule="exact"/>
              <w:rPr>
                <w:sz w:val="20"/>
                <w:szCs w:val="20"/>
                <w:color w:val="auto"/>
              </w:rPr>
            </w:pPr>
            <w:r>
              <w:rPr>
                <w:rFonts w:ascii="Times New Roman" w:cs="Times New Roman" w:eastAsia="Times New Roman" w:hAnsi="Times New Roman"/>
                <w:sz w:val="15"/>
                <w:szCs w:val="15"/>
                <w:b w:val="1"/>
                <w:bCs w:val="1"/>
                <w:color w:val="auto"/>
              </w:rPr>
              <w:t>(Restated)</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w:t>
            </w:r>
          </w:p>
        </w:tc>
        <w:tc>
          <w:tcPr>
            <w:tcW w:w="13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(1,181,875)</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(479,017)</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(969,808)</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flows:</w:t>
            </w: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115,445</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140,806</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211,579</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Warranty provisions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66,158</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91,245</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55,822</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Impairment of inventory</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6, 20</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146,550</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14,830</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30,782</w:t>
            </w:r>
          </w:p>
        </w:tc>
        <w:tc>
          <w:tcPr>
            <w:tcW w:w="20" w:type="dxa"/>
            <w:vAlign w:val="bottom"/>
          </w:tcPr>
          <w:p>
            <w:pPr>
              <w:spacing w:after="0"/>
              <w:rPr>
                <w:sz w:val="17"/>
                <w:szCs w:val="17"/>
                <w:color w:val="auto"/>
              </w:rPr>
            </w:pPr>
          </w:p>
        </w:tc>
      </w:tr>
      <w:tr>
        <w:trPr>
          <w:trHeight w:val="150"/>
        </w:trPr>
        <w:tc>
          <w:tcPr>
            <w:tcW w:w="20" w:type="dxa"/>
            <w:vAlign w:val="bottom"/>
          </w:tcPr>
          <w:p>
            <w:pPr>
              <w:spacing w:after="0"/>
              <w:rPr>
                <w:sz w:val="13"/>
                <w:szCs w:val="13"/>
                <w:color w:val="auto"/>
              </w:rPr>
            </w:pPr>
          </w:p>
        </w:tc>
        <w:tc>
          <w:tcPr>
            <w:tcW w:w="616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Impairment of property, plant, and equipment, vehicles under operating leases, and intangible</w:t>
            </w: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6, 12, 15, 16</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339,568</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Finance income</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(69,565)</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(8,552)</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(32,970)</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Finance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213,242</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108,402</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45,218</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(443,168)</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(902,068)</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(22,000)</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(35,090)</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Listing expense</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372,318</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(9,452)</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29,756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Share of losses in associates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43,304</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Gain on sale of asset grouping</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(16,334)</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Loss on derecognition and disposal of property, plant, and equipment and intangible assets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15, 16</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10,892</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11,036</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Litigation provisions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25,676</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provisions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19,890</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23,367</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11,560</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Unrealized exchange (loss) gain on trade payables</w:t>
            </w:r>
          </w:p>
        </w:tc>
        <w:tc>
          <w:tcPr>
            <w:tcW w:w="130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26,787</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(26,672)</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9,876</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non-cash expense and income</w:t>
            </w:r>
          </w:p>
        </w:tc>
        <w:tc>
          <w:tcPr>
            <w:tcW w:w="13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(8,945)</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13,451</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6,262</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(358,392)</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(186,393)</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(283,776)</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77,424</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23,663</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59,074</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 prepaid expenses, and other assets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21, 26</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(156,860)</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(214,164)</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60,353</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payables, accrued expenses, and other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24, 26</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(488,842)</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21,268</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489,197</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received</w:t>
            </w:r>
          </w:p>
        </w:tc>
        <w:tc>
          <w:tcPr>
            <w:tcW w:w="13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32,280</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8,552</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(1,580)</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30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(220,147)</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(68,130)</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(12,564)</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Taxes paid</w:t>
            </w:r>
          </w:p>
        </w:tc>
        <w:tc>
          <w:tcPr>
            <w:tcW w:w="1300" w:type="dxa"/>
            <w:vAlign w:val="bottom"/>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(35,477)</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(19,559)</w:t>
            </w: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1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Cash used for operating activities</w:t>
            </w:r>
          </w:p>
        </w:tc>
        <w:tc>
          <w:tcPr>
            <w:tcW w:w="130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(1,893,841)</w:t>
            </w: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(1,080,951)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(324,050)</w:t>
            </w:r>
          </w:p>
        </w:tc>
        <w:tc>
          <w:tcPr>
            <w:tcW w:w="2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3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16, 26</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(137,400)</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(32,269)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(24,701)</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Additions to intangible assets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15, 26</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(435,584)</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(674,275)</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(102,236)</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other investments</w:t>
            </w:r>
          </w:p>
        </w:tc>
        <w:tc>
          <w:tcPr>
            <w:tcW w:w="130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(2,500)</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1,779</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Proceeds from sale of asset grouping</w:t>
            </w:r>
          </w:p>
        </w:tc>
        <w:tc>
          <w:tcPr>
            <w:tcW w:w="13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153,586</w:t>
            </w: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used for investing activities</w:t>
            </w:r>
          </w:p>
        </w:tc>
        <w:tc>
          <w:tcPr>
            <w:tcW w:w="130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(417,619)</w:t>
            </w:r>
          </w:p>
        </w:tc>
        <w:tc>
          <w:tcPr>
            <w:tcW w:w="126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(709,044)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(126,937)</w:t>
            </w:r>
          </w:p>
        </w:tc>
        <w:tc>
          <w:tcPr>
            <w:tcW w:w="2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Change in restricted deposits</w:t>
            </w:r>
          </w:p>
        </w:tc>
        <w:tc>
          <w:tcPr>
            <w:tcW w:w="13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(1,906)</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48,830</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short-term borrowings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25, 26, 27</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3,273,888</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2,150,955</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708,363</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long-term borrowings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26, 27</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1,381,738</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related party capital contribution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22, 27</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25,565</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issuance of share capital and other contributed capital</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18, 22</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1,417,973</w:t>
            </w:r>
          </w:p>
        </w:tc>
        <w:tc>
          <w:tcPr>
            <w:tcW w:w="11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582,388</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25, 26, 27</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(2,553,008)</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(1,436,416)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(411,950)</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Repayments of lease liabilities</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12, 26</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(21,916)</w:t>
            </w:r>
          </w:p>
        </w:tc>
        <w:tc>
          <w:tcPr>
            <w:tcW w:w="12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color w:val="auto"/>
              </w:rPr>
              <w:t>(19,448)</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(8,913)</w:t>
            </w:r>
          </w:p>
        </w:tc>
        <w:tc>
          <w:tcPr>
            <w:tcW w:w="20" w:type="dxa"/>
            <w:vAlign w:val="bottom"/>
          </w:tcPr>
          <w:p>
            <w:pPr>
              <w:spacing w:after="0"/>
              <w:rPr>
                <w:sz w:val="17"/>
                <w:szCs w:val="17"/>
                <w:color w:val="auto"/>
              </w:rPr>
            </w:pPr>
          </w:p>
        </w:tc>
      </w:tr>
      <w:tr>
        <w:trPr>
          <w:trHeight w:val="648"/>
        </w:trPr>
        <w:tc>
          <w:tcPr>
            <w:tcW w:w="20" w:type="dxa"/>
            <w:vAlign w:val="bottom"/>
          </w:tcPr>
          <w:p>
            <w:pPr>
              <w:spacing w:after="0"/>
              <w:rPr>
                <w:sz w:val="24"/>
                <w:szCs w:val="24"/>
                <w:color w:val="auto"/>
              </w:rPr>
            </w:pPr>
          </w:p>
        </w:tc>
        <w:tc>
          <w:tcPr>
            <w:tcW w:w="6160" w:type="dxa"/>
            <w:vAlign w:val="bottom"/>
          </w:tcPr>
          <w:p>
            <w:pPr>
              <w:ind w:left="5460"/>
              <w:spacing w:after="0"/>
              <w:rPr>
                <w:sz w:val="20"/>
                <w:szCs w:val="20"/>
                <w:color w:val="auto"/>
              </w:rPr>
            </w:pPr>
            <w:r>
              <w:rPr>
                <w:rFonts w:ascii="Times New Roman" w:cs="Times New Roman" w:eastAsia="Times New Roman" w:hAnsi="Times New Roman"/>
                <w:sz w:val="15"/>
                <w:szCs w:val="15"/>
                <w:color w:val="auto"/>
              </w:rPr>
              <w:t>F-10</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
        </w:trPr>
        <w:tc>
          <w:tcPr>
            <w:tcW w:w="20" w:type="dxa"/>
            <w:vAlign w:val="bottom"/>
            <w:tcBorders>
              <w:bottom w:val="single" w:sz="8" w:color="9A9A9A"/>
            </w:tcBorders>
          </w:tcPr>
          <w:p>
            <w:pPr>
              <w:spacing w:after="0"/>
              <w:rPr>
                <w:sz w:val="7"/>
                <w:szCs w:val="7"/>
                <w:color w:val="auto"/>
              </w:rPr>
            </w:pPr>
          </w:p>
        </w:tc>
        <w:tc>
          <w:tcPr>
            <w:tcW w:w="6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9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9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57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Transaction costs</w:t>
            </w:r>
          </w:p>
        </w:tc>
        <w:tc>
          <w:tcPr>
            <w:tcW w:w="16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5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(38,903)</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7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provided by financing activities</w:t>
            </w:r>
          </w:p>
        </w:tc>
        <w:tc>
          <w:tcPr>
            <w:tcW w:w="1680" w:type="dxa"/>
            <w:vAlign w:val="bottom"/>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2,104,361</w:t>
            </w:r>
          </w:p>
        </w:tc>
        <w:tc>
          <w:tcPr>
            <w:tcW w:w="1320" w:type="dxa"/>
            <w:vAlign w:val="bottom"/>
            <w:tcBorders>
              <w:bottom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2,074,161</w:t>
            </w: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918,718</w:t>
            </w:r>
          </w:p>
        </w:tc>
      </w:tr>
      <w:tr>
        <w:trPr>
          <w:trHeight w:val="188"/>
        </w:trPr>
        <w:tc>
          <w:tcPr>
            <w:tcW w:w="57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Effect of foreign exchange rate changes on cash and cash equivalents</w:t>
            </w:r>
          </w:p>
        </w:tc>
        <w:tc>
          <w:tcPr>
            <w:tcW w:w="16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5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1,486</w:t>
            </w:r>
          </w:p>
        </w:tc>
        <w:tc>
          <w:tcPr>
            <w:tcW w:w="13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(66,966)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(27,478)</w:t>
            </w:r>
          </w:p>
        </w:tc>
      </w:tr>
      <w:tr>
        <w:trPr>
          <w:trHeight w:val="188"/>
        </w:trPr>
        <w:tc>
          <w:tcPr>
            <w:tcW w:w="57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cash and cash equivalents</w:t>
            </w:r>
          </w:p>
        </w:tc>
        <w:tc>
          <w:tcPr>
            <w:tcW w:w="1680" w:type="dxa"/>
            <w:vAlign w:val="bottom"/>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(205,613)</w:t>
            </w:r>
          </w:p>
        </w:tc>
        <w:tc>
          <w:tcPr>
            <w:tcW w:w="1320" w:type="dxa"/>
            <w:vAlign w:val="bottom"/>
            <w:tcBorders>
              <w:bottom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217,200</w:t>
            </w: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440,253</w:t>
            </w:r>
          </w:p>
        </w:tc>
      </w:tr>
      <w:tr>
        <w:trPr>
          <w:trHeight w:val="188"/>
        </w:trPr>
        <w:tc>
          <w:tcPr>
            <w:tcW w:w="57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beginning of the period</w:t>
            </w:r>
          </w:p>
        </w:tc>
        <w:tc>
          <w:tcPr>
            <w:tcW w:w="1680" w:type="dxa"/>
            <w:vAlign w:val="bottom"/>
            <w:tcBorders>
              <w:bottom w:val="single" w:sz="8" w:color="DBDBDB"/>
            </w:tcBorders>
          </w:tcPr>
          <w:p>
            <w:pPr>
              <w:spacing w:after="0"/>
              <w:rPr>
                <w:sz w:val="16"/>
                <w:szCs w:val="16"/>
                <w:color w:val="auto"/>
              </w:rPr>
            </w:pPr>
          </w:p>
        </w:tc>
        <w:tc>
          <w:tcPr>
            <w:tcW w:w="15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973,877</w:t>
            </w:r>
          </w:p>
        </w:tc>
        <w:tc>
          <w:tcPr>
            <w:tcW w:w="13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756,677</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316,424</w:t>
            </w:r>
          </w:p>
        </w:tc>
      </w:tr>
      <w:tr>
        <w:trPr>
          <w:trHeight w:val="188"/>
        </w:trPr>
        <w:tc>
          <w:tcPr>
            <w:tcW w:w="57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end of the period</w:t>
            </w:r>
          </w:p>
        </w:tc>
        <w:tc>
          <w:tcPr>
            <w:tcW w:w="1680" w:type="dxa"/>
            <w:vAlign w:val="bottom"/>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768,264</w:t>
            </w:r>
          </w:p>
        </w:tc>
        <w:tc>
          <w:tcPr>
            <w:tcW w:w="1320" w:type="dxa"/>
            <w:vAlign w:val="bottom"/>
            <w:tcBorders>
              <w:bottom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973,877</w:t>
            </w: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756,677</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1 - Refer to </w:t>
      </w:r>
      <w:r>
        <w:rPr>
          <w:rFonts w:ascii="Times New Roman" w:cs="Times New Roman" w:eastAsia="Times New Roman" w:hAnsi="Times New Roman"/>
          <w:sz w:val="12"/>
          <w:szCs w:val="12"/>
          <w:i w:val="1"/>
          <w:iCs w:val="1"/>
          <w:color w:val="auto"/>
        </w:rPr>
        <w:t>Note 31 - Restatement of financial statements</w:t>
      </w:r>
      <w:r>
        <w:rPr>
          <w:rFonts w:ascii="Times New Roman" w:cs="Times New Roman" w:eastAsia="Times New Roman" w:hAnsi="Times New Roman"/>
          <w:sz w:val="12"/>
          <w:szCs w:val="12"/>
          <w:color w:val="auto"/>
        </w:rPr>
        <w:t xml:space="preserve"> for reconciliations between previously reported and as revised annual amounts.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9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5"/>
          <w:szCs w:val="15"/>
          <w:color w:val="auto"/>
        </w:rPr>
        <w:t>(in thousands of U.S. dollars unless otherwise stated)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Overview and basis of preparation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Automotive Holding UK PLC (the “Parent”), together with its subsidiaries, hereafter referred to as “Polestar,” “Polestar Group” and the “Group,” is a limited company</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incorporated in the United Kingdom. Polestar Group operates principally in the automotive industry, engaging in research and development, branding and marketing, and the commercialization and selling of battery electric vehicles, and related technology solutions. Polestar Group's current lineup of battery electric vehicles consists of the Polestar 2 ("PS2"), a premium fast-back sedan, the Polestar 3 ("PS3"), a luxury aero sport-utility vehicle, the Polestar 4 ("PS4"), a premium sport utility vehicle, the Polestar 5 ("PS5"), a luxury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sport grand-touring sedan, and the Polestar 6 ("PS6"), a luxury roadster. As of December 31, 2023, the PS2 and PS4 are in production while the remaining vehicles are under development. Operating sustainably is a critical priority of the Group; targeting climate neutrality by 2040, creating a climate neutral car (cradle-to-gate) by 2030, and halving the emission intensity per car sold by 2030. Polestar Group has a presence in 27 markets across Europe, North America, and Asia. Polestar Group has its management headquarters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located at Assar Gabrielssons väg 9, 405 31 Göteborg, Sweden.</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As of December 31, 2023, 2022, and 2021, related parties owned 88.3%, 89.2%, and 94.1% of the Group, respectively. The remaining 11.7%, 10.8%, and 5.9% of the Group at each respective year end was owned by external investors.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Merger with Gores Guggenheim, Inc.</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2021.</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w:t>
      </w:r>
    </w:p>
    <w:p>
      <w:pPr>
        <w:spacing w:after="0" w:line="195"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w:t>
      </w:r>
    </w:p>
    <w:p>
      <w:pPr>
        <w:spacing w:after="0" w:line="55" w:lineRule="exact"/>
        <w:rPr>
          <w:sz w:val="20"/>
          <w:szCs w:val="20"/>
          <w:color w:val="auto"/>
        </w:rPr>
      </w:pPr>
    </w:p>
    <w:p>
      <w:pPr>
        <w:ind w:left="840" w:hanging="281"/>
        <w:spacing w:after="0" w:line="246"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Convertible Notes of the Former Parent outstanding immediately prior to the Closing were automatically converted into 4,306,466 Class A Shares in the Parent in the form of American depositary shares;</w:t>
      </w:r>
    </w:p>
    <w:p>
      <w:pPr>
        <w:spacing w:after="0" w:line="39" w:lineRule="exact"/>
        <w:rPr>
          <w:rFonts w:ascii="Times New Roman" w:cs="Times New Roman" w:eastAsia="Times New Roman" w:hAnsi="Times New Roman"/>
          <w:sz w:val="15"/>
          <w:szCs w:val="15"/>
          <w:color w:val="auto"/>
        </w:rPr>
      </w:pPr>
    </w:p>
    <w:p>
      <w:pPr>
        <w:jc w:val="both"/>
        <w:ind w:left="840" w:hanging="281"/>
        <w:spacing w:after="0" w:line="237"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Former Parent was separated from Polestar Group and issued 294,877,349 Class A Shares in the Parent in the form of American depositary shares, 1,642,233,575 Class B Shares in the Parent in the form of American depositary shares, and the right to receive an earn out of a variable number of additional Class A Shares and Class B Shares, depending on the daily volume weighted average price of Class A Shares in the future;</w:t>
      </w:r>
    </w:p>
    <w:p>
      <w:pPr>
        <w:spacing w:after="0" w:line="44" w:lineRule="exact"/>
        <w:rPr>
          <w:rFonts w:ascii="Times New Roman" w:cs="Times New Roman" w:eastAsia="Times New Roman" w:hAnsi="Times New Roman"/>
          <w:sz w:val="15"/>
          <w:szCs w:val="15"/>
          <w:color w:val="auto"/>
        </w:rPr>
      </w:pPr>
    </w:p>
    <w:p>
      <w:pPr>
        <w:ind w:left="840" w:right="20" w:hanging="281"/>
        <w:spacing w:after="0" w:line="263"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27"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GGI Class A Common Stock issued and outstanding, other than those held in treasury, were exchanged for 63,734,797 Class A Shares in the Parent in the form of American depositary shares;</w:t>
      </w:r>
    </w:p>
    <w:p>
      <w:pPr>
        <w:spacing w:after="0" w:line="51"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GGI Class F Common Stock issued and outstanding, other than those held in treasury, were exchanged for 18,459,165 Class A Shares in the Parent in the form of American depositary shares;</w:t>
      </w:r>
    </w:p>
    <w:p>
      <w:pPr>
        <w:spacing w:after="0" w:line="39"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GGI Common Stock held in treasury were canceled and extinguished without consideration;</w:t>
      </w:r>
    </w:p>
    <w:p>
      <w:pPr>
        <w:spacing w:after="0" w:line="82"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GGI Public Warrants issued and outstanding immediately prior to the Closing were exchanged for 15,999,965 Class C-1 Shares in the Parent in the form of American depositary shares with effectively the same terms as the GGI Public Warrants and are exercisable for Class A Shares in the Parent;</w:t>
      </w:r>
    </w:p>
    <w:p>
      <w:pPr>
        <w:spacing w:after="0" w:line="39" w:lineRule="exact"/>
        <w:rPr>
          <w:rFonts w:ascii="Times New Roman" w:cs="Times New Roman" w:eastAsia="Times New Roman" w:hAnsi="Times New Roman"/>
          <w:sz w:val="15"/>
          <w:szCs w:val="15"/>
          <w:color w:val="auto"/>
        </w:rPr>
      </w:pPr>
    </w:p>
    <w:p>
      <w:pPr>
        <w:ind w:left="840" w:right="20" w:hanging="281"/>
        <w:spacing w:after="0" w:line="263"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GGI Private Warrants issued and outstanding immediately prior to the Closing were exchanged for 9,000,000 Class C-2 Shares in the Parent in the form of American depositary shares with effectively the same terms as the GGI Private Warrants and are exercisable for Class A Shares in the Parent;</w:t>
      </w:r>
    </w:p>
    <w:p>
      <w:pPr>
        <w:spacing w:after="0" w:line="27" w:lineRule="exact"/>
        <w:rPr>
          <w:rFonts w:ascii="Times New Roman" w:cs="Times New Roman" w:eastAsia="Times New Roman" w:hAnsi="Times New Roman"/>
          <w:sz w:val="15"/>
          <w:szCs w:val="15"/>
          <w:color w:val="auto"/>
        </w:rPr>
      </w:pPr>
    </w:p>
    <w:p>
      <w:pPr>
        <w:jc w:val="both"/>
        <w:ind w:left="840" w:hanging="281"/>
        <w:spacing w:after="0" w:line="237"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PIPE Subscription Agreements, third-party investors purchased 25,423,445 Class A Shares in Parent in the form of American depositary shares and Volvo Cars purchased 1,117,390 Class A Shares in Parent in the form of American depositary shares, for a total of 26,540,835 Class A Shares in Parent in the form of American depositary shares for an aggregate total of $250,000; and</w:t>
      </w:r>
    </w:p>
    <w:p>
      <w:pPr>
        <w:spacing w:after="0" w:line="44"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Volvo Cars Preference Subscription Agreement, Volvo Cars purchased 58,882,610 Preference Shares in the Parent for an aggregate total of $588,826 which automatically converted to Class A Shares in the Parent in the form of American depositary shares thereafter.</w:t>
      </w:r>
    </w:p>
    <w:p>
      <w:pPr>
        <w:spacing w:after="0" w:line="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merger with GGI, including all related arrangements, raised net cash proceeds of $1,417,973. Gross proceeds of $638,197 was assumed from GGI, $250,000 was sourced from the PIPE Subscription Agreements, and $588,826 was sourced from the Volvo Cars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9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 xml:space="preserve">Preference Subscription Agreement. Polestar incurred total transaction costs of $97,953 in connection with the merger, of which $59,050 had been recognized by GGI and deducted from the gross proceeds raised. The merger was accounted for as a reverse recapitalization, in accordance with the IFRS.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additional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on the reverse recapitalization.</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Immediately following the closing of the transaction, Parent changed its name to Polestar Automotive Holding UK PLC and began trading on the National Association of Securities Dealers Automated Quotations (“Nasdaq”) under the ticker symbol PSNY. Net loss per share was recast to retroactively reflect the shares issued by the parent to the Former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for December 31, 2022 and December 31, 2021. Refer to </w:t>
      </w:r>
      <w:r>
        <w:rPr>
          <w:rFonts w:ascii="Times New Roman" w:cs="Times New Roman" w:eastAsia="Times New Roman" w:hAnsi="Times New Roman"/>
          <w:sz w:val="15"/>
          <w:szCs w:val="15"/>
          <w:i w:val="1"/>
          <w:iCs w:val="1"/>
          <w:color w:val="auto"/>
        </w:rPr>
        <w:t>Note 14 - Net loss per share</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Note 22 - Equity</w:t>
      </w:r>
      <w:r>
        <w:rPr>
          <w:rFonts w:ascii="Times New Roman" w:cs="Times New Roman" w:eastAsia="Times New Roman" w:hAnsi="Times New Roman"/>
          <w:sz w:val="15"/>
          <w:szCs w:val="15"/>
          <w:color w:val="auto"/>
        </w:rPr>
        <w:t xml:space="preserve">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preparation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Consolidated Financial Statements in this annual report of Polestar Group are prepared in accordance with the IFRS, issued by the IASB and UK-adopted international</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accounting standards. The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periods, unless otherwise stated.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annual report is prepared in the presentation currency, U.S. Dollar (“USD”). All amounts are stated in thousands of USD (“TUSD”), unless otherwise stated.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Periods discussed prior to June 23, 2022 represent the operations of Polestar Automotive Holding Limited and its consolidated subsidiaries.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Going Concern</w:t>
      </w:r>
    </w:p>
    <w:p>
      <w:pPr>
        <w:spacing w:after="0" w:line="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Group’s financial statements have been prepared on a basis that assumes Polestar Group will continue as a going concern and the ordinary course of business will continue in alignment with management’s 2024-2028 business plan.</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Management assessed Polestar Group’s ability to continue as a going concern and evaluated whether there are certain events or conditions, considered in the aggregate, that may cast substantial doubt about Polestar’s ability to continue as a going concern. All information available to management, including cash flow forecasts, liquidity forecasts, and internal risk assessments, pertaining to the twelve-month period after the issuance date of these Consolidated Financial Statements was used in performing this assessment.</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As a result of scaling up commercialization and continued capital expenditures related to the PS2, PS3, PS4, PS5, and PS6, managing the Company’s liquidity profile and funding needs remains one of management’s key priorities. If Polestar is not able to raise the necessary funds through operations, equity raises, debt financing, or other means, the Group may be required to delay, limit, reduce, or, in the worst case, terminate research and development and commercialization efforts. Since inception, Polestar Group has generated recurring</w:t>
      </w:r>
    </w:p>
    <w:p>
      <w:pPr>
        <w:jc w:val="both"/>
        <w:spacing w:after="0" w:line="214" w:lineRule="auto"/>
        <w:rPr>
          <w:sz w:val="20"/>
          <w:szCs w:val="20"/>
          <w:color w:val="auto"/>
        </w:rPr>
      </w:pPr>
      <w:r>
        <w:rPr>
          <w:rFonts w:ascii="Times New Roman" w:cs="Times New Roman" w:eastAsia="Times New Roman" w:hAnsi="Times New Roman"/>
          <w:sz w:val="15"/>
          <w:szCs w:val="15"/>
          <w:color w:val="auto"/>
        </w:rPr>
        <w:t>net losses and negative operating and investing cash flows. Net losses for the years ended December 31, 2023, 2022, and 2021, amounted to $1,181,875, $479,017, and $969,808, respectively. Negative operating and investing cash flows for the years ended December 31, 2023, 2022, and 2021, amounted to $2,311,460, $1,789,995, and $450,987, respectively. Management’s 2024-2028 business plan indicates that Polestar will generate negative operating cash flows in the near future and positive operating cash flows starting the second</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half of 2025; investing cash flows of Polestar will continue to be negative in the near and long-term future due to the nature of Polestar’s business. Securing financing to support operating and development activities represents an ongoing challenge for Polestar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Group primarily finances its operations through short-term working capital loan arrangements with credit institutions (i.e., 12 months or less), contributions from</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shareholders, extended trade credit from related parties, and long-term financing arrangements with related parties. Management’s 2024-2028 business plan indicates that Polestar Group depends on additional financing that is expected to be funded via a combination of new short-term working capital loan arrangements, long-term loan arrangements, shareholder loans with related parties, and executing capital market transactions through offerings of debt and/or equity. The timely realization of these financing endeavors is crucial</w:t>
      </w:r>
    </w:p>
    <w:p>
      <w:pPr>
        <w:spacing w:after="0" w:line="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year ended December 31, 2023, Polestar demonstrated efforts towards achieving liquidity targets in management's 2024-2028 business plan by:</w:t>
      </w:r>
    </w:p>
    <w:p>
      <w:pPr>
        <w:spacing w:after="0" w:line="82" w:lineRule="exact"/>
        <w:rPr>
          <w:sz w:val="20"/>
          <w:szCs w:val="20"/>
          <w:color w:val="auto"/>
        </w:rPr>
      </w:pPr>
    </w:p>
    <w:p>
      <w:pPr>
        <w:ind w:left="840" w:right="20" w:hanging="281"/>
        <w:spacing w:after="0" w:line="246" w:lineRule="auto"/>
        <w:tabs>
          <w:tab w:leader="none" w:pos="83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Renegotiating the terms of its convertible credit facility with Volvo Cars to extend the principal repayment date to June 30, 2027 and achieve an additional borrowing capacity;</w:t>
      </w:r>
    </w:p>
    <w:p>
      <w:pPr>
        <w:spacing w:after="0" w:line="39"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Securing long-term financing support from Geely in the form of various facilities; and</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Entering into multiple short-term working capital loan arrangements with banking partners in China.</w:t>
      </w:r>
    </w:p>
    <w:p>
      <w:pPr>
        <w:spacing w:after="0" w:line="7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Polestar is party to financing instruments during the 12 months following the reporting period that contain financial covenants with which Polestar must comply. A failure to comply with such covenants may result in an event of default that could have material adverse effects on the business. Due to the factors discussed above, there is material uncertainty as to</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whether Polestar will be able to comply with all covenants in future periods. Remedies to an event of default include proactively applying for a covenant waiver prior to such event of default occurring.</w:t>
      </w:r>
    </w:p>
    <w:p>
      <w:pPr>
        <w:spacing w:after="0" w:line="4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Based on these circumstances, management reasonably expects there to be sufficient liquidity in the twelve-month period after the issuance date of these Consolidated Financial Statements in order for Polestar to meet its cash flow requirements, but there is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9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substantial doubt about Polestar’s ability to continue as a going concern. There are ongoing efforts in place to mitigate the uncertainty. The Consolidated Financial Statements do not include any adjustments to factor for the going concern uncertainty.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 Significant accounting policies and judgements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Adoption of new and revised standards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Effects of new and amended IFRS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new standards and amendments effective from January 1, 2023 were adopted by the Group for the preparation of these Consolidated Financial Statements.</w:t>
      </w:r>
    </w:p>
    <w:p>
      <w:pPr>
        <w:spacing w:after="0"/>
        <w:rPr>
          <w:sz w:val="20"/>
          <w:szCs w:val="20"/>
          <w:color w:val="auto"/>
        </w:rPr>
      </w:pPr>
      <w:r>
        <w:rPr>
          <w:rFonts w:ascii="Times New Roman" w:cs="Times New Roman" w:eastAsia="Times New Roman" w:hAnsi="Times New Roman"/>
          <w:sz w:val="15"/>
          <w:szCs w:val="15"/>
          <w:color w:val="auto"/>
        </w:rPr>
        <w:t>Management concluded the adoption of any of the below accounting pronouncements did not have a material impact on the Group’s financial statements, unless otherwise noted.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 February 2021, the IASB issued amendments to IAS 1, </w:t>
      </w:r>
      <w:r>
        <w:rPr>
          <w:rFonts w:ascii="Times New Roman" w:cs="Times New Roman" w:eastAsia="Times New Roman" w:hAnsi="Times New Roman"/>
          <w:sz w:val="15"/>
          <w:szCs w:val="15"/>
          <w:i w:val="1"/>
          <w:iCs w:val="1"/>
          <w:color w:val="auto"/>
        </w:rPr>
        <w:t>Presentation of Financial Statements</w:t>
      </w:r>
      <w:r>
        <w:rPr>
          <w:rFonts w:ascii="Times New Roman" w:cs="Times New Roman" w:eastAsia="Times New Roman" w:hAnsi="Times New Roman"/>
          <w:sz w:val="15"/>
          <w:szCs w:val="15"/>
          <w:color w:val="auto"/>
        </w:rPr>
        <w:t xml:space="preserve"> ("IAS 1") and IFRS Practice Statement 2, </w:t>
      </w:r>
      <w:r>
        <w:rPr>
          <w:rFonts w:ascii="Times New Roman" w:cs="Times New Roman" w:eastAsia="Times New Roman" w:hAnsi="Times New Roman"/>
          <w:sz w:val="15"/>
          <w:szCs w:val="15"/>
          <w:i w:val="1"/>
          <w:iCs w:val="1"/>
          <w:color w:val="auto"/>
        </w:rPr>
        <w:t>Making Materiality Judgements</w:t>
      </w:r>
      <w:r>
        <w:rPr>
          <w:rFonts w:ascii="Times New Roman" w:cs="Times New Roman" w:eastAsia="Times New Roman" w:hAnsi="Times New Roman"/>
          <w:sz w:val="15"/>
          <w:szCs w:val="15"/>
          <w:color w:val="auto"/>
        </w:rPr>
        <w:t xml:space="preserve"> ("IFRS</w:t>
      </w:r>
    </w:p>
    <w:p>
      <w:pPr>
        <w:spacing w:after="0" w:line="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Practice Statement 2"), which require companies to disclose their material accounting policy information rather than their significant accounting policies and provide guidance on how to apply the concept of materiality to accounting policy disclosures. These amendments for annual periods are effective beginning on or after January 1, 2023.</w:t>
      </w:r>
    </w:p>
    <w:p>
      <w:pPr>
        <w:spacing w:after="0" w:line="4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 xml:space="preserve">In June 2020, the IASB published amendments to IFRS 4, </w:t>
      </w:r>
      <w:r>
        <w:rPr>
          <w:rFonts w:ascii="Times New Roman" w:cs="Times New Roman" w:eastAsia="Times New Roman" w:hAnsi="Times New Roman"/>
          <w:sz w:val="15"/>
          <w:szCs w:val="15"/>
          <w:i w:val="1"/>
          <w:iCs w:val="1"/>
          <w:color w:val="auto"/>
        </w:rPr>
        <w:t>Insurance Contracts</w:t>
      </w:r>
      <w:r>
        <w:rPr>
          <w:rFonts w:ascii="Times New Roman" w:cs="Times New Roman" w:eastAsia="Times New Roman" w:hAnsi="Times New Roman"/>
          <w:sz w:val="15"/>
          <w:szCs w:val="15"/>
          <w:color w:val="auto"/>
        </w:rPr>
        <w:t xml:space="preserve"> ("IFRS 4"), which deferred the expiry date of the temporary exemption from applying IFRS 9 to annual periods beginning on or after January 1, 2023.</w:t>
      </w:r>
    </w:p>
    <w:p>
      <w:pPr>
        <w:spacing w:after="0" w:line="2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5"/>
          <w:szCs w:val="15"/>
          <w:color w:val="auto"/>
        </w:rPr>
        <w:t xml:space="preserve">In June 2020, the IASB published amendments to IFRS 17, </w:t>
      </w:r>
      <w:r>
        <w:rPr>
          <w:rFonts w:ascii="Times New Roman" w:cs="Times New Roman" w:eastAsia="Times New Roman" w:hAnsi="Times New Roman"/>
          <w:sz w:val="15"/>
          <w:szCs w:val="15"/>
          <w:i w:val="1"/>
          <w:iCs w:val="1"/>
          <w:color w:val="auto"/>
        </w:rPr>
        <w:t>Insurance Contracts: Initial Application of IFRS 17 and IFRS 9 Comparative Information</w:t>
      </w:r>
      <w:r>
        <w:rPr>
          <w:rFonts w:ascii="Times New Roman" w:cs="Times New Roman" w:eastAsia="Times New Roman" w:hAnsi="Times New Roman"/>
          <w:sz w:val="15"/>
          <w:szCs w:val="15"/>
          <w:color w:val="auto"/>
        </w:rPr>
        <w:t xml:space="preserve"> ("IFRS 17"), to address concerns and implementation challenges that were identified after IFRS 17 was published. The amendment revised the effective date to January 1, 2023 but may be applied earlier</w:t>
      </w: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 xml:space="preserve">provided the entity applies IFRS 9 and IFRS 15,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 These amendments for annual periods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effective beginning on or after January 1, 2023.</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In February 2021, the IASB issued amendments to IAS 8, </w:t>
      </w:r>
      <w:r>
        <w:rPr>
          <w:rFonts w:ascii="Times New Roman" w:cs="Times New Roman" w:eastAsia="Times New Roman" w:hAnsi="Times New Roman"/>
          <w:sz w:val="15"/>
          <w:szCs w:val="15"/>
          <w:i w:val="1"/>
          <w:iCs w:val="1"/>
          <w:color w:val="auto"/>
        </w:rPr>
        <w:t>Accounting Policies, Changes in Accounting Estimates and Errors</w:t>
      </w:r>
      <w:r>
        <w:rPr>
          <w:rFonts w:ascii="Times New Roman" w:cs="Times New Roman" w:eastAsia="Times New Roman" w:hAnsi="Times New Roman"/>
          <w:sz w:val="15"/>
          <w:szCs w:val="15"/>
          <w:color w:val="auto"/>
        </w:rPr>
        <w:t xml:space="preserve"> ("IAS 8") which clarify how companies should distinguish changes in accounting policies from changes in accounting estimates. These amendments for annual periods are effective beginning on or after January 1, 2023.</w:t>
      </w:r>
    </w:p>
    <w:p>
      <w:pPr>
        <w:spacing w:after="0" w:line="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 xml:space="preserve">In May 2021, the IASB issued amendments to IAS 12,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xml:space="preserve"> (“IAS 12”), Deferred Tax related to Assets and Liabilities Arising From a Single Transaction that clarify how companies account for deferred tax on transactions such as leases and decommissioning obligations. These amendments for annual periods are effective beginning on or after January 1, 2023.</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for annual periods is effective beginning on or after</w:t>
      </w:r>
    </w:p>
    <w:p>
      <w:pPr>
        <w:spacing w:after="0"/>
        <w:rPr>
          <w:sz w:val="20"/>
          <w:szCs w:val="20"/>
          <w:color w:val="auto"/>
        </w:rPr>
      </w:pPr>
      <w:r>
        <w:rPr>
          <w:rFonts w:ascii="Times New Roman" w:cs="Times New Roman" w:eastAsia="Times New Roman" w:hAnsi="Times New Roman"/>
          <w:sz w:val="15"/>
          <w:szCs w:val="15"/>
          <w:color w:val="auto"/>
        </w:rPr>
        <w:t>January 1, 2023.</w:t>
      </w:r>
    </w:p>
    <w:p>
      <w:pPr>
        <w:spacing w:after="0" w:line="5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 xml:space="preserve">In May 2023, the IASB issued amendments to IAS 12, </w:t>
      </w:r>
      <w:r>
        <w:rPr>
          <w:rFonts w:ascii="Times New Roman" w:cs="Times New Roman" w:eastAsia="Times New Roman" w:hAnsi="Times New Roman"/>
          <w:sz w:val="15"/>
          <w:szCs w:val="15"/>
          <w:i w:val="1"/>
          <w:iCs w:val="1"/>
          <w:color w:val="auto"/>
        </w:rPr>
        <w:t>International Tax Reform – Pillar Two Model Rules,</w:t>
      </w:r>
      <w:r>
        <w:rPr>
          <w:rFonts w:ascii="Times New Roman" w:cs="Times New Roman" w:eastAsia="Times New Roman" w:hAnsi="Times New Roman"/>
          <w:sz w:val="15"/>
          <w:szCs w:val="15"/>
          <w:color w:val="auto"/>
        </w:rPr>
        <w:t xml:space="preserve"> aimed at providing clarity regarding the application of IAS 12 to income taxes stemming from tax legislation put into effect or substantially enacted to execute the Organization for Economic Co-operation and Development (OECD)/G20 Inclusive</w:t>
      </w:r>
    </w:p>
    <w:p>
      <w:pPr>
        <w:jc w:val="both"/>
        <w:spacing w:after="0" w:line="214" w:lineRule="auto"/>
        <w:rPr>
          <w:sz w:val="20"/>
          <w:szCs w:val="20"/>
          <w:color w:val="auto"/>
        </w:rPr>
      </w:pPr>
      <w:r>
        <w:rPr>
          <w:rFonts w:ascii="Times New Roman" w:cs="Times New Roman" w:eastAsia="Times New Roman" w:hAnsi="Times New Roman"/>
          <w:sz w:val="15"/>
          <w:szCs w:val="15"/>
          <w:color w:val="auto"/>
        </w:rPr>
        <w:t>Framework on Base Erosion and Profit Shifting (BEPS) Pillar Two model rules (Pillar Two income taxes). These amendments introduce: (i) a compulsory temporary exemption concerning the accounting treatment of deferred taxes originating from the jurisdictional enforcement of the Pillar Two model rules, effective immediately upon the release of the amendment, and (ii) disclosure mandates for impacted entities, designed to aid users of financial statements in gaining a clearer understanding of an entity’s exposure to Pillar Two</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income taxes due to that legislation, particularly preceding the effective date of the Pillar Two model rules. These rules are applicable for annual periods beginning on or after January 1, 2023, excluding any interim periods ending on or before December 31, 2023.</w:t>
      </w:r>
    </w:p>
    <w:p>
      <w:pPr>
        <w:spacing w:after="0" w:line="4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Pillar Two model rules institute a minimum effective tax rate of 15 percent on a jurisdictional level for multinational enterprise groups and significant domestic groups with annual revenues of at least €750,000 in their consolidated financial statements for a minimum of two of the previous four fiscal years. Based on the information available to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management does not expect any material impacts for the Group as a result of the legislation.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New and amended IFRS issued but not yet effective</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Management has concluded the adoption of any of the below accounting pronouncements, that were issued but not effective for annual periods ended December 31, 2023, will not have a material impact on the Group’s financial statements, unless otherwise noted.</w:t>
      </w:r>
    </w:p>
    <w:p>
      <w:pPr>
        <w:spacing w:after="0" w:line="2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In January 2020, the IASB published amendments to IAS 1 which clarify the presentation of liabilities as current or non-current based off the rights that are in existence at the end of the reporting period, not the expectations about an entity’s exercise of certain rights to defer the settlement of a liability or other subsequent events. The amendments are applied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retrospectively for annual periods beginning on or after January 1, 2024.</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In September 2022, the IASB issued an amendment to IFRS 16,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("IFRS 16"), which clarifies how a seller-lessee subsequently measures sale and leaseback transactions that satisfy the requirements in IFRS 15 to be accounted for as a sale. This amendment for annual periods is effective beginning on or after January 1, 2024.</w:t>
      </w:r>
    </w:p>
    <w:p>
      <w:pPr>
        <w:spacing w:after="0" w:line="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In October 2022, the IASB issued an amendment to IAS 1 which clarifies how conditions with which an entity must comply within twelve months after the reporting period affect the classification of a liability. The amendment for annual periods is effective beginning on or after January 1, 2024.</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9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5"/>
          <w:szCs w:val="15"/>
          <w:color w:val="auto"/>
        </w:rPr>
        <w:t xml:space="preserve">In May 2023, the IASB issued amendments to IAS 7, </w:t>
      </w:r>
      <w:r>
        <w:rPr>
          <w:rFonts w:ascii="Times New Roman" w:cs="Times New Roman" w:eastAsia="Times New Roman" w:hAnsi="Times New Roman"/>
          <w:sz w:val="15"/>
          <w:szCs w:val="15"/>
          <w:i w:val="1"/>
          <w:iCs w:val="1"/>
          <w:color w:val="auto"/>
        </w:rPr>
        <w:t>Statement of Cash Flows</w:t>
      </w:r>
      <w:r>
        <w:rPr>
          <w:rFonts w:ascii="Times New Roman" w:cs="Times New Roman" w:eastAsia="Times New Roman" w:hAnsi="Times New Roman"/>
          <w:sz w:val="15"/>
          <w:szCs w:val="15"/>
          <w:color w:val="auto"/>
        </w:rPr>
        <w:t xml:space="preserve"> ("IAS 7") and IFRS 7, </w:t>
      </w:r>
      <w:r>
        <w:rPr>
          <w:rFonts w:ascii="Times New Roman" w:cs="Times New Roman" w:eastAsia="Times New Roman" w:hAnsi="Times New Roman"/>
          <w:sz w:val="15"/>
          <w:szCs w:val="15"/>
          <w:i w:val="1"/>
          <w:iCs w:val="1"/>
          <w:color w:val="auto"/>
        </w:rPr>
        <w:t>Financial Instruments: Disclosures: Supplier Finance Arrangements</w:t>
      </w:r>
      <w:r>
        <w:rPr>
          <w:rFonts w:ascii="Times New Roman" w:cs="Times New Roman" w:eastAsia="Times New Roman" w:hAnsi="Times New Roman"/>
          <w:sz w:val="15"/>
          <w:szCs w:val="15"/>
          <w:color w:val="auto"/>
        </w:rPr>
        <w:t xml:space="preserve"> ("IFRS 7"), to implement new disclosure requirements to improve clarity and usefulness of information provided by entities concerning supplier finance arrangements. These changes aim to</w:t>
      </w:r>
    </w:p>
    <w:p>
      <w:pPr>
        <w:ind w:right="20"/>
        <w:spacing w:after="0" w:line="232" w:lineRule="auto"/>
        <w:rPr>
          <w:sz w:val="20"/>
          <w:szCs w:val="20"/>
          <w:color w:val="auto"/>
        </w:rPr>
      </w:pPr>
      <w:r>
        <w:rPr>
          <w:rFonts w:ascii="Times New Roman" w:cs="Times New Roman" w:eastAsia="Times New Roman" w:hAnsi="Times New Roman"/>
          <w:sz w:val="15"/>
          <w:szCs w:val="15"/>
          <w:color w:val="auto"/>
        </w:rPr>
        <w:t>help users of financial statements understand the impact of supplier finance arrangements on an entity’s liabilities, cash flows, and exposure to liquidity risk. The amendments for annual periods are effective beginning on or after January 1,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June 2023, International Sustainability Standards Board ("ISSB") issued IFRS S1, General Requirements for Disclosure of Sustainability-related Financial Information ("IFRS</w:t>
      </w:r>
    </w:p>
    <w:p>
      <w:pPr>
        <w:spacing w:after="0" w:line="6"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5"/>
          <w:szCs w:val="15"/>
          <w:color w:val="auto"/>
        </w:rPr>
        <w:t>S1"), and IFRS S2, Climate-related Disclosures ("IFRS S2"). IFRS S1 provides the basic requirements for sustainability disclosures, which should be used with IFRS S2 as well as the future Standards the ISSB releases. IFRS S2 has been developed specifically to capture climate-related risks and opportunities disclosure requirements. These standards for annual periods are effective beginning on or after January 1, 2024.</w:t>
      </w:r>
    </w:p>
    <w:p>
      <w:pPr>
        <w:spacing w:after="0" w:line="5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5"/>
          <w:szCs w:val="15"/>
          <w:color w:val="auto"/>
        </w:rPr>
        <w:t xml:space="preserve">In April 2024, the IASB issued IFRS 18, </w:t>
      </w:r>
      <w:r>
        <w:rPr>
          <w:rFonts w:ascii="Times New Roman" w:cs="Times New Roman" w:eastAsia="Times New Roman" w:hAnsi="Times New Roman"/>
          <w:sz w:val="15"/>
          <w:szCs w:val="15"/>
          <w:i w:val="1"/>
          <w:iCs w:val="1"/>
          <w:color w:val="auto"/>
        </w:rPr>
        <w:t>Presentation and Disclosure in Financial Statements</w:t>
      </w:r>
      <w:r>
        <w:rPr>
          <w:rFonts w:ascii="Times New Roman" w:cs="Times New Roman" w:eastAsia="Times New Roman" w:hAnsi="Times New Roman"/>
          <w:sz w:val="15"/>
          <w:szCs w:val="15"/>
          <w:color w:val="auto"/>
        </w:rPr>
        <w:t xml:space="preserve"> ("IFRS 18"), which outlines the requirements for the presentation and disclosure of information in financial statements. It includes the requirement to classify income and expenses into three new categories: operating, investing, and financing. IFRS 18 will replace IAS 1 and will be effective for annual periods beginning on or after January 1, 2027.</w:t>
      </w:r>
    </w:p>
    <w:p>
      <w:pPr>
        <w:spacing w:after="0" w:line="5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5"/>
          <w:szCs w:val="15"/>
          <w:color w:val="auto"/>
        </w:rPr>
        <w:t xml:space="preserve">In May 2024, the IASB issued IFRS 19, </w:t>
      </w:r>
      <w:r>
        <w:rPr>
          <w:rFonts w:ascii="Times New Roman" w:cs="Times New Roman" w:eastAsia="Times New Roman" w:hAnsi="Times New Roman"/>
          <w:sz w:val="15"/>
          <w:szCs w:val="15"/>
          <w:i w:val="1"/>
          <w:iCs w:val="1"/>
          <w:color w:val="auto"/>
        </w:rPr>
        <w:t>Subsidiaries without Public Accountability: Disclosures</w:t>
      </w:r>
      <w:r>
        <w:rPr>
          <w:rFonts w:ascii="Times New Roman" w:cs="Times New Roman" w:eastAsia="Times New Roman" w:hAnsi="Times New Roman"/>
          <w:sz w:val="15"/>
          <w:szCs w:val="15"/>
          <w:color w:val="auto"/>
        </w:rPr>
        <w:t xml:space="preserve"> ("IFRS 19"), which specifies reduced disclosure requirements that eligible entities can apply instead of the disclosure requirements in other IFRS accounting standards. This standard for annual periods is effective beginning on or after January 1, 2027.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Presentation</w:t>
      </w:r>
    </w:p>
    <w:p>
      <w:pPr>
        <w:spacing w:after="0" w:line="8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In the Consolidated Statement of Financial Position, an asset is classified as a current asset when it is held primarily for the purpose of trading, is expected to be realized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w:t>
      </w:r>
    </w:p>
    <w:p>
      <w:pPr>
        <w:spacing w:after="0"/>
        <w:rPr>
          <w:sz w:val="20"/>
          <w:szCs w:val="20"/>
          <w:color w:val="auto"/>
        </w:rPr>
      </w:pPr>
      <w:r>
        <w:rPr>
          <w:rFonts w:ascii="Times New Roman" w:cs="Times New Roman" w:eastAsia="Times New Roman" w:hAnsi="Times New Roman"/>
          <w:sz w:val="15"/>
          <w:szCs w:val="15"/>
          <w:color w:val="auto"/>
        </w:rPr>
        <w:t>of the Consolidated Statement of Financial Position. All other liabilities are classified as non-current.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Restatement</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 connection with the preparation of our consolidated financial statements as of and for the year ended December 31, 2024, management identified misstatements pertaining to the 2022 and 2023 annual consolidated financial statements. The errors identified during 2024 relate to balance sheet errors concerning the Company’s unique tooling, a reclassification of cash flows between operating and investing activities and other smaller errors that were corrected as part of the restatement process.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Prior Restatement included in the withdrawn 2023 20-F filed on August 14, 2024 ("Prior Restatement")</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comparative disclosures for the 2021 and 2022 annual consolidated financial statements were previously restated as a result of misstatements identified by management subsequent to the issuance of the 2022 annual consolidated financial statements, in connection with the preparation of our consolidated financial statements as of and for the year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ended December 31, 2023. These prior period errors related primarily to (i) accounting for inventories, including the accounting treatment of certain launch costs, capitalizable expenses into inventory and valuation adjustments for internal use cars, (ii) accounting for accruals and deferrals, (iii) capitalization of expenses, (iv) other errors relating to reclassifications between financial statement captions and (v) deferred taxes and income taxes.</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The accompanying notes to the consolidated financial statements reflect the impact of these revisions. Refer to </w:t>
      </w:r>
      <w:r>
        <w:rPr>
          <w:rFonts w:ascii="Times New Roman" w:cs="Times New Roman" w:eastAsia="Times New Roman" w:hAnsi="Times New Roman"/>
          <w:sz w:val="15"/>
          <w:szCs w:val="15"/>
          <w:i w:val="1"/>
          <w:iCs w:val="1"/>
          <w:color w:val="auto"/>
        </w:rPr>
        <w:t>Note 31 - Restatement of financial statements</w:t>
      </w:r>
      <w:r>
        <w:rPr>
          <w:rFonts w:ascii="Times New Roman" w:cs="Times New Roman" w:eastAsia="Times New Roman" w:hAnsi="Times New Roman"/>
          <w:sz w:val="15"/>
          <w:szCs w:val="15"/>
          <w:color w:val="auto"/>
        </w:rPr>
        <w:t xml:space="preserve"> for reconciliations between originally reported and as revised annual amounts.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consolidation</w:t>
      </w:r>
    </w:p>
    <w:p>
      <w:pPr>
        <w:spacing w:after="0" w:line="8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5"/>
          <w:szCs w:val="15"/>
          <w:color w:val="auto"/>
        </w:rPr>
        <w:t>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w:t>
      </w:r>
    </w:p>
    <w:p>
      <w:pPr>
        <w:spacing w:after="0" w:line="3"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Group are eliminated upon consolidation. As of December 31, 2023, 2022 and 2021, the Parent had thirty-two, thirty-two, and thirty-two fully consolidated subsidiaries, respectively. Additionally, the Group has an equity method investment in Polestar Technology (Shaoxing) Co., Ltd (“Polestar Technology”), where Polestar owns 49% of the Company’s equity and 40% of the voting interest on Polestar Technology’s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 preparing the financial statements of the Group, transactions in currencies other than the entity’s functional currency (i.e., foreign currencies) are recognized at the rates of exchange prevailing on the dates of the transactions. At each reporting date, assets and liabilities denominated in a foreign currency are translated to the functional currency using the</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 xml:space="preserve">closing exchange rate and items of income and expense are translated at the monthly average exchange rate. Foreign currency gains and losses arising from translation differences are recognized in the Consolidated Statement of Loss and Comprehensive Loss. For more information about currency risk, see </w:t>
      </w:r>
      <w:r>
        <w:rPr>
          <w:rFonts w:ascii="Times New Roman" w:cs="Times New Roman" w:eastAsia="Times New Roman" w:hAnsi="Times New Roman"/>
          <w:sz w:val="15"/>
          <w:szCs w:val="15"/>
          <w:i w:val="1"/>
          <w:iCs w:val="1"/>
          <w:color w:val="auto"/>
        </w:rPr>
        <w:t>Note 3 - Financial risk management</w:t>
      </w:r>
      <w:r>
        <w:rPr>
          <w:rFonts w:ascii="Times New Roman" w:cs="Times New Roman" w:eastAsia="Times New Roman" w:hAnsi="Times New Roman"/>
          <w:sz w:val="15"/>
          <w:szCs w:val="15"/>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 and judgements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9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assumptions on a continuous basis; changes in accounting estimates are recognized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2" w:lineRule="exact"/>
        <w:rPr>
          <w:sz w:val="20"/>
          <w:szCs w:val="20"/>
          <w:color w:val="auto"/>
        </w:rPr>
      </w:pPr>
    </w:p>
    <w:p>
      <w:pPr>
        <w:ind w:left="840" w:right="20" w:hanging="281"/>
        <w:spacing w:after="0" w:line="241" w:lineRule="auto"/>
        <w:tabs>
          <w:tab w:leader="none" w:pos="8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Revenue recognition – The expected cost plus a margin method is used for determining the transaction price of performance obligations included with sales of vehicles and the delivery of the vehicle itself. The Company transitioned from the residual method to the expected cost plus a margin method, effective from the fourth quarter of the year ended December 31, 2023. Polestar determines the expected cost plus a margin by factoring internal cost data captured from the inventory net realizable value. This information is supported by vehicle sales data from the past four consecutive years. Polestar also offers volume related discounts to fleet customers which impacts its estimation of the consideration it will be entitled to in exchange for the delivery of vehicles. Sales of vehicles with repurchase obligations are accounted for as operating leases and the related revenue is recorded as lease income. – </w:t>
      </w:r>
      <w:r>
        <w:rPr>
          <w:rFonts w:ascii="Times New Roman" w:cs="Times New Roman" w:eastAsia="Times New Roman" w:hAnsi="Times New Roman"/>
          <w:sz w:val="15"/>
          <w:szCs w:val="15"/>
          <w:i w:val="1"/>
          <w:iCs w:val="1"/>
          <w:color w:val="auto"/>
        </w:rPr>
        <w:t>Note 4 - Revenue</w:t>
      </w:r>
      <w:r>
        <w:rPr>
          <w:rFonts w:ascii="Times New Roman" w:cs="Times New Roman" w:eastAsia="Times New Roman" w:hAnsi="Times New Roman"/>
          <w:sz w:val="15"/>
          <w:szCs w:val="15"/>
          <w:color w:val="auto"/>
        </w:rPr>
        <w:t>.</w:t>
      </w:r>
    </w:p>
    <w:p>
      <w:pPr>
        <w:spacing w:after="0" w:line="67" w:lineRule="exact"/>
        <w:rPr>
          <w:rFonts w:ascii="Times New Roman" w:cs="Times New Roman" w:eastAsia="Times New Roman" w:hAnsi="Times New Roman"/>
          <w:sz w:val="15"/>
          <w:szCs w:val="15"/>
          <w:color w:val="auto"/>
        </w:rPr>
      </w:pPr>
    </w:p>
    <w:p>
      <w:pPr>
        <w:jc w:val="both"/>
        <w:ind w:left="840" w:hanging="281"/>
        <w:spacing w:after="0" w:line="230" w:lineRule="auto"/>
        <w:tabs>
          <w:tab w:leader="none" w:pos="8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Intangible assets – Polestar conducts various internal development projects which are divided into the concept phase and product development phase. Once a project reaches the product development phase, internally developed intellectual property is capitalized in intangible assets. Polestar conducts an analysis to estimate the useful life for internally developed intellectual property, acquired intellectual property, and software at the point in time when they are capitalized in intangible assets. – refer to </w:t>
      </w:r>
      <w:r>
        <w:rPr>
          <w:rFonts w:ascii="Times New Roman" w:cs="Times New Roman" w:eastAsia="Times New Roman" w:hAnsi="Times New Roman"/>
          <w:sz w:val="15"/>
          <w:szCs w:val="15"/>
          <w:i w:val="1"/>
          <w:iCs w:val="1"/>
          <w:color w:val="auto"/>
        </w:rPr>
        <w:t>Note 15 - Intangible assets and goodwill</w:t>
      </w:r>
      <w:r>
        <w:rPr>
          <w:rFonts w:ascii="Times New Roman" w:cs="Times New Roman" w:eastAsia="Times New Roman" w:hAnsi="Times New Roman"/>
          <w:sz w:val="15"/>
          <w:szCs w:val="15"/>
          <w:color w:val="auto"/>
        </w:rPr>
        <w:t>.</w:t>
      </w:r>
    </w:p>
    <w:p>
      <w:pPr>
        <w:spacing w:after="0" w:line="44" w:lineRule="exact"/>
        <w:rPr>
          <w:rFonts w:ascii="Times New Roman" w:cs="Times New Roman" w:eastAsia="Times New Roman" w:hAnsi="Times New Roman"/>
          <w:sz w:val="15"/>
          <w:szCs w:val="15"/>
          <w:color w:val="auto"/>
        </w:rPr>
      </w:pPr>
    </w:p>
    <w:p>
      <w:pPr>
        <w:jc w:val="both"/>
        <w:ind w:left="840" w:right="20" w:hanging="281"/>
        <w:spacing w:after="0" w:line="237" w:lineRule="auto"/>
        <w:tabs>
          <w:tab w:leader="none" w:pos="8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Impairment of intangible assets and goodwill – Polestar conducts routine evaluations of its intangible assets and goodwill for evidence of impairment indicators. At least annually and when impairment indicators exist, Polestar conducts an impairment test at the cash generating unit ("CGU") level. Polestar Group has 4 CGUs. – refer to </w:t>
      </w:r>
      <w:r>
        <w:rPr>
          <w:rFonts w:ascii="Times New Roman" w:cs="Times New Roman" w:eastAsia="Times New Roman" w:hAnsi="Times New Roman"/>
          <w:sz w:val="15"/>
          <w:szCs w:val="15"/>
          <w:i w:val="1"/>
          <w:iCs w:val="1"/>
          <w:color w:val="auto"/>
        </w:rPr>
        <w:t>Note 15 - Intangible assets and goodwill</w:t>
      </w:r>
      <w:r>
        <w:rPr>
          <w:rFonts w:ascii="Times New Roman" w:cs="Times New Roman" w:eastAsia="Times New Roman" w:hAnsi="Times New Roman"/>
          <w:sz w:val="15"/>
          <w:szCs w:val="15"/>
          <w:color w:val="auto"/>
        </w:rPr>
        <w:t>.</w:t>
      </w:r>
    </w:p>
    <w:p>
      <w:pPr>
        <w:spacing w:after="0" w:line="44" w:lineRule="exact"/>
        <w:rPr>
          <w:rFonts w:ascii="Times New Roman" w:cs="Times New Roman" w:eastAsia="Times New Roman" w:hAnsi="Times New Roman"/>
          <w:sz w:val="15"/>
          <w:szCs w:val="15"/>
          <w:color w:val="auto"/>
        </w:rPr>
      </w:pPr>
    </w:p>
    <w:p>
      <w:pPr>
        <w:jc w:val="both"/>
        <w:ind w:left="840" w:right="20" w:hanging="281"/>
        <w:spacing w:after="0" w:line="237" w:lineRule="auto"/>
        <w:tabs>
          <w:tab w:leader="none" w:pos="836" w:val="left"/>
        </w:tabs>
        <w:numPr>
          <w:ilvl w:val="0"/>
          <w:numId w:val="40"/>
        </w:numPr>
        <w:rPr>
          <w:rFonts w:ascii="Times New Roman" w:cs="Times New Roman" w:eastAsia="Times New Roman" w:hAnsi="Times New Roman"/>
          <w:sz w:val="15"/>
          <w:szCs w:val="15"/>
          <w:color w:val="FFFFFF"/>
        </w:rPr>
      </w:pPr>
      <w:r>
        <w:rPr>
          <w:rFonts w:ascii="Times New Roman" w:cs="Times New Roman" w:eastAsia="Times New Roman" w:hAnsi="Times New Roman"/>
          <w:sz w:val="15"/>
          <w:szCs w:val="15"/>
          <w:color w:val="auto"/>
        </w:rPr>
        <w:t>A CGU is defined as the smallest identifiable group of assets that generates largely independent cash inflows. Determining the number of CGUs and composition of each CGU requires judgments to be made about the interdependence of Polestar's capital intensive (i.e., Property, plant, and equipment and Intangible assets) and working capital assets related to cash flow generation.</w:t>
      </w:r>
    </w:p>
    <w:p>
      <w:pPr>
        <w:spacing w:after="0" w:line="44" w:lineRule="exact"/>
        <w:rPr>
          <w:rFonts w:ascii="Times New Roman" w:cs="Times New Roman" w:eastAsia="Times New Roman" w:hAnsi="Times New Roman"/>
          <w:sz w:val="15"/>
          <w:szCs w:val="15"/>
          <w:color w:val="FFFFFF"/>
        </w:rPr>
      </w:pPr>
    </w:p>
    <w:p>
      <w:pPr>
        <w:jc w:val="both"/>
        <w:ind w:left="840" w:hanging="281"/>
        <w:spacing w:after="0" w:line="237" w:lineRule="auto"/>
        <w:tabs>
          <w:tab w:leader="none" w:pos="836" w:val="left"/>
        </w:tabs>
        <w:numPr>
          <w:ilvl w:val="0"/>
          <w:numId w:val="40"/>
        </w:numPr>
        <w:rPr>
          <w:rFonts w:ascii="Times New Roman" w:cs="Times New Roman" w:eastAsia="Times New Roman" w:hAnsi="Times New Roman"/>
          <w:sz w:val="15"/>
          <w:szCs w:val="15"/>
          <w:color w:val="FFFFFF"/>
        </w:rPr>
      </w:pPr>
      <w:r>
        <w:rPr>
          <w:rFonts w:ascii="Times New Roman" w:cs="Times New Roman" w:eastAsia="Times New Roman" w:hAnsi="Times New Roman"/>
          <w:sz w:val="15"/>
          <w:szCs w:val="15"/>
          <w:color w:val="auto"/>
        </w:rPr>
        <w:t xml:space="preserve">Polestar conducts routine evaluations of its investment in associates to determine if there is objective evidence that the investment is impaired. Polestar will recognize an impairment loss when there is objective evidence of impairment as a result of events that have a negative impact on the estimated future cash flows generated by Polestar's investment in its associates – refer to </w:t>
      </w:r>
      <w:r>
        <w:rPr>
          <w:rFonts w:ascii="Times New Roman" w:cs="Times New Roman" w:eastAsia="Times New Roman" w:hAnsi="Times New Roman"/>
          <w:sz w:val="15"/>
          <w:szCs w:val="15"/>
          <w:i w:val="1"/>
          <w:iCs w:val="1"/>
          <w:color w:val="auto"/>
        </w:rPr>
        <w:t>Note 10 - Investment in associates.</w:t>
      </w:r>
    </w:p>
    <w:p>
      <w:pPr>
        <w:spacing w:after="0" w:line="44" w:lineRule="exact"/>
        <w:rPr>
          <w:rFonts w:ascii="Times New Roman" w:cs="Times New Roman" w:eastAsia="Times New Roman" w:hAnsi="Times New Roman"/>
          <w:sz w:val="15"/>
          <w:szCs w:val="15"/>
          <w:color w:val="FFFFFF"/>
        </w:rPr>
      </w:pPr>
    </w:p>
    <w:p>
      <w:pPr>
        <w:ind w:left="840" w:right="60" w:hanging="281"/>
        <w:spacing w:after="0" w:line="230" w:lineRule="auto"/>
        <w:tabs>
          <w:tab w:leader="none" w:pos="8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 of inventory – Polestar conducts routine evaluations of its inventories to ensure that the carrying value of inventories does not exceed net realizable value ("NRV"). NRV is based on the estimated selling price of inventories less, estimated costs of completion. If the carrying value of inventories exceeds NRV, the surplus is recognized within Cost of sales, writing down the value of inventories to establish a new cost basis. Polestar conducts routine analyses to determine if estimates (e.g., estimated selling prices and estimated costs) used in the NRV calculation require changes and if additional impairment adjustments to inventories are required.</w:t>
      </w:r>
    </w:p>
    <w:p>
      <w:pPr>
        <w:spacing w:after="0" w:line="56"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Valuation of loss carry-forwards – The recognition of deferred tax assets requires estimates to be made about the level of future taxable income and the timing of recovery of deferred tax assets, taking into account the relevant tax jurisdictions – refer to </w:t>
      </w:r>
      <w:r>
        <w:rPr>
          <w:rFonts w:ascii="Times New Roman" w:cs="Times New Roman" w:eastAsia="Times New Roman" w:hAnsi="Times New Roman"/>
          <w:sz w:val="15"/>
          <w:szCs w:val="15"/>
          <w:i w:val="1"/>
          <w:iCs w:val="1"/>
          <w:color w:val="auto"/>
        </w:rPr>
        <w:t>Note 13 - Income tax benefit (expense)</w:t>
      </w:r>
      <w:r>
        <w:rPr>
          <w:rFonts w:ascii="Times New Roman" w:cs="Times New Roman" w:eastAsia="Times New Roman" w:hAnsi="Times New Roman"/>
          <w:sz w:val="15"/>
          <w:szCs w:val="15"/>
          <w:color w:val="auto"/>
        </w:rPr>
        <w:t>.</w:t>
      </w:r>
    </w:p>
    <w:p>
      <w:pPr>
        <w:spacing w:after="0" w:line="39" w:lineRule="exact"/>
        <w:rPr>
          <w:rFonts w:ascii="Times New Roman" w:cs="Times New Roman" w:eastAsia="Times New Roman" w:hAnsi="Times New Roman"/>
          <w:sz w:val="15"/>
          <w:szCs w:val="15"/>
          <w:color w:val="auto"/>
        </w:rPr>
      </w:pPr>
    </w:p>
    <w:p>
      <w:pPr>
        <w:jc w:val="both"/>
        <w:ind w:left="840" w:right="20" w:hanging="281"/>
        <w:spacing w:after="0" w:line="230" w:lineRule="auto"/>
        <w:tabs>
          <w:tab w:leader="none" w:pos="836"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Valuation of the financial liability for the Class C-1 Shares and Class C-2 Shares (collectively, “Class C Shares”) – Class C-1 Shares are publicly traded on the NASDAQ (i.e., an active market). Class C-2 Shares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w:t>
      </w:r>
    </w:p>
    <w:p>
      <w:pPr>
        <w:spacing w:after="0" w:line="56" w:lineRule="exact"/>
        <w:rPr>
          <w:rFonts w:ascii="Times New Roman" w:cs="Times New Roman" w:eastAsia="Times New Roman" w:hAnsi="Times New Roman"/>
          <w:sz w:val="15"/>
          <w:szCs w:val="15"/>
          <w:b w:val="1"/>
          <w:bCs w:val="1"/>
          <w:color w:val="auto"/>
        </w:rPr>
      </w:pPr>
    </w:p>
    <w:p>
      <w:pPr>
        <w:jc w:val="both"/>
        <w:ind w:left="840" w:hanging="281"/>
        <w:spacing w:after="0" w:line="232" w:lineRule="auto"/>
        <w:tabs>
          <w:tab w:leader="none" w:pos="836"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Valuation of the financial liability for the Former Parent’s contingent Earn-out rights –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Actual results could differ materially from those estimates using different assumptions or under different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7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 and presented as such in the Consolidated Statement of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7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Marketable securities are financial instruments with maturities less than one year when acquired that can quickly be converted into cash. Polestar’s marketable securities consist of short-term money market funds (i.e., time deposits in banks). As of December 31, 2023 and 2022, the Group had no marketable securities</w:t>
      </w:r>
      <w:r>
        <w:rPr>
          <w:rFonts w:ascii="Times New Roman" w:cs="Times New Roman" w:eastAsia="Times New Roman" w:hAnsi="Times New Roman"/>
          <w:sz w:val="15"/>
          <w:szCs w:val="15"/>
          <w:i w:val="1"/>
          <w:iCs w:val="1"/>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cash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9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Restricted cash are Cash and cash equivalents held by Polestar for specified use which are unavailable to the overall Group for general, operational purposes. As of December 31, 2023 the Group had restricted cash of $1,834 which is presented as Other non-current assets in the Consolidated Statement of Financial Position. As of December 31, 2022 the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did not have any restricted cash.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grants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Group’s subsidiaries based in the People’s Republic of China received government grants which were conditioned to be used for production related costs and grants for non-</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specified purposes. The Group’s subsidiary based in the UK received government grants conditioned to be used for product development activities. Neither of these grants are tied to the future trends or performance of the Group and are not required to be refunded under any circumstance. For grants received related to assets the Group deducts the grant from the carrying value of the asset. The grant is then recognized in profit and loss over the life of the depreciable asset as a reduction of the depreciation expense. The amount of government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grants received related to assets as of December 31, 2023 and 2022 was $4,223 and $3,745, respectively.</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Group’s subsidiary based in Ireland received government grants related to incentivizing the use of zero emission vehicles. The incentive is given by the Sustainable Energy Authority of Ireland (SEAI) to support the switch to zero emission vehicles in Ireland. The Group's subsidiary based in Sweden received government grants related to incentivizing</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innovation and sustainable growth. This incentive is given by Vinnova - Sweden's innovation agency. Receipt of such grants is either reported as a deduction to the related expense or as Other operating income, depending on the nature of the grant received. The amount of government grants received as of December 31, 2023, 2022 and 2021 was $1,402, $59 and $309,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refund liabilities, contract liabilities to customers related to performance obligations, and potential sales discounts when considering revenue and related estimates.</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w:t>
      </w:r>
    </w:p>
    <w:p>
      <w:pPr>
        <w:spacing w:after="0"/>
        <w:rPr>
          <w:sz w:val="20"/>
          <w:szCs w:val="20"/>
          <w:color w:val="auto"/>
        </w:rPr>
      </w:pPr>
      <w:r>
        <w:rPr>
          <w:rFonts w:ascii="Times New Roman" w:cs="Times New Roman" w:eastAsia="Times New Roman" w:hAnsi="Times New Roman"/>
          <w:sz w:val="15"/>
          <w:szCs w:val="15"/>
          <w:color w:val="auto"/>
        </w:rPr>
        <w:t>data that reflects the amount of consideration to which the Group expects to be entitled in exchange for transferring the promised goods or services to the customer.</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of vehicles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Revenue from the sales of vehicles includes sales of the Group’s vehicles as well as related accessories and services. Revenue is recognized when the customer obtains control of delivered goods or services, and thus has the ability to direct the use of, and obtain the benefits from, the goods or services. Polestar Group includes various services and maintenance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(i.e., extended service) offers with the sale of each vehicle for a period of time specified in the contract.</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For accessory sales, Polestar evaluates whether the Group is the principal or an agent to determine the appropriate revenue recognition method. As a principal, Polestar control the specified goods or services before they are transferred to the customer, which is indicated by having primary responsibility for fulfilling the promise. Consequently, when acting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principal, Polestar recognizes revenue on a gross basis. In the case where Polestar is not a principal, Polestar is an agent and recognizes revenue on a net basis.</w:t>
      </w:r>
    </w:p>
    <w:p>
      <w:pPr>
        <w:spacing w:after="0" w:line="5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services, maintenance, and connected services are considered stand-ready obligations as Polestar cannot determine (1) when a customer will access a service, or (2) the</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quantity of a service the customer will require (i.e., delivery is within control of the customer). Polestar uses an expected cost plus a margin method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appropriate inputs to the cost-plus margin calculation. The related performance obligations are satisfied in accordance with the terms of each service, and revenue is deferred and recognized on a straight-line basis over the contract period as a stand-ready obligation. The deferred revenue is presented as Current and Non-current contract liabilities, since the customers’ payments are made before the services are transferred.</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Polestar recognizes revenue related to the extended service on a straight-line basis over the 3-year period following initial recognition, consistent with the terms of the contractually offered services. Polestar recognizes revenue related to connected services on a straight-line basis over the 8-year period following initial recognition, consistent with the expected utilization of the services.</w:t>
      </w:r>
    </w:p>
    <w:p>
      <w:pPr>
        <w:spacing w:after="0" w:line="55"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stand-alone selling price associated with the delivery of the vehicle is determined using an expected cost plus a margin method. Historically, Polestar used the residual method to determine the stand-alone selling price associated with the delivery of the vehicle. Effective from the fourth quarter of the year ended December 31, 2023, the Company transitioned from the residual method to the expected cost plus a margin method. Polestar transitioned away from the residual method as a result of new information leading to the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9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refining of estimation techniques to provide a more relevant and appropriate estimate. Due to more experience, arising from four consecutive years of car sales and the availability of more accurate data, we have determined that the expected cost plus a margin method is more suitable. This change has been accounted for prospectively as a change in accounting</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estimate in accordance with IAS 8. The effect of this change in estimate when recalculating revenue and deferred revenue under the new approach is immaterial. The transaction price allocated to the delivery of the vehicle is recognized at a point in time on the delivery date. Polestar has continued to evaluate and monitor the number of observable inputs available for use in estimating the stand-alone selling price of its vehicles.</w:t>
      </w:r>
    </w:p>
    <w:p>
      <w:pPr>
        <w:spacing w:after="0" w:line="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Vehicles were historically only sold to individuals (end customers), fleet customers, financial service providers, and dealers. During the year ended December 31, 2022, Polestar began selling to importers as well. Importer markets exist where the Group does not have its own direct sales unit, so a third party imports Polestar vehicles and sells them to end users.</w:t>
      </w:r>
    </w:p>
    <w:p>
      <w:pPr>
        <w:spacing w:after="0" w:line="21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Since commercialization of Polestar vehicles commenced in the third quarter of 2020, the Group has not recognized a significant number of customer returns, and therefore has not accrued any obligations for returns, refunds, or other similar obligations for the years ended December 31, 2023 and 2022. Further, contracts with importers specify that the importer does not have the right to return vehicles.</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w:t>
      </w:r>
    </w:p>
    <w:p>
      <w:pPr>
        <w:jc w:val="both"/>
        <w:spacing w:after="0" w:line="224" w:lineRule="auto"/>
        <w:rPr>
          <w:sz w:val="20"/>
          <w:szCs w:val="20"/>
          <w:color w:val="auto"/>
        </w:rPr>
      </w:pPr>
      <w:r>
        <w:rPr>
          <w:rFonts w:ascii="Times New Roman" w:cs="Times New Roman" w:eastAsia="Times New Roman" w:hAnsi="Times New Roman"/>
          <w:sz w:val="15"/>
          <w:szCs w:val="15"/>
          <w:color w:val="auto"/>
        </w:rPr>
        <w:t>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recognizing RVGs and amend how it accounts for them, if necessary.</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There are no significant payment terms for end customers, fleet customers, financial service providers, dealers or importers as payment is due on or near the date of invoice. Consideration received by fleet customers is variable in nature as the customer can receive volume related discounts, which are annual rebates based on the number of vehicles ordered throughout the year. There is no variability in consideration received from importers as they are charged a fixed price per vehicle. There is no significant variability in</w:t>
      </w:r>
    </w:p>
    <w:p>
      <w:pPr>
        <w:spacing w:after="0"/>
        <w:rPr>
          <w:sz w:val="20"/>
          <w:szCs w:val="20"/>
          <w:color w:val="auto"/>
        </w:rPr>
      </w:pPr>
      <w:r>
        <w:rPr>
          <w:rFonts w:ascii="Times New Roman" w:cs="Times New Roman" w:eastAsia="Times New Roman" w:hAnsi="Times New Roman"/>
          <w:sz w:val="15"/>
          <w:szCs w:val="15"/>
          <w:color w:val="auto"/>
        </w:rPr>
        <w:t>consideration received from other customers.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of software and performance engineered kits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Revenue from the sales of software is related to intellectual property licensed to Volvo Cars under which Volvo Cars obtained rights to provide software upgrades to their customers’</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Volvo Cars’ sales of software occur.</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Revenue from the sales of performance engineered kits is related to intellectual property licensed to Volvo Cars under which Volvo Cars obtained rights to provide optimizations and enhancements to their customers’ vehicles in exchange for sales-based royalties to Polestar Group. Performance engineered kits are installed at Volvo Cars manufacturing plants as</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vehicles with the performance engineered kits occur.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significant payment terms as payment is due near the date of invoice.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of carbon credits</w:t>
      </w:r>
    </w:p>
    <w:p>
      <w:pPr>
        <w:spacing w:after="0" w:line="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Revenue from the sale of carbon credits is recognized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5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In certain jurisdictions, Polestar is unable to independently sell the carbon credits allocated to its vehicles due to the fact that the vehicles were not physically manufactured by Polestar. In this case, the legal manufacturer remits the full compensation received for the credit sold to Polestar where the legal manufacturer acts as a "pass through." The compensation received for these carbon credits is recognized within Other income on the Consolidated Statement of Loss and Comprehensive Loss.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significant payment terms as payment is due near the date of invoice.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Vehicle leasing revenue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years ended December 31, 2023 and December 31, 2022, Polestar Group entered into operating lease arrangements that mainly relate to vehicles sold with repurchase</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vehicle leasing revenue.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Operating leases are initially measured at cost and depreciated on a straight-line basis over the lease term to the estimated residual value. Incremental direct costs incurred in</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connection with the acquisition of operating lease contracts are capitalized into the operating lease asset and also amortized on a straight-line basis over the lease term. In the Consolidated Statement of Financial Position, such operating leases are presented as Vehicles under operating leases and recognized as non-current assets. Vehicle leasing revenue is recognized on a straight-line basis over the lease term. For sales of vehicles with repurchase obligations that are accounted for as operating leases, the entire amount due to Polestar is</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paid up-front at contract inception. Deferred revenue is recorded for the difference between the cash received from the sale of the vehicle and the vehicle’s repurchase value, where the associated liability is recorded in Other current liabilities and other non-current liabilities in the Consolidated Statement of Financial Position.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revenue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revenue consists of revenue generated through the Group’s sale of research and development services and intellectual property licensed to Volvo Cars under which Volvo Cars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obtained rights to source and sell parts and accessories for the Group’s vehicles to customers in exchange for sales-based royalties to Polestar Group. Other revenue also includes the sale of technology to other related parties.</w:t>
      </w:r>
    </w:p>
    <w:p>
      <w:pPr>
        <w:spacing w:after="0" w:line="4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recognized over time.</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performance obligation related to intellectual property licensed to Volvo Cars is satisfied at the point in time the Group transfers the licensed know-how to Volvo Cars and therefore has the ability to direct the use of, and obtain the benefits from, the license. The Group recognizes license revenue from sales-based royalties in the period in which Volvo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Cars’ sales of parts and accessories occur.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performance obligation related to the sales of technology to other related parties is satisfied at the point in time the Group transfers the Intellectual property to the related party.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significant payment terms as payment is due near the date of invoice.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Refund liabilities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Refund liabilities are obligations related to contracts with customers and are recognized when Polestar Group estimates it is, or will be, obligated to transfer cash to customers or service providers incentivizing contracts with customers. Refund liabilities primarily relate to volume related bonuses or discounts, residual value guarantees, and interest rate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subvention schemes. In the case of volume related bonuses or discounts and interest rate subvention schemes, a short-term refund liability will be recognized as payment is due within a twelve-month period, in line with contractual payment terms. For residual value guarantees, short-term and long-term refund liabilities may be recognized depending on the term of the guarantee.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Contract liabilities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Contract liabilities are obligations related to contracts with customers and are recognized when Polestar Group is obligated to transfer goods or services. Contract liabilities include deferred revenue from service contracts (i.e., services to be performed), operating leases, and connected services related to the Polestar 1 (“PS1”) and Polestar 2 (“PS2”).</w:t>
      </w:r>
    </w:p>
    <w:p>
      <w:pPr>
        <w:spacing w:after="0" w:line="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As the Group satisfies its performance obligations, revenue is recognized, and the contract liability is reduced. As stated above, delivery of services and maintenance is within the customer’s control. Accordingly, the Group expects to recognize revenue related to such service contract liabilities over the 3-year period following initial recognition, consistent with the terms of the contractually offered services. Related to connected services, the Group expects to recognize revenue over the 8-year period following initial recognition, consistent</w:t>
      </w:r>
    </w:p>
    <w:p>
      <w:pPr>
        <w:jc w:val="both"/>
        <w:spacing w:after="0" w:line="224" w:lineRule="auto"/>
        <w:rPr>
          <w:sz w:val="20"/>
          <w:szCs w:val="20"/>
          <w:color w:val="auto"/>
        </w:rPr>
      </w:pPr>
      <w:r>
        <w:rPr>
          <w:rFonts w:ascii="Times New Roman" w:cs="Times New Roman" w:eastAsia="Times New Roman" w:hAnsi="Times New Roman"/>
          <w:sz w:val="15"/>
          <w:szCs w:val="15"/>
          <w:color w:val="auto"/>
        </w:rPr>
        <w:t>with the expected utilization of the services. In the case of volume related discounts that are triggered over time, a short-term contract liability will also be recognized as payment is due within a twelve-month period, in line with contractual payment terms. For deferred revenue generated through operating leases, the Group expects to recognize revenue on a straight-line basis, consistent with the terms of the contract.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 of sales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For the years ended December 31, 2023, 2022 and 2021, Cost of sales amounted to $2,778,222, $2,339,696, and $1,332,569, respectively. Costs of sales are related to the sales of vehicles and related accessories and services, which primarily consists of contract manufacturing costs, depreciation related to PPE and right-of-use assets, amortization of intangible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 xml:space="preserve">assets related to manufacturing engineering, warehousing and transportation costs for inventory, customs duties, and charges to write down the carrying value of inventory when it exceeds the estimated net realizable value. Sales of software and performance engineered kits and other revenue are related to items which were originally developed with the intent of internal use, not with the intent to sell. As such, all costs were appropriately capitalized or expensed as described in </w:t>
      </w:r>
      <w:r>
        <w:rPr>
          <w:rFonts w:ascii="Times New Roman" w:cs="Times New Roman" w:eastAsia="Times New Roman" w:hAnsi="Times New Roman"/>
          <w:sz w:val="15"/>
          <w:szCs w:val="15"/>
          <w:i w:val="1"/>
          <w:iCs w:val="1"/>
          <w:color w:val="auto"/>
        </w:rPr>
        <w:t>Accounting policies – Intangible assets and goodwill –</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i w:val="1"/>
          <w:iCs w:val="1"/>
          <w:color w:val="auto"/>
        </w:rPr>
        <w:t>Internally developed IP</w:t>
      </w:r>
      <w:r>
        <w:rPr>
          <w:rFonts w:ascii="Times New Roman" w:cs="Times New Roman" w:eastAsia="Times New Roman" w:hAnsi="Times New Roman"/>
          <w:sz w:val="15"/>
          <w:szCs w:val="15"/>
          <w:color w:val="auto"/>
        </w:rPr>
        <w:t>. Additionally, as of the fourth quarter of the year ended December 31, 2023, Cost of sales included the amortization of intellectual property previously used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PS1 and currently used in the PS2. Cost of sales also includes the impairment of inventories and any impairment of long-term assets directly related to inventories.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 benefits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Group compensates its employees through short-term employee benefits, other long-term benefits, and post-employment benefits. Generally, an employee benefit is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recognized in accordance with IAS 19, when an employee has provided service in exchange for employee benefits to be paid in the future or when Polestar Group is contractually committed to providing a benefit without a realistic probability of withdrawal from its commitment.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Short-term employee benefits</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Short-term employee benefits consist of wages, salaries, social benefit costs, paid annual leave and paid sick leave, and bonuses that are expected to be settled within twelve months of the reporting period in which services are rendered. Short-term employee benefits are recognized at the undiscounted amounts expected to be paid when the liabilities are settled and presented within Current provisions and Other current liabilities in the Consolidated Statement of Financial Position.</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w:t>
      </w:r>
    </w:p>
    <w:p>
      <w:pPr>
        <w:jc w:val="both"/>
        <w:spacing w:after="0" w:line="232" w:lineRule="auto"/>
        <w:rPr>
          <w:sz w:val="20"/>
          <w:szCs w:val="20"/>
          <w:color w:val="auto"/>
        </w:rPr>
      </w:pPr>
      <w:r>
        <w:rPr>
          <w:rFonts w:ascii="Times New Roman" w:cs="Times New Roman" w:eastAsia="Times New Roman" w:hAnsi="Times New Roman"/>
          <w:sz w:val="15"/>
          <w:szCs w:val="15"/>
          <w:color w:val="auto"/>
        </w:rPr>
        <w:t>Employees need to have joined the organization as of December 1st of the year in order to be eligible for the program. An estimate of the expected costs of the program are calculated and recognized at the end of each reporting period.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0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5" w:name="page86"/>
    <w:bookmarkEnd w:id="85"/>
    <w:p>
      <w:pPr>
        <w:jc w:val="center"/>
        <w:ind w:righ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Other long-term benefits</w:t>
      </w:r>
    </w:p>
    <w:p>
      <w:pPr>
        <w:spacing w:after="0" w:line="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annual Long Term Variable Pay Program (“LTVP”) is a cash-settled incentive program for certain key management personnel that is based on (1) valuation of Volvo Cars after a</w:t>
      </w:r>
    </w:p>
    <w:p>
      <w:pPr>
        <w:spacing w:after="0" w:line="6" w:lineRule="exact"/>
        <w:rPr>
          <w:sz w:val="20"/>
          <w:szCs w:val="20"/>
          <w:color w:val="auto"/>
        </w:rPr>
      </w:pP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three year period (i.e., the vesting period) and (2) Volvo Car’s achievement of certain profit and Revenue growth metrics. The LTVP program was instituted at Polestar Group to incentivize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w:t>
      </w:r>
    </w:p>
    <w:p>
      <w:pPr>
        <w:spacing w:after="0" w:line="2" w:lineRule="exact"/>
        <w:rPr>
          <w:sz w:val="20"/>
          <w:szCs w:val="20"/>
          <w:color w:val="auto"/>
        </w:rPr>
      </w:pPr>
    </w:p>
    <w:p>
      <w:pPr>
        <w:jc w:val="both"/>
        <w:ind w:left="7"/>
        <w:spacing w:after="0" w:line="224" w:lineRule="auto"/>
        <w:rPr>
          <w:sz w:val="20"/>
          <w:szCs w:val="20"/>
          <w:color w:val="auto"/>
        </w:rPr>
      </w:pPr>
      <w:r>
        <w:rPr>
          <w:rFonts w:ascii="Times New Roman" w:cs="Times New Roman" w:eastAsia="Times New Roman" w:hAnsi="Times New Roman"/>
          <w:sz w:val="15"/>
          <w:szCs w:val="15"/>
          <w:color w:val="auto"/>
        </w:rPr>
        <w:t>eligible to receive an award equivalent to a certain percentage of their annual base salary that is capped at a 300% ceiling. Employees must remain employed to be eligible to receive the award. The fair value of the LTVP is recognized on the annual grant date, subsequently remeasured at the end of reach reporting date, and presented within Current and non-current provisions in the Consolidated Statement of Financial Position.</w:t>
      </w:r>
    </w:p>
    <w:p>
      <w:pPr>
        <w:spacing w:after="0" w:line="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Post-employment benefits</w:t>
      </w:r>
    </w:p>
    <w:p>
      <w:pPr>
        <w:spacing w:after="0" w:line="75" w:lineRule="exact"/>
        <w:rPr>
          <w:sz w:val="20"/>
          <w:szCs w:val="20"/>
          <w:color w:val="auto"/>
        </w:rPr>
      </w:pPr>
    </w:p>
    <w:p>
      <w:pPr>
        <w:jc w:val="both"/>
        <w:ind w:left="7" w:right="20"/>
        <w:spacing w:after="0" w:line="246" w:lineRule="auto"/>
        <w:rPr>
          <w:sz w:val="20"/>
          <w:szCs w:val="20"/>
          <w:color w:val="auto"/>
        </w:rPr>
      </w:pPr>
      <w:r>
        <w:rPr>
          <w:rFonts w:ascii="Times New Roman" w:cs="Times New Roman" w:eastAsia="Times New Roman" w:hAnsi="Times New Roman"/>
          <w:sz w:val="15"/>
          <w:szCs w:val="15"/>
          <w:color w:val="auto"/>
        </w:rPr>
        <w:t>Polestar Group’s post-employment benefits are comprised of defined contribution pension plans and the Swedish defined benefit pension (“ITP 2”) that is managed by the mutual insurance company Alecta.</w:t>
      </w:r>
    </w:p>
    <w:p>
      <w:pPr>
        <w:spacing w:after="0" w:line="52" w:lineRule="exact"/>
        <w:rPr>
          <w:sz w:val="20"/>
          <w:szCs w:val="20"/>
          <w:color w:val="auto"/>
        </w:rPr>
      </w:pPr>
    </w:p>
    <w:p>
      <w:pPr>
        <w:jc w:val="both"/>
        <w:ind w:left="7" w:right="20"/>
        <w:spacing w:after="0" w:line="232" w:lineRule="auto"/>
        <w:rPr>
          <w:sz w:val="20"/>
          <w:szCs w:val="20"/>
          <w:color w:val="auto"/>
        </w:rPr>
      </w:pPr>
      <w:r>
        <w:rPr>
          <w:rFonts w:ascii="Times New Roman" w:cs="Times New Roman" w:eastAsia="Times New Roman" w:hAnsi="Times New Roman"/>
          <w:sz w:val="15"/>
          <w:szCs w:val="15"/>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recognized in the reporting period in which services are rendered and presented within Current and non-current provisions in the Consolidated Statement of Financial Position. Contribution rates are unique to each employee.</w:t>
      </w:r>
    </w:p>
    <w:p>
      <w:pPr>
        <w:spacing w:after="0" w:line="55" w:lineRule="exact"/>
        <w:rPr>
          <w:sz w:val="20"/>
          <w:szCs w:val="20"/>
          <w:color w:val="auto"/>
        </w:rPr>
      </w:pPr>
    </w:p>
    <w:p>
      <w:pPr>
        <w:jc w:val="both"/>
        <w:ind w:left="7"/>
        <w:spacing w:after="0" w:line="222" w:lineRule="auto"/>
        <w:rPr>
          <w:sz w:val="20"/>
          <w:szCs w:val="20"/>
          <w:color w:val="auto"/>
        </w:rPr>
      </w:pPr>
      <w:r>
        <w:rPr>
          <w:rFonts w:ascii="Times New Roman" w:cs="Times New Roman" w:eastAsia="Times New Roman" w:hAnsi="Times New Roman"/>
          <w:sz w:val="15"/>
          <w:szCs w:val="15"/>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w:t>
      </w:r>
    </w:p>
    <w:p>
      <w:pPr>
        <w:jc w:val="both"/>
        <w:ind w:left="7"/>
        <w:spacing w:after="0" w:line="224" w:lineRule="auto"/>
        <w:rPr>
          <w:sz w:val="20"/>
          <w:szCs w:val="20"/>
          <w:color w:val="auto"/>
        </w:rPr>
      </w:pPr>
      <w:r>
        <w:rPr>
          <w:rFonts w:ascii="Times New Roman" w:cs="Times New Roman" w:eastAsia="Times New Roman" w:hAnsi="Times New Roman"/>
          <w:sz w:val="15"/>
          <w:szCs w:val="15"/>
          <w:color w:val="auto"/>
        </w:rPr>
        <w:t>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$4,532 are estimated to be paid to Alecta for the year ended December 31, 2023 related to ITP 2.</w:t>
      </w:r>
    </w:p>
    <w:p>
      <w:pPr>
        <w:spacing w:after="0" w:line="57" w:lineRule="exact"/>
        <w:rPr>
          <w:sz w:val="20"/>
          <w:szCs w:val="20"/>
          <w:color w:val="auto"/>
        </w:rPr>
      </w:pPr>
    </w:p>
    <w:p>
      <w:pPr>
        <w:jc w:val="both"/>
        <w:ind w:left="7"/>
        <w:spacing w:after="0" w:line="222" w:lineRule="auto"/>
        <w:rPr>
          <w:sz w:val="20"/>
          <w:szCs w:val="20"/>
          <w:color w:val="auto"/>
        </w:rPr>
      </w:pPr>
      <w:r>
        <w:rPr>
          <w:rFonts w:ascii="Times New Roman" w:cs="Times New Roman" w:eastAsia="Times New Roman" w:hAnsi="Times New Roman"/>
          <w:sz w:val="15"/>
          <w:szCs w:val="15"/>
          <w:color w:val="auto"/>
        </w:rPr>
        <w:t>Polestar Group’s share of the total savings premiums for ITP 2 in Alecta for the years ended December 31, 2023, 2022 and 2021, amounted to 0.31903%, 0.20597%, and 0.13056%, respectively. Further, Polestar Group’s share of the total number of active policy holders as of December 31, 2023, 2022 and 2021, amounted to 0.08470%, 0.07340%, and 0.04485%, respectively. The collective consolidation level comprises the market value of Alecta’s asset as a percentage of the insurance obligations calculated in accordance with Alecta’s</w:t>
      </w:r>
    </w:p>
    <w:p>
      <w:pPr>
        <w:jc w:val="both"/>
        <w:ind w:left="7"/>
        <w:spacing w:after="0" w:line="224" w:lineRule="auto"/>
        <w:rPr>
          <w:sz w:val="20"/>
          <w:szCs w:val="20"/>
          <w:color w:val="auto"/>
        </w:rPr>
      </w:pPr>
      <w:r>
        <w:rPr>
          <w:rFonts w:ascii="Times New Roman" w:cs="Times New Roman" w:eastAsia="Times New Roman" w:hAnsi="Times New Roman"/>
          <w:sz w:val="15"/>
          <w:szCs w:val="15"/>
          <w:color w:val="auto"/>
        </w:rPr>
        <w:t>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2023, 2022 and 2021, Alecta’s surplus of consolidation level amounted to 158%, 172%, and 172%, respectively.</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Share-based payments</w:t>
      </w:r>
    </w:p>
    <w:p>
      <w:pPr>
        <w:spacing w:after="0" w:line="75" w:lineRule="exact"/>
        <w:rPr>
          <w:sz w:val="20"/>
          <w:szCs w:val="20"/>
          <w:color w:val="auto"/>
        </w:rPr>
      </w:pPr>
    </w:p>
    <w:p>
      <w:pPr>
        <w:jc w:val="both"/>
        <w:ind w:left="7"/>
        <w:spacing w:after="0" w:line="228" w:lineRule="auto"/>
        <w:rPr>
          <w:sz w:val="20"/>
          <w:szCs w:val="20"/>
          <w:color w:val="auto"/>
        </w:rPr>
      </w:pPr>
      <w:r>
        <w:rPr>
          <w:rFonts w:ascii="Times New Roman" w:cs="Times New Roman" w:eastAsia="Times New Roman" w:hAnsi="Times New Roman"/>
          <w:sz w:val="15"/>
          <w:szCs w:val="15"/>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w:t>
      </w:r>
    </w:p>
    <w:p>
      <w:pPr>
        <w:spacing w:after="0" w:line="1" w:lineRule="exact"/>
        <w:rPr>
          <w:sz w:val="20"/>
          <w:szCs w:val="20"/>
          <w:color w:val="auto"/>
        </w:rPr>
      </w:pPr>
    </w:p>
    <w:p>
      <w:pPr>
        <w:jc w:val="both"/>
        <w:ind w:left="7" w:right="20"/>
        <w:spacing w:after="0"/>
        <w:rPr>
          <w:sz w:val="20"/>
          <w:szCs w:val="20"/>
          <w:color w:val="auto"/>
        </w:rPr>
      </w:pPr>
      <w:r>
        <w:rPr>
          <w:rFonts w:ascii="Times New Roman" w:cs="Times New Roman" w:eastAsia="Times New Roman" w:hAnsi="Times New Roman"/>
          <w:sz w:val="15"/>
          <w:szCs w:val="15"/>
          <w:color w:val="auto"/>
        </w:rPr>
        <w:t>equity settlement, the awards are classified as equity-settled unless the Group has the obligation to settle in cash (i.e., the award provides the participant with a put option to the Group).</w:t>
      </w:r>
    </w:p>
    <w:p>
      <w:pPr>
        <w:spacing w:after="0" w:line="2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Cash settled share-based payment awards are recognized as a financial liability at their fair value on the date of grant and remeasured at each reporting date until the date of</w:t>
      </w:r>
    </w:p>
    <w:p>
      <w:pPr>
        <w:spacing w:after="0" w:line="6" w:lineRule="exact"/>
        <w:rPr>
          <w:sz w:val="20"/>
          <w:szCs w:val="20"/>
          <w:color w:val="auto"/>
        </w:rPr>
      </w:pPr>
    </w:p>
    <w:p>
      <w:pPr>
        <w:jc w:val="both"/>
        <w:ind w:left="7"/>
        <w:spacing w:after="0" w:line="213" w:lineRule="auto"/>
        <w:rPr>
          <w:sz w:val="20"/>
          <w:szCs w:val="20"/>
          <w:color w:val="auto"/>
        </w:rPr>
      </w:pPr>
      <w:r>
        <w:rPr>
          <w:rFonts w:ascii="Times New Roman" w:cs="Times New Roman" w:eastAsia="Times New Roman" w:hAnsi="Times New Roman"/>
          <w:sz w:val="15"/>
          <w:szCs w:val="15"/>
          <w:color w:val="auto"/>
        </w:rPr>
        <w:t>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Consolidated Statement of Loss and Comprehensive Loss that corresponds with the</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nature of the services provided.</w:t>
      </w:r>
    </w:p>
    <w:p>
      <w:pPr>
        <w:spacing w:after="0" w:line="51" w:lineRule="exact"/>
        <w:rPr>
          <w:sz w:val="20"/>
          <w:szCs w:val="20"/>
          <w:color w:val="auto"/>
        </w:rPr>
      </w:pPr>
    </w:p>
    <w:p>
      <w:pPr>
        <w:jc w:val="both"/>
        <w:ind w:left="7"/>
        <w:spacing w:after="0" w:line="198" w:lineRule="auto"/>
        <w:rPr>
          <w:sz w:val="20"/>
          <w:szCs w:val="20"/>
          <w:color w:val="auto"/>
        </w:rPr>
      </w:pPr>
      <w:r>
        <w:rPr>
          <w:rFonts w:ascii="Times New Roman" w:cs="Times New Roman" w:eastAsia="Times New Roman" w:hAnsi="Times New Roman"/>
          <w:sz w:val="15"/>
          <w:szCs w:val="15"/>
          <w:color w:val="auto"/>
        </w:rPr>
        <w:t>As of December 31, 2023 the Group had granted equity settled share-based payments to the Executive Management Team ("EMT") (i.e., CEO, CFO, and COO</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and other key management members in the form of restricted stock units (“RSU”), and performance stock units (“PSU”) through the 2022 Omnibus Incentive Plan. As of December 31, 2022, the</w:t>
      </w: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 xml:space="preserve">Group granted equity settled share-based payments to employees in the form of free shares, restricted stock units (“RSU”), and performance stock units (“PSU”) through the 2022 Omnibus Incentive Plan. During 2022, the Group also granted equity settled share-based payments in exchange for certain marketing services through November 1, 2023 and the service of a public listing of the Group on the Nasdaq through the merger with GGI.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detail on the merger with GGI. Refer to </w:t>
      </w:r>
      <w:r>
        <w:rPr>
          <w:rFonts w:ascii="Times New Roman" w:cs="Times New Roman" w:eastAsia="Times New Roman" w:hAnsi="Times New Roman"/>
          <w:sz w:val="15"/>
          <w:szCs w:val="15"/>
          <w:i w:val="1"/>
          <w:iCs w:val="1"/>
          <w:color w:val="auto"/>
        </w:rPr>
        <w:t>Note 8 -</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 xml:space="preserve">Share-based payment </w:t>
      </w:r>
      <w:r>
        <w:rPr>
          <w:rFonts w:ascii="Times New Roman" w:cs="Times New Roman" w:eastAsia="Times New Roman" w:hAnsi="Times New Roman"/>
          <w:sz w:val="15"/>
          <w:szCs w:val="15"/>
          <w:color w:val="auto"/>
        </w:rPr>
        <w:t>for more detail on the 2022 Omnibus Incentive Plan and marketing service agreement.</w:t>
      </w:r>
    </w:p>
    <w:p>
      <w:pPr>
        <w:spacing w:after="0" w:line="1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Polestar as lessee</w:t>
      </w:r>
    </w:p>
    <w:p>
      <w:pPr>
        <w:spacing w:after="0" w:line="86" w:lineRule="exact"/>
        <w:rPr>
          <w:sz w:val="20"/>
          <w:szCs w:val="20"/>
          <w:color w:val="auto"/>
        </w:rPr>
      </w:pPr>
    </w:p>
    <w:p>
      <w:pPr>
        <w:jc w:val="both"/>
        <w:ind w:left="7"/>
        <w:spacing w:after="0" w:line="232" w:lineRule="auto"/>
        <w:rPr>
          <w:sz w:val="20"/>
          <w:szCs w:val="20"/>
          <w:color w:val="auto"/>
        </w:rPr>
      </w:pPr>
      <w:r>
        <w:rPr>
          <w:rFonts w:ascii="Times New Roman" w:cs="Times New Roman" w:eastAsia="Times New Roman" w:hAnsi="Times New Roman"/>
          <w:sz w:val="15"/>
          <w:szCs w:val="15"/>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147002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01">
                      <a:extLst>
                        <a:ext uri="{28A0092B-C50C-407E-A947-70E740481C1C}"/>
                      </a:extLst>
                    </a:blip>
                    <a:srcRect/>
                    <a:stretch>
                      <a:fillRect/>
                    </a:stretch>
                  </pic:blipFill>
                  <pic:spPr bwMode="auto">
                    <a:xfrm>
                      <a:off x="0" y="0"/>
                      <a:ext cx="1470025" cy="7620"/>
                    </a:xfrm>
                    <a:prstGeom prst="rect">
                      <a:avLst/>
                    </a:prstGeom>
                    <a:noFill/>
                  </pic:spPr>
                </pic:pic>
              </a:graphicData>
            </a:graphic>
          </wp:anchor>
        </w:drawing>
      </w:r>
    </w:p>
    <w:p>
      <w:pPr>
        <w:spacing w:after="0" w:line="155" w:lineRule="exact"/>
        <w:rPr>
          <w:sz w:val="20"/>
          <w:szCs w:val="20"/>
          <w:color w:val="auto"/>
        </w:rPr>
      </w:pPr>
    </w:p>
    <w:p>
      <w:pPr>
        <w:ind w:left="87" w:hanging="87"/>
        <w:spacing w:after="0"/>
        <w:tabs>
          <w:tab w:leader="none" w:pos="87"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From August 31, 2023 there is no longer a Chief Operating Officer, “COO”, in the EMT.</w:t>
      </w:r>
    </w:p>
    <w:p>
      <w:pPr>
        <w:spacing w:after="0" w:line="3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0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4"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exercised, respectively. If circumstances surrounding the Group’s decision related to extension and termination options change, the Group reassesses the term of the lease accordingly.</w:t>
      </w:r>
    </w:p>
    <w:p>
      <w:pPr>
        <w:spacing w:after="0"/>
        <w:rPr>
          <w:sz w:val="20"/>
          <w:szCs w:val="20"/>
          <w:color w:val="auto"/>
        </w:rPr>
      </w:pPr>
      <w:r>
        <w:rPr>
          <w:rFonts w:ascii="Times New Roman" w:cs="Times New Roman" w:eastAsia="Times New Roman" w:hAnsi="Times New Roman"/>
          <w:sz w:val="15"/>
          <w:szCs w:val="15"/>
          <w:color w:val="auto"/>
        </w:rPr>
        <w:t>As of December 31, 2023 and 2022, no material lease extension options existed.</w:t>
      </w:r>
    </w:p>
    <w:p>
      <w:pPr>
        <w:spacing w:after="0" w:line="6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At the lease commencement date, a Right of Use ("ROU") asset and a lease liability are recognized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w:t>
      </w:r>
    </w:p>
    <w:p>
      <w:pPr>
        <w:jc w:val="both"/>
        <w:spacing w:after="0" w:line="224" w:lineRule="auto"/>
        <w:rPr>
          <w:sz w:val="20"/>
          <w:szCs w:val="20"/>
          <w:color w:val="auto"/>
        </w:rPr>
      </w:pPr>
      <w:r>
        <w:rPr>
          <w:rFonts w:ascii="Times New Roman" w:cs="Times New Roman" w:eastAsia="Times New Roman" w:hAnsi="Times New Roman"/>
          <w:sz w:val="15"/>
          <w:szCs w:val="15"/>
          <w:color w:val="auto"/>
        </w:rPr>
        <w:t>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except ROU assets that are used in the</w:t>
      </w: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manufacturing of vehicles, which are depreciated on a production basis and capitalized into inventory. For more information regarding amortization of the ROU asset, refer to </w:t>
      </w:r>
      <w:r>
        <w:rPr>
          <w:rFonts w:ascii="Times New Roman" w:cs="Times New Roman" w:eastAsia="Times New Roman" w:hAnsi="Times New Roman"/>
          <w:sz w:val="15"/>
          <w:szCs w:val="15"/>
          <w:i w:val="1"/>
          <w:iCs w:val="1"/>
          <w:color w:val="auto"/>
        </w:rPr>
        <w:t>Note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12 - Leases</w:t>
      </w:r>
      <w:r>
        <w:rPr>
          <w:rFonts w:ascii="Times New Roman" w:cs="Times New Roman" w:eastAsia="Times New Roman" w:hAnsi="Times New Roman"/>
          <w:sz w:val="15"/>
          <w:szCs w:val="15"/>
          <w:color w:val="auto"/>
        </w:rPr>
        <w:t>. The ROU asset is reduced by impairment losses, if any, and adjusted for certain remeasurements of the lease liability.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elected the practical expedient to account for leases with lease terms which end within twelve months of the initial date of application as a short-term lease. The Group</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also elected the practical expedient to not recognize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recognized on a straight-line basis as an expense over the lease term in the Consolidated Statement of Loss and Comprehensive Loss.</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On the Consolidated Statement of Financial Position, the lease liabilities are presented within interest-bearing current liabilities, interest-bearing current liabilities - related parties, other non-current interest-bearing liabilities, and other non-current interest-bearing liabilities - related parties. In the Consolidated Statement of Loss and Comprehensive Loss, depreciation expense of the ROU assets is presented on the same line item(s) as similar items of PPE. The interest expense on the lease liability is presented as part of finance</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expense. In the Consolidated Statement of Cash Flows, amortization of the lease liability is presented as a cash flow from financing activities. Payments of interest, short-term leases and leases of low value are presented as cash flows from operating activities.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has certain leases stemming from contract manufacturing agreements related to the production of Polestar vehicles. These agreements are associated with unique type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recognized as ROU assets by the Group from the day production starts.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 leaseback transactions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vehicles for accounting purposes and depreciates the assets over their useful lives.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Polestar as lessor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Consolidated Statement of Financial Position, vehicles associated with the Group’s operating leases are recognized as non-current assets and presented as Vehicles under</w:t>
      </w:r>
    </w:p>
    <w:p>
      <w:pPr>
        <w:spacing w:after="0" w:line="6"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operating leases. The vehicles are initially measured at cost and depreciated on a straight-line basis over their respective lease term to their estimated residual value. Incremental direct costs incurred in connection with the acquisition of lease contracts are capitalized and amortized on a straight-line method over the lease term. Liabilities related to repurchase obligations are recognized as other non-current and current liabilities. Following repurchase by Polestar, the vehicles are reclassified to Inventories.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Finance income and expense</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Finance income and expense represent items outside the Group’s core business. These items are presented separately from Operating loss and include net foreign exchange rate gains (losses) on financial activities, interest income on bank deposits, other finance income, expenses to credit facilities, interest expense, and other finance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 benefit (expense)</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Group’s Income tax benefit (expense) consists of current tax and deferred tax. Taxes are recognized in the Consolidated Statement of Loss and Comprehensive Loss, except when the underlying transaction is recognized directly in equity, whereupon related taxation is also recognized in equity.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 tax is tax that must be paid or will be received for the current year. Current tax also includes adjustments to current tax attributable to previous periods. Deferred tax is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Deferred tax assets and liabilities are measured at the nominal amount and at the tax rates that are expected to be applied when the asset is realized or the liability is settled, using the tax rates and tax rules that have been enacted or substantively enacted at the date of the Consolidated Statement of Financial Position.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0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Deferred tax assets relating to deductible temporary differences and loss carry forwards are recognized to the extent it is probable that they will be utilized in the future. Deferred tax assets and deferred tax liabilities are offset when they are attributable to the same taxation authority on either the same taxable entity or different taxable entities where there is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intention to settle the balances on a net basis and the affected company has a legally adopted right to offset tax assets against tax liabilities.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judgements due to future changes in projected earnings by the company, business climate, and changes to tax laws. Unrecognized Deferred tax assets are reassessed at each reporting date and recognized to the extent that it has become probable that future taxable profits will be available against which they can be used. If needed, the carrying amount of the Deferred tax asset will be altered.</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assessment of the potential exposure to Pillar Two income taxes is based on the Group’s consolidated financial statements for the current year. Based on the assessment performed, the transitional safe harbor relief applies for most jurisdictions and in the few jurisdictions where this relief does not apply, the full ETR calculation results in an effective tax rate above 15%. Management is not currently aware of any circumstances under which this might change. Therefore, the Group does not expect a potential exposure to Pillar Two</w:t>
      </w:r>
    </w:p>
    <w:p>
      <w:pPr>
        <w:spacing w:after="0"/>
        <w:rPr>
          <w:sz w:val="20"/>
          <w:szCs w:val="20"/>
          <w:color w:val="auto"/>
        </w:rPr>
      </w:pPr>
      <w:r>
        <w:rPr>
          <w:rFonts w:ascii="Times New Roman" w:cs="Times New Roman" w:eastAsia="Times New Roman" w:hAnsi="Times New Roman"/>
          <w:sz w:val="15"/>
          <w:szCs w:val="15"/>
          <w:color w:val="auto"/>
        </w:rPr>
        <w:t>top-up taxes.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Earnings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 earnings per share is calculated by dividing the net loss for the period by the weighted average number of Class A Shares and Class B Shares outstanding during the period.</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earnings per incremental share (“EPIS”) is calculated for each class of POS to determine if they are dilutive or anti-dilutive. Anti-dilutive POSs are excluded from the calculation of dilutive earnings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EPIS is calculated as (1) the consequential effect on profit or loss from the assumed conversion of the class of POS (i.e., the numerator adjustment) divided by (2) the weighted</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average number of outstanding POSs for the class (i.e., the denominator adjustment). The EPIS denominator adjustment depends on the class of POS. The Group’s classes of POSs and their related EPIS denominator adjustment methods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shd w:val="clear" w:color="auto" w:fill="DBDBDB"/>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POS Class</w:t>
            </w:r>
          </w:p>
        </w:tc>
        <w:tc>
          <w:tcPr>
            <w:tcW w:w="6160" w:type="dxa"/>
            <w:vAlign w:val="bottom"/>
            <w:shd w:val="clear" w:color="auto" w:fill="DBDBDB"/>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EPIS Denominator Adjustment Method</w:t>
            </w:r>
          </w:p>
        </w:tc>
        <w:tc>
          <w:tcPr>
            <w:tcW w:w="0" w:type="dxa"/>
            <w:vAlign w:val="bottom"/>
          </w:tcPr>
          <w:p>
            <w:pPr>
              <w:spacing w:after="0"/>
              <w:rPr>
                <w:sz w:val="1"/>
                <w:szCs w:val="1"/>
                <w:color w:val="auto"/>
              </w:rPr>
            </w:pPr>
          </w:p>
        </w:tc>
      </w:tr>
      <w:tr>
        <w:trPr>
          <w:trHeight w:val="197"/>
        </w:trPr>
        <w:tc>
          <w:tcPr>
            <w:tcW w:w="510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Unvested equity-settled RSUs</w:t>
            </w:r>
          </w:p>
        </w:tc>
        <w:tc>
          <w:tcPr>
            <w:tcW w:w="6160" w:type="dxa"/>
            <w:vAlign w:val="bottom"/>
          </w:tcPr>
          <w:p>
            <w:pPr>
              <w:jc w:val="center"/>
              <w:ind w:left="443"/>
              <w:spacing w:after="0" w:line="197" w:lineRule="exact"/>
              <w:rPr>
                <w:sz w:val="20"/>
                <w:szCs w:val="20"/>
                <w:color w:val="auto"/>
              </w:rPr>
            </w:pPr>
            <w:r>
              <w:rPr>
                <w:rFonts w:ascii="Times New Roman" w:cs="Times New Roman" w:eastAsia="Times New Roman" w:hAnsi="Times New Roman"/>
                <w:sz w:val="15"/>
                <w:szCs w:val="15"/>
                <w:color w:val="auto"/>
              </w:rPr>
              <w:t>Treasury share</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97"/>
        </w:trPr>
        <w:tc>
          <w:tcPr>
            <w:tcW w:w="5100" w:type="dxa"/>
            <w:vAlign w:val="bottom"/>
            <w:shd w:val="clear" w:color="auto" w:fill="DBDBDB"/>
          </w:tcPr>
          <w:p>
            <w:pPr>
              <w:jc w:val="center"/>
              <w:ind w:left="443"/>
              <w:spacing w:after="0"/>
              <w:rPr>
                <w:sz w:val="20"/>
                <w:szCs w:val="20"/>
                <w:color w:val="auto"/>
              </w:rPr>
            </w:pPr>
            <w:r>
              <w:rPr>
                <w:rFonts w:ascii="Times New Roman" w:cs="Times New Roman" w:eastAsia="Times New Roman" w:hAnsi="Times New Roman"/>
                <w:sz w:val="15"/>
                <w:szCs w:val="15"/>
                <w:color w:val="auto"/>
              </w:rPr>
              <w:t>Class C Shares</w:t>
            </w:r>
          </w:p>
        </w:tc>
        <w:tc>
          <w:tcPr>
            <w:tcW w:w="6160" w:type="dxa"/>
            <w:vAlign w:val="bottom"/>
            <w:shd w:val="clear" w:color="auto" w:fill="DBDBDB"/>
          </w:tcPr>
          <w:p>
            <w:pPr>
              <w:jc w:val="center"/>
              <w:ind w:left="443"/>
              <w:spacing w:after="0"/>
              <w:rPr>
                <w:sz w:val="20"/>
                <w:szCs w:val="20"/>
                <w:color w:val="auto"/>
              </w:rPr>
            </w:pPr>
            <w:r>
              <w:rPr>
                <w:rFonts w:ascii="Times New Roman" w:cs="Times New Roman" w:eastAsia="Times New Roman" w:hAnsi="Times New Roman"/>
                <w:sz w:val="15"/>
                <w:szCs w:val="15"/>
                <w:color w:val="auto"/>
              </w:rPr>
              <w:t>Treasury share</w:t>
            </w:r>
          </w:p>
        </w:tc>
        <w:tc>
          <w:tcPr>
            <w:tcW w:w="0" w:type="dxa"/>
            <w:vAlign w:val="bottom"/>
          </w:tcPr>
          <w:p>
            <w:pPr>
              <w:spacing w:after="0"/>
              <w:rPr>
                <w:sz w:val="1"/>
                <w:szCs w:val="1"/>
                <w:color w:val="auto"/>
              </w:rPr>
            </w:pPr>
          </w:p>
        </w:tc>
      </w:tr>
      <w:tr>
        <w:trPr>
          <w:trHeight w:val="197"/>
        </w:trPr>
        <w:tc>
          <w:tcPr>
            <w:tcW w:w="510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Earn-out Rights and PSUs</w:t>
            </w:r>
          </w:p>
        </w:tc>
        <w:tc>
          <w:tcPr>
            <w:tcW w:w="616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The number of shares issuable if the reporting date were the end of the contingency period</w:t>
            </w:r>
          </w:p>
        </w:tc>
        <w:tc>
          <w:tcPr>
            <w:tcW w:w="0" w:type="dxa"/>
            <w:vAlign w:val="bottom"/>
          </w:tcPr>
          <w:p>
            <w:pPr>
              <w:spacing w:after="0"/>
              <w:rPr>
                <w:sz w:val="1"/>
                <w:szCs w:val="1"/>
                <w:color w:val="auto"/>
              </w:rPr>
            </w:pPr>
          </w:p>
        </w:tc>
      </w:tr>
      <w:tr>
        <w:trPr>
          <w:trHeight w:val="159"/>
        </w:trPr>
        <w:tc>
          <w:tcPr>
            <w:tcW w:w="5100" w:type="dxa"/>
            <w:vAlign w:val="bottom"/>
            <w:vMerge w:val="restart"/>
            <w:shd w:val="clear" w:color="auto" w:fill="DBDBDB"/>
          </w:tcPr>
          <w:p>
            <w:pPr>
              <w:jc w:val="center"/>
              <w:ind w:left="443"/>
              <w:spacing w:after="0"/>
              <w:rPr>
                <w:sz w:val="20"/>
                <w:szCs w:val="20"/>
                <w:color w:val="auto"/>
              </w:rPr>
            </w:pPr>
            <w:r>
              <w:rPr>
                <w:rFonts w:ascii="Times New Roman" w:cs="Times New Roman" w:eastAsia="Times New Roman" w:hAnsi="Times New Roman"/>
                <w:sz w:val="15"/>
                <w:szCs w:val="15"/>
                <w:color w:val="auto"/>
              </w:rPr>
              <w:t>Convertible Notes</w:t>
            </w:r>
          </w:p>
        </w:tc>
        <w:tc>
          <w:tcPr>
            <w:tcW w:w="6160" w:type="dxa"/>
            <w:vAlign w:val="bottom"/>
            <w:shd w:val="clear" w:color="auto" w:fill="DBDBDB"/>
          </w:tcPr>
          <w:p>
            <w:pPr>
              <w:jc w:val="center"/>
              <w:ind w:left="443"/>
              <w:spacing w:after="0" w:line="159" w:lineRule="exact"/>
              <w:rPr>
                <w:sz w:val="20"/>
                <w:szCs w:val="20"/>
                <w:color w:val="auto"/>
              </w:rPr>
            </w:pPr>
            <w:r>
              <w:rPr>
                <w:rFonts w:ascii="Times New Roman" w:cs="Times New Roman" w:eastAsia="Times New Roman" w:hAnsi="Times New Roman"/>
                <w:sz w:val="15"/>
                <w:szCs w:val="15"/>
                <w:color w:val="auto"/>
              </w:rPr>
              <w:t>The number of shares issued assuming conversion occurred at the beginning of the</w:t>
            </w:r>
          </w:p>
        </w:tc>
        <w:tc>
          <w:tcPr>
            <w:tcW w:w="0" w:type="dxa"/>
            <w:vAlign w:val="bottom"/>
          </w:tcPr>
          <w:p>
            <w:pPr>
              <w:spacing w:after="0"/>
              <w:rPr>
                <w:sz w:val="1"/>
                <w:szCs w:val="1"/>
                <w:color w:val="auto"/>
              </w:rPr>
            </w:pPr>
          </w:p>
        </w:tc>
      </w:tr>
      <w:tr>
        <w:trPr>
          <w:trHeight w:val="118"/>
        </w:trPr>
        <w:tc>
          <w:tcPr>
            <w:tcW w:w="5100" w:type="dxa"/>
            <w:vAlign w:val="bottom"/>
            <w:vMerge w:val="continue"/>
            <w:shd w:val="clear" w:color="auto" w:fill="DBDBDB"/>
          </w:tcPr>
          <w:p>
            <w:pPr>
              <w:spacing w:after="0"/>
              <w:rPr>
                <w:sz w:val="10"/>
                <w:szCs w:val="10"/>
                <w:color w:val="auto"/>
              </w:rPr>
            </w:pPr>
          </w:p>
        </w:tc>
        <w:tc>
          <w:tcPr>
            <w:tcW w:w="6160" w:type="dxa"/>
            <w:vAlign w:val="bottom"/>
            <w:vMerge w:val="restart"/>
            <w:shd w:val="clear" w:color="auto" w:fill="DBDBDB"/>
          </w:tcPr>
          <w:p>
            <w:pPr>
              <w:jc w:val="center"/>
              <w:ind w:left="443"/>
              <w:spacing w:after="0"/>
              <w:rPr>
                <w:sz w:val="20"/>
                <w:szCs w:val="20"/>
                <w:color w:val="auto"/>
              </w:rPr>
            </w:pPr>
            <w:r>
              <w:rPr>
                <w:rFonts w:ascii="Times New Roman" w:cs="Times New Roman" w:eastAsia="Times New Roman" w:hAnsi="Times New Roman"/>
                <w:sz w:val="15"/>
                <w:szCs w:val="15"/>
                <w:color w:val="auto"/>
              </w:rPr>
              <w:t>reporting period</w:t>
            </w:r>
          </w:p>
        </w:tc>
        <w:tc>
          <w:tcPr>
            <w:tcW w:w="0" w:type="dxa"/>
            <w:vAlign w:val="bottom"/>
          </w:tcPr>
          <w:p>
            <w:pPr>
              <w:spacing w:after="0"/>
              <w:rPr>
                <w:sz w:val="1"/>
                <w:szCs w:val="1"/>
                <w:color w:val="auto"/>
              </w:rPr>
            </w:pPr>
          </w:p>
        </w:tc>
      </w:tr>
      <w:tr>
        <w:trPr>
          <w:trHeight w:val="81"/>
        </w:trPr>
        <w:tc>
          <w:tcPr>
            <w:tcW w:w="5100" w:type="dxa"/>
            <w:vAlign w:val="bottom"/>
            <w:shd w:val="clear" w:color="auto" w:fill="DBDBDB"/>
          </w:tcPr>
          <w:p>
            <w:pPr>
              <w:spacing w:after="0"/>
              <w:rPr>
                <w:sz w:val="7"/>
                <w:szCs w:val="7"/>
                <w:color w:val="auto"/>
              </w:rPr>
            </w:pPr>
          </w:p>
        </w:tc>
        <w:tc>
          <w:tcPr>
            <w:tcW w:w="616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5100" w:type="dxa"/>
            <w:vAlign w:val="bottom"/>
            <w:vMerge w:val="restart"/>
          </w:tcPr>
          <w:p>
            <w:pPr>
              <w:jc w:val="center"/>
              <w:ind w:left="443"/>
              <w:spacing w:after="0"/>
              <w:rPr>
                <w:sz w:val="20"/>
                <w:szCs w:val="20"/>
                <w:color w:val="auto"/>
              </w:rPr>
            </w:pPr>
            <w:r>
              <w:rPr>
                <w:rFonts w:ascii="Times New Roman" w:cs="Times New Roman" w:eastAsia="Times New Roman" w:hAnsi="Times New Roman"/>
                <w:sz w:val="15"/>
                <w:szCs w:val="15"/>
                <w:color w:val="auto"/>
              </w:rPr>
              <w:t>Convertible Credit Facilities with Volvo Cars and Geely</w:t>
            </w:r>
          </w:p>
        </w:tc>
        <w:tc>
          <w:tcPr>
            <w:tcW w:w="6160" w:type="dxa"/>
            <w:vAlign w:val="bottom"/>
          </w:tcPr>
          <w:p>
            <w:pPr>
              <w:jc w:val="center"/>
              <w:ind w:left="443"/>
              <w:spacing w:after="0" w:line="159" w:lineRule="exact"/>
              <w:rPr>
                <w:sz w:val="20"/>
                <w:szCs w:val="20"/>
                <w:color w:val="auto"/>
              </w:rPr>
            </w:pPr>
            <w:r>
              <w:rPr>
                <w:rFonts w:ascii="Times New Roman" w:cs="Times New Roman" w:eastAsia="Times New Roman" w:hAnsi="Times New Roman"/>
                <w:sz w:val="15"/>
                <w:szCs w:val="15"/>
                <w:color w:val="auto"/>
              </w:rPr>
              <w:t>If the instrument is converted, the number of shares issued on the</w:t>
            </w:r>
          </w:p>
        </w:tc>
        <w:tc>
          <w:tcPr>
            <w:tcW w:w="0" w:type="dxa"/>
            <w:vAlign w:val="bottom"/>
          </w:tcPr>
          <w:p>
            <w:pPr>
              <w:spacing w:after="0"/>
              <w:rPr>
                <w:sz w:val="1"/>
                <w:szCs w:val="1"/>
                <w:color w:val="auto"/>
              </w:rPr>
            </w:pPr>
          </w:p>
        </w:tc>
      </w:tr>
      <w:tr>
        <w:trPr>
          <w:trHeight w:val="118"/>
        </w:trPr>
        <w:tc>
          <w:tcPr>
            <w:tcW w:w="5100" w:type="dxa"/>
            <w:vAlign w:val="bottom"/>
            <w:vMerge w:val="continue"/>
          </w:tcPr>
          <w:p>
            <w:pPr>
              <w:spacing w:after="0"/>
              <w:rPr>
                <w:sz w:val="10"/>
                <w:szCs w:val="10"/>
                <w:color w:val="auto"/>
              </w:rPr>
            </w:pPr>
          </w:p>
        </w:tc>
        <w:tc>
          <w:tcPr>
            <w:tcW w:w="6160" w:type="dxa"/>
            <w:vAlign w:val="bottom"/>
            <w:vMerge w:val="restart"/>
          </w:tcPr>
          <w:p>
            <w:pPr>
              <w:jc w:val="center"/>
              <w:ind w:left="443"/>
              <w:spacing w:after="0"/>
              <w:rPr>
                <w:sz w:val="20"/>
                <w:szCs w:val="20"/>
                <w:color w:val="auto"/>
              </w:rPr>
            </w:pPr>
            <w:r>
              <w:rPr>
                <w:rFonts w:ascii="Times New Roman" w:cs="Times New Roman" w:eastAsia="Times New Roman" w:hAnsi="Times New Roman"/>
                <w:sz w:val="15"/>
                <w:szCs w:val="15"/>
                <w:color w:val="auto"/>
              </w:rPr>
              <w:t>date of the conversion</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0"/>
          <w:szCs w:val="10"/>
          <w:color w:val="auto"/>
        </w:rPr>
        <w:t xml:space="preserve">1 - The treasury share method prescribed by IAS 33, </w:t>
      </w:r>
      <w:r>
        <w:rPr>
          <w:rFonts w:ascii="Times New Roman" w:cs="Times New Roman" w:eastAsia="Times New Roman" w:hAnsi="Times New Roman"/>
          <w:sz w:val="10"/>
          <w:szCs w:val="10"/>
          <w:i w:val="1"/>
          <w:iCs w:val="1"/>
          <w:color w:val="auto"/>
        </w:rPr>
        <w:t>Earnings Per Share</w:t>
      </w:r>
      <w:r>
        <w:rPr>
          <w:rFonts w:ascii="Times New Roman" w:cs="Times New Roman" w:eastAsia="Times New Roman" w:hAnsi="Times New Roman"/>
          <w:sz w:val="10"/>
          <w:szCs w:val="10"/>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Intangible assets and goodwill</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An intangible asset is recognized when it is identifiable, Polestar Group controls the asset, and it is expected to generate future economic benefits. Intangible assets have either finite or indefinite lives. Finite lived intangible assets are patents, intellectual property (“IP”), both acquired and internally developed, and software. Indefinite lived intangible assets are Goodwill and Trademarks.</w:t>
      </w:r>
    </w:p>
    <w:p>
      <w:pPr>
        <w:spacing w:after="0" w:line="5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5"/>
          <w:szCs w:val="15"/>
          <w:color w:val="auto"/>
        </w:rPr>
        <w:t>Intangible assets are measured at acquisition or internal development cost, less accumulated amortization and, as applicable, impairment loss. Intangible assets with finite lives are amortized on a straight-line basis. The Group makes estimates and judgements related to expected usage of intangible assets in accordance with management’s 2024-2028 business plan, product life cycles, technological obsolescence, developments, and advancements specific to the battery electric vehicle industry. Management estimates the useful life of intangible assets by taking into account judgements on how the Group plans to utilize such intangibles in accordance with the business plan and any related rights and obligations</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under its contractual agreements. The estimated useful life and amortization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occurs</w:t>
      </w:r>
      <w:r>
        <w:rPr>
          <w:rFonts w:ascii="Times New Roman" w:cs="Times New Roman" w:eastAsia="Times New Roman" w:hAnsi="Times New Roman"/>
          <w:sz w:val="15"/>
          <w:szCs w:val="15"/>
          <w:i w:val="1"/>
          <w:iCs w:val="1"/>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Manufacturing engineering</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Polestar Group has entered into agreements with Volvo Car Group (“Volvo Cars”) and Zhejiang Geely Holding Group Company Limited (“Geely”), related parties regarding manufacturing engineering for the development of Polestar's vehicles. Amortization of manufacturing engineering is capitalized into inventory on a production basis.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Acquired IP</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0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Polestar Group has entered into agreements with Volvo Cars and Geely, a related party, regarding patent rights, the development of technology for both upgrades of existing models and upcoming models. The technology can be either Polestar unique or commonly shared. In both cases, Polestar Group is in control of the developed product for use, either through</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 license or through ownership of the IP. Acquired IP are finite-lived intangible assets which are amortized once the acquired IP is ready for its intended use, over their estimated useful lives for 3-7 years. The remaining useful life of acquired IP is between 1-6 years.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fourth quarter of the year ended December 31, 2023, Polestar changed how it amortized its acquired IP related to the PS2. Historically, amortization of acquired IP related</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to the PS1 and PS2 was included in Research and development expenses as it represented foundational IP that was leveraged across multiple vehicle models. However, in the fourth quarter of the year ended December 31, 2023, there was a change where the acquired IP related to the PS2 was no longer amortized into Research and development expenses and was instead capitalized into inventory. The change occurred due to changes in the way the PS2 acquired IP will be used in Polestar's other vehicle models. As a result, there was a change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in estimate related to the method of depreciation used for the acquired IP from the straight-line method to the units of production method. Because of this change in use, it is more appropriate to use the units of production method over the remaining life-time units to be produced. This provides an accurate estimate of the per-unit cost attributable to the acquired IP. The total impact of these changes is a decrease in Research and development expenses of $12,485 and an increase to Inventories of $3,402. Amortization of acquired IP related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PS1 terminated in connection with the end of PS1 production as planned as of December 31, 2021. All PS1 assets have been fully amortized.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Internally developed IP</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Internally developed IP are finite-lived intangible assets which are amortized over their estimated useful lives for 3-7 years. Amortization of internally developed IP is included in Research and development expenses and commences when the internally developed IP is ready for its intended use.</w:t>
      </w:r>
    </w:p>
    <w:p>
      <w:pPr>
        <w:spacing w:after="0" w:line="2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During the fourth quarter of the year ended December 31, 2023, Polestar changed how it amortized its internally developed IP related to the PS2. Historically, amortization of internally developed IP related to the PS1 and PS2 was included in Research and development expenses as it represented foundational IP that was leveraged across multiple functions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of the Group. However, in the fourth quarter of the year ended December 31, 2023, there was a change where the internally developed IP related to the PS2 was no longer amortized into Research and development expenses and was instead capitalized into inventory. As a result, there was a change in estimate related to the method of depreciation used for the acquired IP from the straight-line method to the units of production method. Because of this change in use, it is more appropriate to use the units of production method over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remaining life-time units to be produced. This provides an accurate estimate of the per-unit cost attributable to the acquired IP.</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Polestar Group’s research and development activities are divided into a concept phase and a product development phase. Costs related to the concept phase are expensed in the period incurred, whereas costs related to the product development phase are capitalized upon the commencement of product development. Each phase is identified by work plans, budgeted,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tracked internally by research and development personnel.</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probable future economic benefits.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Costs incurred in the product development phase are capitalized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Group, (4) the Group intends and has the ability to use or sell the intangible asset to generate future economic benefits, and (5) related expenditures can be reliably measured.</w:t>
      </w:r>
    </w:p>
    <w:p>
      <w:pPr>
        <w:spacing w:after="0" w:line="356"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Research and development expense recognized for the years ended December 31, 2023, 2022 and 2021, amounted to $157,280, $174,916, and $234,019, respectively. Research and development expense for the years ended December 31, 2023 and 2022 was substantially related to PS2 technology. Research and development expense recognized for the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ended December 31, 2021 was substantially related to the amortization of PS1 technology with some amortization related to PS2 technology.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Software</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Software is a finite-lived intangible asset which is amortized over its estimated useful life of 3-8 years. Amortization of software is included in Research and development expense and/or Selling, general and administrative expense depending on the way in which the assets have been used.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Trademarks</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recognized at fair value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date of the acquisition less any accumulated impairment losses.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 xml:space="preserve">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w:t>
      </w:r>
      <w:r>
        <w:rPr>
          <w:rFonts w:ascii="Times New Roman" w:cs="Times New Roman" w:eastAsia="Times New Roman" w:hAnsi="Times New Roman"/>
          <w:sz w:val="15"/>
          <w:szCs w:val="15"/>
          <w:i w:val="1"/>
          <w:iCs w:val="1"/>
          <w:color w:val="auto"/>
        </w:rPr>
        <w:t>Note 15 - Intangible assets and goodwill</w:t>
      </w:r>
      <w:r>
        <w:rPr>
          <w:rFonts w:ascii="Times New Roman" w:cs="Times New Roman" w:eastAsia="Times New Roman" w:hAnsi="Times New Roman"/>
          <w:sz w:val="15"/>
          <w:szCs w:val="15"/>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0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Items of PPE are recognized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of PPE and restore the site on which it was located. Repairs and maintenance expenditures are expensed in the period incurred. Expenses related to leasehold improvements and other costs which enhance or extend the life of PPE are capitalized over the useful life of the asset.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Buildings</w:t>
      </w:r>
    </w:p>
    <w:p>
      <w:pPr>
        <w:spacing w:after="0" w:line="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Buildings under development are measured at actual costs. The actual costs include various construction expenditures during the construction period, borrowing costs capitalized before the building is ready for intended use, and other relevant costs. Buildings under development are not depreciated and are transferred to buildings when ready for the intended use.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Tooling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owns the unique tooling which is used in the manufacturing of its vehicles. Tooling is depreciated on a production basis and capitalized into inventory.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PPE, excluding tooling, are depreciated on a straight-line basis down to their residual value, which is typically estimated to be zero, over their estimated useful lives. Each part of a</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tangible asset, with a cost that is significant in relation to the total cost of the item, is depreciated separately when the useful life for that part differs from the useful life of the other parts of the item.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useful lives are applied in Polestar Group: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3760" w:type="dxa"/>
            <w:vAlign w:val="bottom"/>
            <w:tcBorders>
              <w:bottom w:val="single" w:sz="8" w:color="auto"/>
            </w:tcBorders>
            <w:shd w:val="clear" w:color="auto" w:fill="DBDBDB"/>
          </w:tcPr>
          <w:p>
            <w:pPr>
              <w:ind w:left="1180"/>
              <w:spacing w:after="0"/>
              <w:rPr>
                <w:sz w:val="20"/>
                <w:szCs w:val="20"/>
                <w:color w:val="auto"/>
              </w:rPr>
            </w:pPr>
            <w:r>
              <w:rPr>
                <w:rFonts w:ascii="Times New Roman" w:cs="Times New Roman" w:eastAsia="Times New Roman" w:hAnsi="Times New Roman"/>
                <w:sz w:val="15"/>
                <w:szCs w:val="15"/>
                <w:b w:val="1"/>
                <w:bCs w:val="1"/>
                <w:color w:val="auto"/>
              </w:rPr>
              <w:t>Useful lives (in years)</w:t>
            </w:r>
          </w:p>
        </w:tc>
      </w:tr>
      <w:tr>
        <w:trPr>
          <w:trHeight w:val="188"/>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Buildings</w:t>
            </w:r>
          </w:p>
        </w:tc>
        <w:tc>
          <w:tcPr>
            <w:tcW w:w="3760" w:type="dxa"/>
            <w:vAlign w:val="bottom"/>
          </w:tcPr>
          <w:p>
            <w:pPr>
              <w:jc w:val="right"/>
              <w:ind w:right="1623"/>
              <w:spacing w:after="0"/>
              <w:rPr>
                <w:sz w:val="20"/>
                <w:szCs w:val="20"/>
                <w:color w:val="auto"/>
              </w:rPr>
            </w:pPr>
            <w:r>
              <w:rPr>
                <w:rFonts w:ascii="Times New Roman" w:cs="Times New Roman" w:eastAsia="Times New Roman" w:hAnsi="Times New Roman"/>
                <w:sz w:val="15"/>
                <w:szCs w:val="15"/>
                <w:color w:val="auto"/>
              </w:rPr>
              <w:t>30-50</w:t>
            </w:r>
          </w:p>
        </w:tc>
      </w:tr>
      <w:tr>
        <w:trPr>
          <w:trHeight w:val="197"/>
        </w:trPr>
        <w:tc>
          <w:tcPr>
            <w:tcW w:w="7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Machinery and equipment (excluding tooling)</w:t>
            </w:r>
          </w:p>
        </w:tc>
        <w:tc>
          <w:tcPr>
            <w:tcW w:w="3760" w:type="dxa"/>
            <w:vAlign w:val="bottom"/>
            <w:shd w:val="clear" w:color="auto" w:fill="DBDBDB"/>
          </w:tcPr>
          <w:p>
            <w:pPr>
              <w:jc w:val="right"/>
              <w:ind w:right="1703"/>
              <w:spacing w:after="0"/>
              <w:rPr>
                <w:sz w:val="20"/>
                <w:szCs w:val="20"/>
                <w:color w:val="auto"/>
              </w:rPr>
            </w:pPr>
            <w:r>
              <w:rPr>
                <w:rFonts w:ascii="Times New Roman" w:cs="Times New Roman" w:eastAsia="Times New Roman" w:hAnsi="Times New Roman"/>
                <w:sz w:val="15"/>
                <w:szCs w:val="15"/>
                <w:color w:val="auto"/>
              </w:rPr>
              <w:t>3-7</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of PPE is included in costs of sales as well as selling or administrative expense, depending on the nature of the item being depreciated.</w:t>
      </w:r>
    </w:p>
    <w:p>
      <w:pPr>
        <w:spacing w:after="0" w:line="8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Tangible assets are derecognized upon disposal or when no future economic benefits are expected to arise from the continued use of the asset. Any gain or loss arising on the disposal or retirement is determined as the difference between the sales proceeds and the carrying amount of the asset and is recognized in the Consolidated Statement of Loss and Comprehensive Loss as Other operating income and expense.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Machinery under development</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Asset under construction mainly consists of the construction activities related to the Company’s tooling equipment being built to serve the manufacturing of production vehicles. These assets are carried at cost, less any recognized impairment loss. All direct costs associated with the acquisition or construction of the tooling equipment, including interest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expenses on borrowings, are capitalized. The amounts capitalized in machinery under development pertain to the completed work-in-progress portions of the tooling that Polestar has the control over and have no alternative use for the supplier. Once construction is completed and the assets are ready for their intended use, they are reclassified into the appropriate category of PPE. Depreciation of these assets begins when they are ready for their intended operational use and placed in production.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Impairment</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impairment at least once annually or when an impairment indicator is determined to exist.</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For the impairment assessment, assets are grouped together into the smallest group of assets that generate cash inflows from continuing use that are largely independent of the cash inflows of other assets (i.e., a cash-generating-unit or CGU). Prior to December 31, 2023, Polestar tested assets for impairment under a single CGU as all assets were concentrated</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5"/>
          <w:szCs w:val="15"/>
          <w:color w:val="auto"/>
        </w:rPr>
        <w:t>around fewer product lines with largely the same assets in use to generate cash flows. Prior to the year ended December 31, 2023, Polestar's entire business constituted a single CGU. As the business has grown, the capital intensive assets used to generate each model have become largely independent and therefore generate independent cash flows. Polestar's evaluation of its CGUs changed during the year ended December 31, 2023, triggered by the commercialization of the Polestar 4, production of the Polestar 3, and changes in the expected usage of intangible assets undergoing internal development. For the year ended December 31, 2023, Polestar has four cash generating units: (1) the Polestar 2, (2) the</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Polestar 3, (3) the Polestar 4, and (4) internal development projects, mainly the Polestar 5, Polestar 6, and PX2 powertrain. Any impairment recognized due to the change in Polestar's evaluation of its CGUs constitutes a change in accounting estimate.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Goodwill is allocated based on the nature of the transaction which gave rise to the Goodwill and the consequential synergies. Accordingly, Goodwill is not allocated to a specific</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CGU due to the nature of the transaction which generated such Goodwill. Similarly, the Polestar trademark is not allocated to a specific CGU. Goodwill and trademarks are tested for impairment at the corporate level which reflects all assets of the Company, as a whole.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testing a CGU for impairment, Polestar compares the CGU’s carrying amount to its recoverable amount. Polestar calculates the recoverable amount using Level 3 measurement</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inputs because a quoted or observable price is not available in active markets related to the Group's CGUs. The recoverable amount is the higher of the CGU’s fair value less costs of disposal or “Value In Use.” Value In Use is defined as the present value of the future cash flows expected to be derived from an asset (i.e., a discounted cash flow). For the year ended December 31, 2023, this discounted cash flow was calculated based on estimations regarding future cash flows as seen in the 2024-2028 business plan. All CGUs use an after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discount rate of 15.5%. For the year ended December 31, 2022, this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discounted cash flow was calculated based on estimations regarding future cash flows as seen in the 2023-2027 business plan and an after-tax discount rate of 14.0%.</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terminal growth rate is for cash flows through the following 10 years. Polestar did not apply a terminal growth rate in calculating each CGU's cash flows when testing the CGUs for impairment for the year ended December 31, 2023. For the year ended December 31, 2022 a terminal growth rate of 2.0% for cash flows through the following 10 years was used.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estimated future cash flows are based on assumptions valid at the date of the impairment test that represent the best estimate of future economic conditions. Such estimates are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calculated using estimates, assumptions, and judgements related to future economic conditions, market share, market growth, and product profitability which are consistent with Polestar Group’s latest business plan. When the carrying amount of the CGU is determined to be greater than the recoverable amount, an impairment loss is recognized by first reducing the CGU’s goodwill and then reducing other assets in the CGU on a pro rata basis.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Mainly due to a decrease in forecasted demand for PS2, Polestar impaired its PS2 CGU as of December 31, 2023. The recoverable amount of the PS2 CGU was $696,950, resulting in an impairment loss of $339,568. No impairment losses were recognized as of December 31 2022, and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method investments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 applies the equity method of accounting when it has an ownership interest that conveys significant influence over the associate, typically through interest in the voting stock of the associate of between 20% and 50%.</w:t>
      </w:r>
    </w:p>
    <w:p>
      <w:pPr>
        <w:spacing w:after="0" w:line="4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Under the equity method of accounting, at the date of acquisition, the investment is recorded at cost and the Group’s proportionate share of the unconsolidated associate’s net income or loss is included in the Consolidated Statement of Comprehensive Loss, adjusted to eliminate intercompany gains and losses.</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carrying amount of the Group’s investment is adjusted to recognize its share of realized profit or loss. If Polestar's share of realized losses exceeds the carrying amount of its investment, the investment balance will be written down to not less than zero. In future periods, when Polestar’s share of associate earnings returns to positive, the earnings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netted against all previously unrecognized losses, providing recognized earnings.</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 eliminates its unrealized profit from downstream inventory transactions against the carrying amount of its investment. If the unrealized profit exceeds the balance of the investment, Polestar will reduce the carrying amount of its investment to zero. Any remaining portion of Polestar’s share of unrealized profit will not be eliminated.</w:t>
      </w:r>
    </w:p>
    <w:p>
      <w:pPr>
        <w:spacing w:after="0" w:line="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Polestar conducts routine evaluations of its investment to determine if there are any indicators of impairment present and if there is subsequently objective evidence that the investment is impaired and will recognize an impairment loss when there is a decline in value below carrying value that is other than temporary.</w:t>
      </w:r>
    </w:p>
    <w:p>
      <w:pPr>
        <w:spacing w:after="0" w:line="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As of December 31, 2023 Polestar has an equity method investment in Polestar Technology (Shaoxing) Co., Ltd ("Polestar Technology"), recognized within Investment in associates in the Consolidated Statement of Financial Position.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instruments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instruments are any form of contract that gives rise to a financial asset in one company and a financial liability or equity instrument in another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Classification of financial assets and liabilities</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bearing instruments are held to collect contractual cash flows and are carried at amortized cost.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Initial recognition</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Financial assets and liabilities are recognized on the Consolidated Statement of Financial Position on the date when Polestar Group becomes party to the contractual terms and conditions (i.e., the transaction date). Financial assets are initially recognized at the price that would be received when selling an asset in an orderly transaction between market</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participants at the measurement date (“Fair Value”), plus transaction costs directly attributable to the acquisition of the financial asset, except for those financial assets carried at fair value through the Consolidated Statement of Loss and Comprehensive Loss. Financial liabilities are initially recognized at the price that would be paid to transfer a liability in an orderly transaction between market participants at the measurement date (i.e., Fair Value).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Subsequent measurement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purpose of subsequent measurement, financial instruments are measured at amortized cost or financial fair value through profit or loss (“FVTPL”).</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Financial instruments carried at FVTPL consist of financial assets with cash flows other than those of principal and interest on the nominal amount outstanding. Changes in fair value of these instruments are recognized in profit and loss as Finance income (expense).</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Financial instruments carried at amortized cost are non-derivative financial instruments with contractual cash flows that consist solely of payments of principal and interest on the nominal amount outstanding. These financial instruments are subsequently carried at amortized cost using the effective interest method. Gains and losses are recognized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Consolidated Statement of Loss and Comprehensive Loss when the financial assets carried at amortized cost are impaired or derecognized. Interest effects on the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0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80"/>
        <w:spacing w:after="0" w:line="346" w:lineRule="auto"/>
        <w:rPr>
          <w:sz w:val="20"/>
          <w:szCs w:val="20"/>
          <w:color w:val="auto"/>
        </w:rPr>
      </w:pPr>
      <w:r>
        <w:rPr>
          <w:rFonts w:ascii="Times New Roman" w:cs="Times New Roman" w:eastAsia="Times New Roman" w:hAnsi="Times New Roman"/>
          <w:sz w:val="15"/>
          <w:szCs w:val="15"/>
          <w:color w:val="auto"/>
        </w:rPr>
        <w:t xml:space="preserve">application of the effective interest method are also recognized in the Consolidated Statement of Loss and Comprehensive Loss as well as effects from foreign currency translation. </w:t>
      </w:r>
      <w:r>
        <w:rPr>
          <w:rFonts w:ascii="Times New Roman" w:cs="Times New Roman" w:eastAsia="Times New Roman" w:hAnsi="Times New Roman"/>
          <w:sz w:val="15"/>
          <w:szCs w:val="15"/>
          <w:i w:val="1"/>
          <w:iCs w:val="1"/>
          <w:color w:val="auto"/>
        </w:rPr>
        <w:t>Financial assets</w:t>
      </w:r>
    </w:p>
    <w:p>
      <w:pPr>
        <w:jc w:val="both"/>
        <w:spacing w:after="0" w:line="246" w:lineRule="auto"/>
        <w:rPr>
          <w:sz w:val="20"/>
          <w:szCs w:val="20"/>
          <w:color w:val="auto"/>
        </w:rPr>
      </w:pPr>
      <w:r>
        <w:rPr>
          <w:rFonts w:ascii="Times New Roman" w:cs="Times New Roman" w:eastAsia="Times New Roman" w:hAnsi="Times New Roman"/>
          <w:sz w:val="15"/>
          <w:szCs w:val="15"/>
          <w:color w:val="auto"/>
        </w:rPr>
        <w:t>Financial assets on the Consolidated Statement of Financial Position consist of Trade receivables, Other current and non-current financial assets, derivative assets, marketable securities and Cash and cash equivalents.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financial asset or a portion of a financial asset is derecognized when the asset is settled or when substantially all significant risks and benefits linked to the asset have been</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transferred to a third party. Where Polestar Group concludes that all significant risks and benefits have not been transferred, the portion of the financial assets corresponding to Polestar Group’s continuous involvement continues to be recognized.</w:t>
      </w:r>
    </w:p>
    <w:p>
      <w:pPr>
        <w:spacing w:after="0" w:line="4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Financial assets and liabilities are presented separately in the Consolidated Statement of Financial Position except where there is a legally enforceable right to offset the recognized amounts and there is an intention of settling them on a net basis, to realize the assets and settle the liabilities simultaneously.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liabilities</w:t>
      </w:r>
    </w:p>
    <w:p>
      <w:pPr>
        <w:spacing w:after="0" w:line="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Financial liabilities in the Consolidated Statement of Financial Position encompass Liabilities to credit institutions, Trade payables, other current and non-current financial liabilities, and derivative liabilities (i.e., Earn-out rights and Class C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financial liability or a portion of a financial liability is derecognized when the obligation in the contract has been fulfilled, cancelled or has expired.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classifies its derivative financial instruments and marketable securities as carried at FVTPL, while all other financial assets and liabilities are carried at amortized cost.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additional information on the Earn-out rights and the Class C Shares.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of financial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assesses, on a forward-looking basis, the expected credit loss associated with financial assets measured at amortized cost. For the initial recognition of financial assets</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carried at amortized cost, primarily Trade receivables with similar risk characteristics, an analysis is made to identify the need for a provision for expected credit losses (“ECL”). The Group uses the simplified approach for estimating ECLs, which requires expected lifetime losses to be recognized from the initial recognition of the receivable. The Group considers historical credit loss experience, current economic conditions, supportable forecasts for future economic conditions, macroeconomic conditions, and other expectations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collectability. The ECL provision is reevaluated on an ongoing basis after initial recognition.</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When an ECL is calculated, and if it is material, it is recognized in an allowance account which decreases the amount of Trade receivables. The amount of the expected credit loss will be recognized as an expense in the Consolidated Statement of Loss and Comprehensive Loss. As of December 31, 2023 and 2022, the Group has recognized de minimis write-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offs on receivables due from unrelated parties.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Fair value measurement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Fair value is defined as the price that would be received from selling an asset or paid to transfer a liability in an orderly transaction between market participants at the measurement</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 three-tiered hierarchy is established as a basis for considering such assumptions and for inputs used in the valuation methodologies in measuring fair value. This hierarchy requires that the Group use observable market data, when available, and minimize the use of unobservable inputs when determining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 1 – Quoted prices (unadjusted) in active markets for identical assets or liabilities.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 2 – Observable, market-based inputs, other than quoted prices, in active markets for identical assets or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 3 – Unobservable inputs to the valuation methodology that are significant to the measurement of the fair value of the assets or liabilities.</w:t>
      </w:r>
    </w:p>
    <w:p>
      <w:pPr>
        <w:spacing w:after="0" w:line="7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methodology for the fair value of the financial liability related to the Class C-2 Shares</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w:t>
      </w:r>
    </w:p>
    <w:p>
      <w:pPr>
        <w:spacing w:after="0" w:line="2"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December 31, 2023, the fair value of the Class C-2 Shares was determined to equal $1,080 by leveraging the closing price of the Class C-1 Shares on the Nasdaq of $0.24 per share, an implied volatility of 88%, a risk-free rate of 3.9%, a dividend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yield of $0, and a 1,000</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time-steps for the binomial lattice option pricing model. As of December 31, 2022, the fair value of the Class C-2 Shares was determined to equal $10,080 by leveraging the closing price of the Class C-1 Shares on the Nasdaq of $1.12 per share, an implied volatility of 89%, a risk-free rate of 4.0%, a dividend yield of $0, and a 1,000 time-steps for the binomial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lattice option pricing model.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more detail on the Class C-2 Shares.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methodology for the fair value of the financial liability related to the Former Parent’s contingent earn-out rights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Former Parent’s contingent earn-out right represents a derivative financial instrument that is carried at FVTPL by reference to Level 3 measurement inputs because a quoted or</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observable price for the instrument or an identical instrument is not available in active markets. The Earn-out liability is presented in non-current liabilities within the Consolidated Statement of Financial Position to align with the expected timing of the underlying earn-out payments. The fair value of the earn-out is determined using a Monte Carlo simulation that incorporates a term of 3.98 years, the five earn-out tranches, and the probability of the Class A Shares in Parent reaching certain daily volume weighted average prices during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earn-out period resulting in the issuance of each tranche of Class A Shares and Class B Shares in Parent to the Former Parent. As of December 31, 2023, the fair value of the earn-out was determined to equal $155,402 by leveraging an implied volatility of 80% and a risk-free rate of 3.9%. As of December 31, 2022, the fair value of the earn-out was determined to equal $598,570 by leveraging an implied volatility of 75% and a risk-free rate of 4%. The implied volatility represents the most significant unobservable input utilized in this Level 3</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valuation technique. The calculated fair value would increase (decrease) if the implied volatility were higher (lower).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more detail on the Former Parent’s earn-out rights.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methodology for the fair value of RSUs and PSUs granted to employees under the 2022 Omnibus Incentive Plan</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fair value of the RSUs granted April 3, 2023 was determined by reference to the Group’s closing share price of $3.79 on the business day immediately preceding the grant date (i.e., $3.79 per RSU). The fair value of the RSUs granted September 9, 2022 was determined by the reference Group's share price of $6.72 on the grant date. The fair value of PSUs granted April 3, 2023 and September 9, 2022 was determined by calculating the weighted-average fair value of the 368,732 and 241,705 respective units linked to market-based</w:t>
      </w:r>
    </w:p>
    <w:p>
      <w:pPr>
        <w:jc w:val="both"/>
        <w:spacing w:after="0" w:line="214" w:lineRule="auto"/>
        <w:rPr>
          <w:sz w:val="20"/>
          <w:szCs w:val="20"/>
          <w:color w:val="auto"/>
        </w:rPr>
      </w:pPr>
      <w:r>
        <w:rPr>
          <w:rFonts w:ascii="Times New Roman" w:cs="Times New Roman" w:eastAsia="Times New Roman" w:hAnsi="Times New Roman"/>
          <w:sz w:val="15"/>
          <w:szCs w:val="15"/>
          <w:color w:val="auto"/>
        </w:rPr>
        <w:t>vesting conditions and the 1,106,195 and 644,116 respective units linked to non-market-based vesting conditions. The units linked to non-market-based vesting conditions were fair valued by reference to the Group’s closing share price of $3.79 and $6.72 on the business day immediately preceding the grant date (i.e., $3.79 and $6.72 per unit) April 3, 2023 and September 9, 2022. The units linked to market-based vesting conditions were fair valued using a Monte Carlo simulation in a risk-neutral option pricing framework whereby the</w:t>
      </w:r>
    </w:p>
    <w:p>
      <w:pPr>
        <w:spacing w:after="0" w:line="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For the shares granted April 3, 2023, the fair value per unit of the units linked to market-based vesting conditions was determined to be $3.33 by leveraging an implied volatility of 75%, a peer group historical average volatility of 63.5%, a risk-free rate of 3.8%, a simulation term of 2.7 years, a dividend yield of 0%, and 100,000 simulation iterations. As such, the weighted-average fair value per PSU was calculated to be $3.68. For the shares granted September 9, 2022, the fair value per unit of the units linked to non-market-based vesting</w:t>
      </w: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w:t>
      </w:r>
      <w:r>
        <w:rPr>
          <w:rFonts w:ascii="Times New Roman" w:cs="Times New Roman" w:eastAsia="Times New Roman" w:hAnsi="Times New Roman"/>
          <w:sz w:val="15"/>
          <w:szCs w:val="15"/>
          <w:i w:val="1"/>
          <w:iCs w:val="1"/>
          <w:color w:val="auto"/>
        </w:rPr>
        <w:t>Note 8 - Share-based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payment </w:t>
      </w:r>
      <w:r>
        <w:rPr>
          <w:rFonts w:ascii="Times New Roman" w:cs="Times New Roman" w:eastAsia="Times New Roman" w:hAnsi="Times New Roman"/>
          <w:sz w:val="15"/>
          <w:szCs w:val="15"/>
          <w:color w:val="auto"/>
        </w:rPr>
        <w:t>for more detail on the 2022 Omnibus Incentive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5"/>
          <w:szCs w:val="15"/>
          <w:color w:val="auto"/>
        </w:rPr>
        <w:t>acquisition or manufacturing cost and NRV and consist primarily of finished goods as of December 31, 2023 and 2022. NRV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and certain costs related to IP. Costs for selling, administration and financial expenses are not included. For groups of similar products, a group valuation method is applied. The cost of similar assets is established using the first-in, first-out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(FIFO). The estimate of the provision for impairment of Inventories is determined for those assets that have lost their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recognized in equity.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Provisions and contingent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Provisions are recognized on the Consolidated Statement of Financial Position when a legal or constructive obligation exists as a result of a past event, it is deemed more likely than</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recognized at present value by discounting the expected future cash flows at a pre-tax rate reflecting current market assessments of the time value of money. The unwinding of the discount is expensed as incurred and</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recognized in the Consolidated Statement of Loss.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recognized as a financial cost.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0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Warranty provisions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issues various types of product warranties, under which the Group generally guarantees the performance of products delivered and services rendered for a certain period of</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warranty provisions are recognized at the time of the sale of vehicles. The initial calculations of the warranty provisions are based on historical warranty statistics, considering</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factors like known quality improvements and costs for remedying defaults. The warranty provisions are subsequently adjusted if recalls for specific quality problems are made. On a semi-annual basis, the provisions are adjusted to reflect the latest available data such as actual spend and exchange rates. The provisions are reduced by warranty reimbursements from suppliers. Such refunds from suppliers decrease Polestar Group’s warranty costs and are recognized to the extent these are considered to be virtually certain, based on historical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experience or agreements entered into with suppliers.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Employee benefits provisions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 benefits provisions comprise estimated costs related to short-term incentive programs, long-term incentive programs, and post-employment benefit programs. Estimates for</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 xml:space="preserve">these provisions primarily give consideration to employment agreements and regular internal determinations made by the Board's compensation committee regarding cash-based incentives for employees. Refer to the </w:t>
      </w:r>
      <w:r>
        <w:rPr>
          <w:rFonts w:ascii="Times New Roman" w:cs="Times New Roman" w:eastAsia="Times New Roman" w:hAnsi="Times New Roman"/>
          <w:sz w:val="15"/>
          <w:szCs w:val="15"/>
          <w:i w:val="1"/>
          <w:iCs w:val="1"/>
          <w:color w:val="auto"/>
        </w:rPr>
        <w:t>Employee benefits</w:t>
      </w:r>
      <w:r>
        <w:rPr>
          <w:rFonts w:ascii="Times New Roman" w:cs="Times New Roman" w:eastAsia="Times New Roman" w:hAnsi="Times New Roman"/>
          <w:sz w:val="15"/>
          <w:szCs w:val="15"/>
          <w:color w:val="auto"/>
        </w:rPr>
        <w:t xml:space="preserve"> section elsewhere in this footnote for additional discussion on the Group's incentive and post-employment benefits programs.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Litigation provisions</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Litigation provisions comprise estimated costs for advisors, settlements, and other legal costs associated with lawsuits under which the Group is a defendant or in circumstances where the Group has indemnified other parties subject to a lawsuit. Estimates for these provisions give consideration to advice from advisors, precedents set by outcomes from</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lawsuits of similar nature, legal budgets, and internal assessments of trial timing and risk. Refer to </w:t>
      </w:r>
      <w:r>
        <w:rPr>
          <w:rFonts w:ascii="Times New Roman" w:cs="Times New Roman" w:eastAsia="Times New Roman" w:hAnsi="Times New Roman"/>
          <w:sz w:val="15"/>
          <w:szCs w:val="15"/>
          <w:i w:val="1"/>
          <w:iCs w:val="1"/>
          <w:color w:val="auto"/>
        </w:rPr>
        <w:t>Note 23 - Current and non-current provisions</w:t>
      </w:r>
      <w:r>
        <w:rPr>
          <w:rFonts w:ascii="Times New Roman" w:cs="Times New Roman" w:eastAsia="Times New Roman" w:hAnsi="Times New Roman"/>
          <w:sz w:val="15"/>
          <w:szCs w:val="15"/>
          <w:color w:val="auto"/>
        </w:rPr>
        <w:t xml:space="preserve"> for additional detail of individual litigation provisions for circumstances where the Group's exposure is deemed material.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provisions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Other provisions primarily comprise estimated costs for taxes and other miscellaneous items. Estimates for these provisions give consideration to historical trends, various other risks, and specific agreements related to recoveries provided by suppliers which cannot be allocated to any other class of provision.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Contingent liabilities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w:t>
      </w:r>
    </w:p>
    <w:p>
      <w:pPr>
        <w:spacing w:after="0"/>
        <w:rPr>
          <w:sz w:val="20"/>
          <w:szCs w:val="20"/>
          <w:color w:val="auto"/>
        </w:rPr>
      </w:pPr>
      <w:r>
        <w:rPr>
          <w:rFonts w:ascii="Times New Roman" w:cs="Times New Roman" w:eastAsia="Times New Roman" w:hAnsi="Times New Roman"/>
          <w:sz w:val="15"/>
          <w:szCs w:val="15"/>
          <w:color w:val="auto"/>
        </w:rPr>
        <w:t>reliably measured.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Assets held for sale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Non-current assets, groups of assets, and liabilities which comprise disposal groups are presented as Assets held for sale where the asset or disposal group is available for immediate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sale in its present condition and the sale is highly probable. For a sale to be highly probable related to an asset held for sale or disposal group, management must be committed to a plan to achieve the sale, there must be an active program to find a buyer, the non-current asset or disposal group must be actively marketed for sale at a price that is reasonable in relation to its current fair value, and the sale must be anticipated to be completed within one year from the date of classification.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Borrowing costs</w:t>
      </w:r>
    </w:p>
    <w:p>
      <w:pPr>
        <w:spacing w:after="0" w:line="8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Borrowing costs are expensed as incurred unless they are directly attributable to the acquisition, construction or production of a qualifying asset and are therefore part of the cost of that asset. In accordance with IAS 23 and IAS 16, borrowing costs related to machinery under development have been capitalized. These borrowing costs relate to special vendor tools and special type bound tooling, which have deferred payment terms. The borrowing costs capitalized for the years ended December 31, 2023 and 2022 were $6,881 and $7,920</w:t>
      </w:r>
    </w:p>
    <w:p>
      <w:pPr>
        <w:jc w:val="both"/>
        <w:spacing w:after="0"/>
        <w:rPr>
          <w:sz w:val="20"/>
          <w:szCs w:val="20"/>
          <w:color w:val="auto"/>
        </w:rPr>
      </w:pPr>
      <w:r>
        <w:rPr>
          <w:rFonts w:ascii="Times New Roman" w:cs="Times New Roman" w:eastAsia="Times New Roman" w:hAnsi="Times New Roman"/>
          <w:sz w:val="15"/>
          <w:szCs w:val="15"/>
          <w:color w:val="auto"/>
        </w:rPr>
        <w:t>respectively. The capitalization rate used to determine the amount of capitalized borrowing costs was 5.60% and 8.40% for the years ended December 31, 2023 and 2022,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Financial risk management</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As a result of its business and the global nature of its operations, Polestar Group is exposed to market risks from changes in foreign currency exchange rates, interest rate risk, credit risk and liquidity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exchange risk</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The global nature of Polestar Group’s business exposes the Group's cash flows to risks arising from fluctuations in currency exchange rates. Changes in currency exchange rates have a direct impact on Polestar Group’s Operating income, Finance income, Finance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expense, Consolidated Statement of Financial Position and Consolidated Statement of Cash Flows. To mitigate the impact of currency exchange rate fluctuations on business operations, the Group continually assesses its exposure to exchange rate risks.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Transaction exposure risk</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Currency transaction risk arises from commercial transactions and settlement of recognized assets and liabilities denominated in a currency that is not the functional currency of the relevant Group entity.</w:t>
      </w:r>
    </w:p>
    <w:p>
      <w:pPr>
        <w:spacing w:after="0" w:line="48"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 xml:space="preserve">For example, Polestar purchases vehicles in CNY via a SEK denominated legal entity from Volvo Cars' Taizhou plant in China (see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further discussion on contract manufacturing arrangements). Under this contract manufacturing arrangement with Volvo Cars, Polestar's purchasing entity bears the currency transaction risk upon purchasing and recognizing the vehicles in inventories, which are denominated in SEK. As the SEK/CNY exchange rate fluctuates, the amount of SEK required to purchase a</w:t>
      </w:r>
    </w:p>
    <w:p>
      <w:pPr>
        <w:jc w:val="both"/>
        <w:spacing w:after="0" w:line="224" w:lineRule="auto"/>
        <w:rPr>
          <w:sz w:val="20"/>
          <w:szCs w:val="20"/>
          <w:color w:val="auto"/>
        </w:rPr>
      </w:pPr>
      <w:r>
        <w:rPr>
          <w:rFonts w:ascii="Times New Roman" w:cs="Times New Roman" w:eastAsia="Times New Roman" w:hAnsi="Times New Roman"/>
          <w:sz w:val="15"/>
          <w:szCs w:val="15"/>
          <w:color w:val="auto"/>
        </w:rPr>
        <w:t>vehicle in CNY has a corresponding fluctuation. During the year ended December 31, 2023, the SEK strengthened against the CNY by approximately 7.58%, from 0.66 SEK/CNY on January 1, 2023 to 0.71 SEK/CNY as of December 31, 2023. During the comparative period, the SEK deteriorated against the CNY by approximately 5.7%, from 0.70 SEK/CNY on January 1, 2022 to 0.66 SEK/CNY as of December 31, 2022.</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During the year ended December 31, 2023, the Group was primarily exposed to changes in EUR/SEK, GBP/SEK, CNY/SEK, and CNY/USD foreign exchange rates. The following table illustrates the estimated impact of a 10% change in these foreign exchange rates as of December 31, 2023 for net asset balances which could be impacted by movements in foreign exchange rates: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7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760" w:type="dxa"/>
            <w:vAlign w:val="bottom"/>
            <w:shd w:val="clear" w:color="auto" w:fill="DBDBDB"/>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Impact on loss</w:t>
            </w:r>
          </w:p>
        </w:tc>
      </w:tr>
      <w:tr>
        <w:trPr>
          <w:trHeight w:val="206"/>
        </w:trPr>
        <w:tc>
          <w:tcPr>
            <w:tcW w:w="8740" w:type="dxa"/>
            <w:vAlign w:val="bottom"/>
            <w:shd w:val="clear" w:color="auto" w:fill="DBDBDB"/>
          </w:tcPr>
          <w:p>
            <w:pPr>
              <w:spacing w:after="0"/>
              <w:rPr>
                <w:sz w:val="17"/>
                <w:szCs w:val="17"/>
                <w:color w:val="auto"/>
              </w:rPr>
            </w:pPr>
          </w:p>
        </w:tc>
        <w:tc>
          <w:tcPr>
            <w:tcW w:w="2500" w:type="dxa"/>
            <w:vAlign w:val="bottom"/>
            <w:tcBorders>
              <w:bottom w:val="single" w:sz="8" w:color="auto"/>
            </w:tcBorders>
            <w:gridSpan w:val="2"/>
            <w:shd w:val="clear" w:color="auto" w:fill="DBDBDB"/>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before income taxes</w:t>
            </w:r>
          </w:p>
        </w:tc>
      </w:tr>
      <w:tr>
        <w:trPr>
          <w:trHeight w:val="191"/>
        </w:trPr>
        <w:tc>
          <w:tcPr>
            <w:tcW w:w="8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6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97"/>
        </w:trPr>
        <w:tc>
          <w:tcPr>
            <w:tcW w:w="8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EUR/SEK exchange rate - increase/decrease 10%</w:t>
            </w: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38,460</w:t>
            </w:r>
          </w:p>
        </w:tc>
      </w:tr>
      <w:tr>
        <w:trPr>
          <w:trHeight w:val="197"/>
        </w:trPr>
        <w:tc>
          <w:tcPr>
            <w:tcW w:w="8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GBP/SEK exchange rate - increase/decrease 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10,838</w:t>
            </w:r>
          </w:p>
        </w:tc>
      </w:tr>
      <w:tr>
        <w:trPr>
          <w:trHeight w:val="197"/>
        </w:trPr>
        <w:tc>
          <w:tcPr>
            <w:tcW w:w="8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CNY/SEK exchange rate - increase/decrease 10%</w:t>
            </w: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9,184</w:t>
            </w:r>
          </w:p>
        </w:tc>
      </w:tr>
      <w:tr>
        <w:trPr>
          <w:trHeight w:val="199"/>
        </w:trPr>
        <w:tc>
          <w:tcPr>
            <w:tcW w:w="8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CNY/USD exchange rate - increase/decrease 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7,028</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year ended December 31, 2022, the Group was primarily exposed to changes in CNY/SEK, EUR/SEK, USD/SEK and GBP/SEK foreign exchange rates. The following</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table illustrates the estimated impact of a 10% change in these foreign exchange rates as of December 31, 2022 for net asset balances which could be impacted by movements in foreign exchange rates: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7700" w:type="dxa"/>
            <w:vAlign w:val="bottom"/>
            <w:shd w:val="clear" w:color="auto" w:fill="DBDBDB"/>
          </w:tcPr>
          <w:p>
            <w:pPr>
              <w:spacing w:after="0"/>
              <w:rPr>
                <w:sz w:val="15"/>
                <w:szCs w:val="15"/>
                <w:color w:val="auto"/>
              </w:rPr>
            </w:pPr>
          </w:p>
        </w:tc>
        <w:tc>
          <w:tcPr>
            <w:tcW w:w="2200" w:type="dxa"/>
            <w:vAlign w:val="bottom"/>
            <w:gridSpan w:val="2"/>
            <w:shd w:val="clear" w:color="auto" w:fill="DBDBDB"/>
          </w:tcPr>
          <w:p>
            <w:pPr>
              <w:ind w:left="620"/>
              <w:spacing w:after="0"/>
              <w:rPr>
                <w:sz w:val="20"/>
                <w:szCs w:val="20"/>
                <w:color w:val="auto"/>
              </w:rPr>
            </w:pPr>
            <w:r>
              <w:rPr>
                <w:rFonts w:ascii="Times New Roman" w:cs="Times New Roman" w:eastAsia="Times New Roman" w:hAnsi="Times New Roman"/>
                <w:sz w:val="15"/>
                <w:szCs w:val="15"/>
                <w:b w:val="1"/>
                <w:bCs w:val="1"/>
                <w:color w:val="auto"/>
              </w:rPr>
              <w:t>Impact on loss</w:t>
            </w:r>
          </w:p>
        </w:tc>
      </w:tr>
      <w:tr>
        <w:trPr>
          <w:trHeight w:val="204"/>
        </w:trPr>
        <w:tc>
          <w:tcPr>
            <w:tcW w:w="7700" w:type="dxa"/>
            <w:vAlign w:val="bottom"/>
            <w:shd w:val="clear" w:color="auto" w:fill="DBDBDB"/>
          </w:tcPr>
          <w:p>
            <w:pPr>
              <w:spacing w:after="0"/>
              <w:rPr>
                <w:sz w:val="17"/>
                <w:szCs w:val="17"/>
                <w:color w:val="auto"/>
              </w:rPr>
            </w:pPr>
          </w:p>
        </w:tc>
        <w:tc>
          <w:tcPr>
            <w:tcW w:w="2200" w:type="dxa"/>
            <w:vAlign w:val="bottom"/>
            <w:tcBorders>
              <w:bottom w:val="single" w:sz="8" w:color="auto"/>
            </w:tcBorders>
            <w:gridSpan w:val="2"/>
            <w:shd w:val="clear" w:color="auto" w:fill="DBDBDB"/>
          </w:tcPr>
          <w:p>
            <w:pPr>
              <w:ind w:left="440"/>
              <w:spacing w:after="0"/>
              <w:rPr>
                <w:sz w:val="20"/>
                <w:szCs w:val="20"/>
                <w:color w:val="auto"/>
              </w:rPr>
            </w:pPr>
            <w:r>
              <w:rPr>
                <w:rFonts w:ascii="Times New Roman" w:cs="Times New Roman" w:eastAsia="Times New Roman" w:hAnsi="Times New Roman"/>
                <w:sz w:val="15"/>
                <w:szCs w:val="15"/>
                <w:b w:val="1"/>
                <w:bCs w:val="1"/>
                <w:color w:val="auto"/>
              </w:rPr>
              <w:t>before income taxes</w:t>
            </w:r>
          </w:p>
        </w:tc>
      </w:tr>
      <w:tr>
        <w:trPr>
          <w:trHeight w:val="189"/>
        </w:trPr>
        <w:tc>
          <w:tcPr>
            <w:tcW w:w="7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97"/>
        </w:trPr>
        <w:tc>
          <w:tcPr>
            <w:tcW w:w="7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CNY/SEK exchange rate - increase/decrease 10%</w:t>
            </w:r>
          </w:p>
        </w:tc>
        <w:tc>
          <w:tcPr>
            <w:tcW w:w="96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60,110</w:t>
            </w:r>
          </w:p>
        </w:tc>
      </w:tr>
      <w:tr>
        <w:trPr>
          <w:trHeight w:val="197"/>
        </w:trPr>
        <w:tc>
          <w:tcPr>
            <w:tcW w:w="7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EUR/SEK exchange rate - increase/decrease 10%</w:t>
            </w:r>
          </w:p>
        </w:tc>
        <w:tc>
          <w:tcPr>
            <w:tcW w:w="9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44,850</w:t>
            </w:r>
          </w:p>
        </w:tc>
      </w:tr>
      <w:tr>
        <w:trPr>
          <w:trHeight w:val="197"/>
        </w:trPr>
        <w:tc>
          <w:tcPr>
            <w:tcW w:w="7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USD/SEK exchange rate - increase/decrease 10%</w:t>
            </w:r>
          </w:p>
        </w:tc>
        <w:tc>
          <w:tcPr>
            <w:tcW w:w="96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35,445</w:t>
            </w:r>
          </w:p>
        </w:tc>
      </w:tr>
      <w:tr>
        <w:trPr>
          <w:trHeight w:val="199"/>
        </w:trPr>
        <w:tc>
          <w:tcPr>
            <w:tcW w:w="7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GBP/SEK exchange rate - increase/decrease 10%</w:t>
            </w:r>
          </w:p>
        </w:tc>
        <w:tc>
          <w:tcPr>
            <w:tcW w:w="9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8,948</w:t>
            </w:r>
          </w:p>
        </w:tc>
      </w:tr>
    </w:tbl>
    <w:p>
      <w:pPr>
        <w:spacing w:after="0" w:line="14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During the year ended December 31, 2021, the Group was primarily exposed to changes in the CNY/SEK, USD/SEK, EUR/SEK, and CNY/USD foreign exchange rate. The following table illustrates the estimated impact of a 10% change in these foreign exchange rates as of December 31, 2021 for net asset balances which could be impacted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movements in foreign exchange rates: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7700" w:type="dxa"/>
            <w:vAlign w:val="bottom"/>
            <w:shd w:val="clear" w:color="auto" w:fill="DBDBDB"/>
          </w:tcPr>
          <w:p>
            <w:pPr>
              <w:spacing w:after="0"/>
              <w:rPr>
                <w:sz w:val="15"/>
                <w:szCs w:val="15"/>
                <w:color w:val="auto"/>
              </w:rPr>
            </w:pPr>
          </w:p>
        </w:tc>
        <w:tc>
          <w:tcPr>
            <w:tcW w:w="2200" w:type="dxa"/>
            <w:vAlign w:val="bottom"/>
            <w:gridSpan w:val="2"/>
            <w:shd w:val="clear" w:color="auto" w:fill="DBDBDB"/>
          </w:tcPr>
          <w:p>
            <w:pPr>
              <w:ind w:left="620"/>
              <w:spacing w:after="0"/>
              <w:rPr>
                <w:sz w:val="20"/>
                <w:szCs w:val="20"/>
                <w:color w:val="auto"/>
              </w:rPr>
            </w:pPr>
            <w:r>
              <w:rPr>
                <w:rFonts w:ascii="Times New Roman" w:cs="Times New Roman" w:eastAsia="Times New Roman" w:hAnsi="Times New Roman"/>
                <w:sz w:val="15"/>
                <w:szCs w:val="15"/>
                <w:b w:val="1"/>
                <w:bCs w:val="1"/>
                <w:color w:val="auto"/>
              </w:rPr>
              <w:t>Impact on loss</w:t>
            </w:r>
          </w:p>
        </w:tc>
      </w:tr>
      <w:tr>
        <w:trPr>
          <w:trHeight w:val="206"/>
        </w:trPr>
        <w:tc>
          <w:tcPr>
            <w:tcW w:w="7700" w:type="dxa"/>
            <w:vAlign w:val="bottom"/>
            <w:shd w:val="clear" w:color="auto" w:fill="DBDBDB"/>
          </w:tcPr>
          <w:p>
            <w:pPr>
              <w:spacing w:after="0"/>
              <w:rPr>
                <w:sz w:val="17"/>
                <w:szCs w:val="17"/>
                <w:color w:val="auto"/>
              </w:rPr>
            </w:pPr>
          </w:p>
        </w:tc>
        <w:tc>
          <w:tcPr>
            <w:tcW w:w="2200" w:type="dxa"/>
            <w:vAlign w:val="bottom"/>
            <w:tcBorders>
              <w:bottom w:val="single" w:sz="8" w:color="auto"/>
            </w:tcBorders>
            <w:gridSpan w:val="2"/>
            <w:shd w:val="clear" w:color="auto" w:fill="DBDBDB"/>
          </w:tcPr>
          <w:p>
            <w:pPr>
              <w:ind w:left="440"/>
              <w:spacing w:after="0"/>
              <w:rPr>
                <w:sz w:val="20"/>
                <w:szCs w:val="20"/>
                <w:color w:val="auto"/>
              </w:rPr>
            </w:pPr>
            <w:r>
              <w:rPr>
                <w:rFonts w:ascii="Times New Roman" w:cs="Times New Roman" w:eastAsia="Times New Roman" w:hAnsi="Times New Roman"/>
                <w:sz w:val="15"/>
                <w:szCs w:val="15"/>
                <w:b w:val="1"/>
                <w:bCs w:val="1"/>
                <w:color w:val="auto"/>
              </w:rPr>
              <w:t>before income taxes</w:t>
            </w:r>
          </w:p>
        </w:tc>
      </w:tr>
      <w:tr>
        <w:trPr>
          <w:trHeight w:val="191"/>
        </w:trPr>
        <w:tc>
          <w:tcPr>
            <w:tcW w:w="7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97"/>
        </w:trPr>
        <w:tc>
          <w:tcPr>
            <w:tcW w:w="7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CNY/SEK exchange rate - increase/decrease 10%</w:t>
            </w:r>
          </w:p>
        </w:tc>
        <w:tc>
          <w:tcPr>
            <w:tcW w:w="96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60,066</w:t>
            </w:r>
          </w:p>
        </w:tc>
      </w:tr>
      <w:tr>
        <w:trPr>
          <w:trHeight w:val="197"/>
        </w:trPr>
        <w:tc>
          <w:tcPr>
            <w:tcW w:w="7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USD/SEK exchange rate - increase/decrease 10%</w:t>
            </w:r>
          </w:p>
        </w:tc>
        <w:tc>
          <w:tcPr>
            <w:tcW w:w="9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22,747</w:t>
            </w:r>
          </w:p>
        </w:tc>
      </w:tr>
      <w:tr>
        <w:trPr>
          <w:trHeight w:val="197"/>
        </w:trPr>
        <w:tc>
          <w:tcPr>
            <w:tcW w:w="7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EUR/SEK exchange rate - increase/decrease 10%</w:t>
            </w:r>
          </w:p>
        </w:tc>
        <w:tc>
          <w:tcPr>
            <w:tcW w:w="96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7,638</w:t>
            </w:r>
          </w:p>
        </w:tc>
      </w:tr>
      <w:tr>
        <w:trPr>
          <w:trHeight w:val="199"/>
        </w:trPr>
        <w:tc>
          <w:tcPr>
            <w:tcW w:w="7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CNY/USD exchange rate - increase/decrease 10%</w:t>
            </w:r>
          </w:p>
        </w:tc>
        <w:tc>
          <w:tcPr>
            <w:tcW w:w="9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3,907</w:t>
            </w:r>
          </w:p>
        </w:tc>
      </w:tr>
    </w:tbl>
    <w:p>
      <w:pPr>
        <w:spacing w:after="0" w:line="14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The Group’s overall transaction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Translation exposure risk</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Currency translation risk arises from the consolidation of subsidiaries with a functional currency other than USD (i.e., the functional currency of the Parent). Translation risk arises from the conversion of balances denominated in foreign currencies to the functional currency using monthly closing exchange rates. Such currency effects (i.e., foreign currency gains and losses) are recorded in the Consolidated Statement of Loss and Comprehensive Loss. The Group is primarily exposed to currency translation risk from subsidiaries with</w:t>
      </w:r>
    </w:p>
    <w:p>
      <w:pPr>
        <w:spacing w:after="0"/>
        <w:rPr>
          <w:sz w:val="20"/>
          <w:szCs w:val="20"/>
          <w:color w:val="auto"/>
        </w:rPr>
      </w:pPr>
      <w:r>
        <w:rPr>
          <w:rFonts w:ascii="Times New Roman" w:cs="Times New Roman" w:eastAsia="Times New Roman" w:hAnsi="Times New Roman"/>
          <w:sz w:val="15"/>
          <w:szCs w:val="15"/>
          <w:color w:val="auto"/>
        </w:rPr>
        <w:t>functional currencies in the Swedish Krona (“SEK”), the Euro (“EUR”) the Chinese yuan (“CNY”), and the Great British Pound ("GBP").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risk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Group is exposed to market volatility risk through the financial liabilities for the Class C Shares and Earn-out rights. These instruments are carried at fair value with subsequent changes in fair value recognized in the Consolidated Statement of Loss and Comprehensive Loss at each reporting date. The Class C-1 Shares are publicly traded on the Nasdaq.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Class C-2 Shares and Earn-out rights are not publicly traded and require Level 2 and Level 3 fair value measurements, respectively. Refer to </w:t>
      </w:r>
      <w:r>
        <w:rPr>
          <w:rFonts w:ascii="Times New Roman" w:cs="Times New Roman" w:eastAsia="Times New Roman" w:hAnsi="Times New Roman"/>
          <w:sz w:val="15"/>
          <w:szCs w:val="15"/>
          <w:i w:val="1"/>
          <w:iCs w:val="1"/>
          <w:color w:val="auto"/>
        </w:rPr>
        <w:t>Note 1 - Overview and basis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preparation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Note 18 - Reverse recapitalization </w:t>
      </w:r>
      <w:r>
        <w:rPr>
          <w:rFonts w:ascii="Times New Roman" w:cs="Times New Roman" w:eastAsia="Times New Roman" w:hAnsi="Times New Roman"/>
          <w:sz w:val="15"/>
          <w:szCs w:val="15"/>
          <w:color w:val="auto"/>
        </w:rPr>
        <w:t>for further details on the Class C Shares, Earn-out rights, and related valuation methodologies. The following table illustrates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estimated impact of a 10% change in market volatility:</w:t>
      </w:r>
    </w:p>
    <w:p>
      <w:pPr>
        <w:spacing w:after="0" w:line="4"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5"/>
          <w:szCs w:val="15"/>
          <w:b w:val="1"/>
          <w:bCs w:val="1"/>
          <w:color w:val="auto"/>
        </w:rPr>
        <w:t>Impact 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152005" cy="2279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12">
                      <a:extLst>
                        <a:ext uri="{28A0092B-C50C-407E-A947-70E740481C1C}"/>
                      </a:extLst>
                    </a:blip>
                    <a:srcRect/>
                    <a:stretch>
                      <a:fillRect/>
                    </a:stretch>
                  </pic:blipFill>
                  <pic:spPr bwMode="auto">
                    <a:xfrm>
                      <a:off x="0" y="0"/>
                      <a:ext cx="7152005" cy="227965"/>
                    </a:xfrm>
                    <a:prstGeom prst="rect">
                      <a:avLst/>
                    </a:prstGeom>
                    <a:noFill/>
                  </pic:spPr>
                </pic:pic>
              </a:graphicData>
            </a:graphic>
          </wp:anchor>
        </w:drawing>
      </w:r>
    </w:p>
    <w:p>
      <w:pPr>
        <w:jc w:val="center"/>
        <w:ind w:left="7820"/>
        <w:spacing w:after="0"/>
        <w:rPr>
          <w:sz w:val="20"/>
          <w:szCs w:val="20"/>
          <w:color w:val="auto"/>
        </w:rPr>
      </w:pPr>
      <w:r>
        <w:rPr>
          <w:rFonts w:ascii="Times New Roman" w:cs="Times New Roman" w:eastAsia="Times New Roman" w:hAnsi="Times New Roman"/>
          <w:sz w:val="15"/>
          <w:szCs w:val="15"/>
          <w:b w:val="1"/>
          <w:bCs w:val="1"/>
          <w:color w:val="auto"/>
        </w:rPr>
        <w:t>before income taxes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4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7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88"/>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Earn-out liability - increase 10%</w:t>
            </w:r>
          </w:p>
        </w:tc>
        <w:tc>
          <w:tcPr>
            <w:tcW w:w="52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820" w:type="dxa"/>
            <w:vAlign w:val="bottom"/>
            <w:shd w:val="clear" w:color="auto" w:fill="DBDBDB"/>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color w:val="auto"/>
              </w:rPr>
              <w:t>32,137</w:t>
            </w:r>
          </w:p>
        </w:tc>
        <w:tc>
          <w:tcPr>
            <w:tcW w:w="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60,531</w:t>
            </w: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Earn-out liability - decrease 10%</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(43,341)</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(55,828)</w:t>
            </w:r>
          </w:p>
        </w:tc>
      </w:tr>
      <w:tr>
        <w:trPr>
          <w:trHeight w:val="183"/>
        </w:trPr>
        <w:tc>
          <w:tcPr>
            <w:tcW w:w="5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0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55"/>
        </w:trPr>
        <w:tc>
          <w:tcPr>
            <w:tcW w:w="594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1900" w:type="dxa"/>
            <w:vAlign w:val="bottom"/>
            <w:gridSpan w:val="3"/>
            <w:shd w:val="clear" w:color="auto" w:fill="DBDBDB"/>
          </w:tcPr>
          <w:p>
            <w:pPr>
              <w:jc w:val="center"/>
              <w:ind w:right="283"/>
              <w:spacing w:after="0" w:line="155" w:lineRule="exact"/>
              <w:rPr>
                <w:sz w:val="20"/>
                <w:szCs w:val="20"/>
                <w:color w:val="auto"/>
              </w:rPr>
            </w:pPr>
            <w:r>
              <w:rPr>
                <w:rFonts w:ascii="Times New Roman" w:cs="Times New Roman" w:eastAsia="Times New Roman" w:hAnsi="Times New Roman"/>
                <w:sz w:val="15"/>
                <w:szCs w:val="15"/>
                <w:b w:val="1"/>
                <w:bCs w:val="1"/>
                <w:color w:val="auto"/>
              </w:rPr>
              <w:t>Impact on loss</w:t>
            </w:r>
          </w:p>
        </w:tc>
        <w:tc>
          <w:tcPr>
            <w:tcW w:w="4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r>
      <w:tr>
        <w:trPr>
          <w:trHeight w:val="204"/>
        </w:trPr>
        <w:tc>
          <w:tcPr>
            <w:tcW w:w="594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gridSpan w:val="3"/>
            <w:shd w:val="clear" w:color="auto" w:fill="DBDBDB"/>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before income taxes</w:t>
            </w:r>
          </w:p>
        </w:tc>
        <w:tc>
          <w:tcPr>
            <w:tcW w:w="4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spacing w:after="0"/>
              <w:rPr>
                <w:sz w:val="17"/>
                <w:szCs w:val="17"/>
                <w:color w:val="auto"/>
              </w:rPr>
            </w:pPr>
          </w:p>
        </w:tc>
      </w:tr>
      <w:tr>
        <w:trPr>
          <w:trHeight w:val="189"/>
        </w:trPr>
        <w:tc>
          <w:tcPr>
            <w:tcW w:w="5940" w:type="dxa"/>
            <w:vAlign w:val="bottom"/>
            <w:tcBorders>
              <w:bottom w:val="single" w:sz="8" w:color="DBDBDB"/>
            </w:tcBorders>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Fair value change - Class C-1 Shares</w:t>
            </w:r>
          </w:p>
        </w:tc>
        <w:tc>
          <w:tcPr>
            <w:tcW w:w="2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Fair value change - Class C-2 Shares</w:t>
            </w:r>
          </w:p>
        </w:tc>
      </w:tr>
      <w:tr>
        <w:trPr>
          <w:trHeight w:val="188"/>
        </w:trPr>
        <w:tc>
          <w:tcPr>
            <w:tcW w:w="594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20" w:type="dxa"/>
            <w:vAlign w:val="bottom"/>
            <w:shd w:val="clear" w:color="auto" w:fill="DBDBDB"/>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3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4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5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(Restated)</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(Restated)</w:t>
            </w:r>
          </w:p>
        </w:tc>
        <w:tc>
          <w:tcPr>
            <w:tcW w:w="1100" w:type="dxa"/>
            <w:vAlign w:val="bottom"/>
          </w:tcPr>
          <w:p>
            <w:pPr>
              <w:spacing w:after="0"/>
              <w:rPr>
                <w:sz w:val="17"/>
                <w:szCs w:val="17"/>
                <w:color w:val="auto"/>
              </w:rPr>
            </w:pPr>
          </w:p>
        </w:tc>
      </w:tr>
      <w:tr>
        <w:trPr>
          <w:trHeight w:val="197"/>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Class C Shares liability - increase of 10%</w:t>
            </w:r>
          </w:p>
        </w:tc>
        <w:tc>
          <w:tcPr>
            <w:tcW w:w="52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DBDBDB"/>
          </w:tcPr>
          <w:p>
            <w:pPr>
              <w:jc w:val="center"/>
              <w:ind w:left="203"/>
              <w:spacing w:after="0"/>
              <w:rPr>
                <w:sz w:val="20"/>
                <w:szCs w:val="20"/>
                <w:color w:val="auto"/>
              </w:rPr>
            </w:pPr>
            <w:r>
              <w:rPr>
                <w:rFonts w:ascii="Times New Roman" w:cs="Times New Roman" w:eastAsia="Times New Roman" w:hAnsi="Times New Roman"/>
                <w:sz w:val="15"/>
                <w:szCs w:val="15"/>
                <w:color w:val="auto"/>
              </w:rPr>
              <w:t>820</w:t>
            </w:r>
          </w:p>
        </w:tc>
        <w:tc>
          <w:tcPr>
            <w:tcW w:w="8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800</w:t>
            </w:r>
          </w:p>
        </w:tc>
        <w:tc>
          <w:tcPr>
            <w:tcW w:w="3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180</w:t>
            </w: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450</w:t>
            </w: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Class C Shares liability - decrease of 10%</w:t>
            </w:r>
          </w:p>
        </w:tc>
        <w:tc>
          <w:tcPr>
            <w:tcW w:w="52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center"/>
              <w:ind w:left="183"/>
              <w:spacing w:after="0"/>
              <w:rPr>
                <w:sz w:val="20"/>
                <w:szCs w:val="20"/>
                <w:color w:val="auto"/>
              </w:rPr>
            </w:pPr>
            <w:r>
              <w:rPr>
                <w:rFonts w:ascii="Times New Roman" w:cs="Times New Roman" w:eastAsia="Times New Roman" w:hAnsi="Times New Roman"/>
                <w:sz w:val="15"/>
                <w:szCs w:val="15"/>
                <w:color w:val="auto"/>
              </w:rPr>
              <w:t>(820)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(180)</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Polestar Group’s main interest rate risk arises from short-term Liabilities to credit institutions and long-term related party loans with variable rates, which exposes the Group to</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cash flow interest rate risk. As of December 31, 2023 and 2022, the nominal amount of Liabilities to credit institutions with floating interest rates are $1,926,665 and $994,102, respectively. The nominal amount of loans with floating interest rates within the other non-current interest-bearing liabilities - related parties caption is $1,250,000 as of December 31, 2023. The non-current interest-bearing liabilities - related parties loan had not been drawn on during the year ended December 31, 2022. Management closely monitors</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shows the estimated effect on profit or loss and equity of a parallel shift of the interest rate curves up or down by one percent on loans without fixed interest rates.</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2023 and 2022.</w:t>
      </w:r>
    </w:p>
    <w:p>
      <w:pPr>
        <w:spacing w:after="0" w:line="9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Impact on loss before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-102870</wp:posOffset>
            </wp:positionV>
            <wp:extent cx="6497955" cy="2279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3">
                      <a:extLst>
                        <a:ext uri="{28A0092B-C50C-407E-A947-70E740481C1C}"/>
                      </a:extLst>
                    </a:blip>
                    <a:srcRect/>
                    <a:stretch>
                      <a:fillRect/>
                    </a:stretch>
                  </pic:blipFill>
                  <pic:spPr bwMode="auto">
                    <a:xfrm>
                      <a:off x="0" y="0"/>
                      <a:ext cx="6497955" cy="227965"/>
                    </a:xfrm>
                    <a:prstGeom prst="rect">
                      <a:avLst/>
                    </a:prstGeom>
                    <a:noFill/>
                  </pic:spPr>
                </pic:pic>
              </a:graphicData>
            </a:graphic>
          </wp:anchor>
        </w:drawing>
      </w:r>
    </w:p>
    <w:p>
      <w:pPr>
        <w:jc w:val="center"/>
        <w:ind w:left="6280"/>
        <w:spacing w:after="0"/>
        <w:rPr>
          <w:sz w:val="20"/>
          <w:szCs w:val="20"/>
          <w:color w:val="auto"/>
        </w:rPr>
      </w:pPr>
      <w:r>
        <w:rPr>
          <w:rFonts w:ascii="Times New Roman" w:cs="Times New Roman" w:eastAsia="Times New Roman" w:hAnsi="Times New Roman"/>
          <w:sz w:val="15"/>
          <w:szCs w:val="15"/>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14605</wp:posOffset>
            </wp:positionV>
            <wp:extent cx="216852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14">
                      <a:extLst>
                        <a:ext uri="{28A0092B-C50C-407E-A947-70E740481C1C}"/>
                      </a:extLst>
                    </a:blip>
                    <a:srcRect/>
                    <a:stretch>
                      <a:fillRect/>
                    </a:stretch>
                  </pic:blipFill>
                  <pic:spPr bwMode="auto">
                    <a:xfrm>
                      <a:off x="0" y="0"/>
                      <a:ext cx="2168525" cy="7620"/>
                    </a:xfrm>
                    <a:prstGeom prst="rect">
                      <a:avLst/>
                    </a:prstGeom>
                    <a:noFill/>
                  </pic:spPr>
                </pic:pic>
              </a:graphicData>
            </a:graphic>
          </wp:anchor>
        </w:drawing>
      </w:r>
    </w:p>
    <w:p>
      <w:pPr>
        <w:spacing w:after="0" w:line="7" w:lineRule="exact"/>
        <w:rPr>
          <w:sz w:val="20"/>
          <w:szCs w:val="20"/>
          <w:color w:val="auto"/>
        </w:rPr>
      </w:pPr>
    </w:p>
    <w:p>
      <w:pPr>
        <w:ind w:left="8020"/>
        <w:spacing w:after="0"/>
        <w:tabs>
          <w:tab w:leader="none" w:pos="9700" w:val="left"/>
        </w:tabs>
        <w:rPr>
          <w:sz w:val="20"/>
          <w:szCs w:val="20"/>
          <w:color w:val="auto"/>
        </w:rPr>
      </w:pPr>
      <w:r>
        <w:rPr>
          <w:rFonts w:ascii="Times New Roman" w:cs="Times New Roman" w:eastAsia="Times New Roman" w:hAnsi="Times New Roman"/>
          <w:sz w:val="15"/>
          <w:szCs w:val="15"/>
          <w:b w:val="1"/>
          <w:bCs w:val="1"/>
          <w:color w:val="auto"/>
        </w:rPr>
        <w:t>2023</w:t>
      </w:r>
      <w:r>
        <w:rPr>
          <w:sz w:val="20"/>
          <w:szCs w:val="20"/>
          <w:color w:val="auto"/>
        </w:rPr>
        <w:tab/>
      </w:r>
      <w:r>
        <w:rPr>
          <w:rFonts w:ascii="Times New Roman" w:cs="Times New Roman" w:eastAsia="Times New Roman" w:hAnsi="Times New Roman"/>
          <w:sz w:val="15"/>
          <w:szCs w:val="15"/>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19685</wp:posOffset>
            </wp:positionV>
            <wp:extent cx="6497955" cy="132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15">
                      <a:extLst>
                        <a:ext uri="{28A0092B-C50C-407E-A947-70E740481C1C}"/>
                      </a:extLst>
                    </a:blip>
                    <a:srcRect/>
                    <a:stretch>
                      <a:fillRect/>
                    </a:stretch>
                  </pic:blipFill>
                  <pic:spPr bwMode="auto">
                    <a:xfrm>
                      <a:off x="0" y="0"/>
                      <a:ext cx="6497955" cy="13208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5"/>
          <w:szCs w:val="15"/>
          <w:color w:val="auto"/>
        </w:rPr>
        <w:t>(Restated)</w:t>
      </w:r>
    </w:p>
    <w:p>
      <w:pPr>
        <w:spacing w:after="0" w:line="27" w:lineRule="exact"/>
        <w:rPr>
          <w:sz w:val="20"/>
          <w:szCs w:val="20"/>
          <w:color w:val="auto"/>
        </w:rPr>
      </w:pPr>
    </w:p>
    <w:p>
      <w:pPr>
        <w:ind w:left="520"/>
        <w:spacing w:after="0"/>
        <w:tabs>
          <w:tab w:leader="none" w:pos="7500" w:val="left"/>
          <w:tab w:leader="none" w:pos="8220" w:val="left"/>
          <w:tab w:leader="none" w:pos="9200" w:val="left"/>
          <w:tab w:leader="none" w:pos="9980" w:val="left"/>
        </w:tabs>
        <w:rPr>
          <w:sz w:val="20"/>
          <w:szCs w:val="20"/>
          <w:color w:val="auto"/>
        </w:rPr>
      </w:pPr>
      <w:r>
        <w:rPr>
          <w:rFonts w:ascii="Times New Roman" w:cs="Times New Roman" w:eastAsia="Times New Roman" w:hAnsi="Times New Roman"/>
          <w:sz w:val="15"/>
          <w:szCs w:val="15"/>
          <w:color w:val="auto"/>
        </w:rPr>
        <w:t>Interest rates - increase/decrease by 1%</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15,909</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5,219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-108585</wp:posOffset>
            </wp:positionV>
            <wp:extent cx="72009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16">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Credit risk</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w:t>
      </w:r>
    </w:p>
    <w:p>
      <w:pPr>
        <w:spacing w:after="0"/>
        <w:rPr>
          <w:sz w:val="20"/>
          <w:szCs w:val="20"/>
          <w:color w:val="auto"/>
        </w:rPr>
      </w:pPr>
      <w:r>
        <w:rPr>
          <w:rFonts w:ascii="Times New Roman" w:cs="Times New Roman" w:eastAsia="Times New Roman" w:hAnsi="Times New Roman"/>
          <w:sz w:val="15"/>
          <w:szCs w:val="15"/>
          <w:color w:val="auto"/>
        </w:rPr>
        <w:t>the expectation of recovering contractual cash flows on the receivables is not probable.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credit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credit risk on financial transactions is the risk that Polestar Group will incur losses as a result of non-payment by counterparties related to the Group’s bank accounts, bank</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deposits, derivative transactions, and other liquid assets. In order to minimize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ended December 31, 2023 and 2022 were in the range of BBB to A+.</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upon demand and, therefore, bear low risk. Risks associated with the Group’s trade receivables are further specified below.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Operational credit risk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encompasses the default risk of customers. Management evaluates for concentrations of credit risk at the customer level based on the outstanding Trade receivables balance of each respective customer account. As of December 31, 2023, two unrelated parties accounted for $23,635 (12.68%), and $19,205 (10.30%) of the Group's total Trade receivables (i.e., Trade receivables plus Trade receivables - related parties). As of December 31, 2022, an unrelated party accounted for $26,649 (13.10%) of the Group’s total Trade receivables.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Historically, the Group has not incurred any losses from these customers and does not have any contractual right to off-set its payables and receivables.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w:t>
      </w:r>
      <w:r>
        <w:rPr>
          <w:rFonts w:ascii="Times New Roman" w:cs="Times New Roman" w:eastAsia="Times New Roman" w:hAnsi="Times New Roman"/>
          <w:sz w:val="15"/>
          <w:szCs w:val="15"/>
          <w:i w:val="1"/>
          <w:iCs w:val="1"/>
          <w:color w:val="auto"/>
        </w:rPr>
        <w:t>Note 17 - Financial instruments</w:t>
      </w:r>
      <w:r>
        <w:rPr>
          <w:rFonts w:ascii="Times New Roman" w:cs="Times New Roman" w:eastAsia="Times New Roman" w:hAnsi="Times New Roman"/>
          <w:sz w:val="15"/>
          <w:szCs w:val="15"/>
          <w:color w:val="auto"/>
        </w:rPr>
        <w:t xml:space="preserve"> for further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risk</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Liquidity risk is the risk that Polestar Group is unable to meet ongoing financial obligations on time. The Group faces liquidity risk from its loans from financial institutions as they are short-term in nature, typically with a credit term of one year or less. Trade payables with related parties represent working capital arrangements under which the liquidity needs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 xml:space="preserve">the Group are highly dependent on the continued flexible payment terms offered to the Group by its related parties. These flexible payment terms are not a contractual right and may be called upon in the future.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of liquid assets such as Cash and cash equivalents and Accounts receivable, by maintaining credit facilities in addition to the cash inflows generated by its business operations and through capital contributions from private equity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 the Group held Cash and cash equivalents of $768,264 and $973,877, respectively, that were available for managing liquidity risk. The Group</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entered into short-term financing arrangements with credit institutions and other financial service providers to enhance short term liquidity and financing needs. Refer to </w:t>
      </w:r>
      <w:r>
        <w:rPr>
          <w:rFonts w:ascii="Times New Roman" w:cs="Times New Roman" w:eastAsia="Times New Roman" w:hAnsi="Times New Roman"/>
          <w:sz w:val="15"/>
          <w:szCs w:val="15"/>
          <w:i w:val="1"/>
          <w:iCs w:val="1"/>
          <w:color w:val="auto"/>
        </w:rPr>
        <w:t>Note 25 -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Liabilities to credit institutions </w:t>
      </w:r>
      <w:r>
        <w:rPr>
          <w:rFonts w:ascii="Times New Roman" w:cs="Times New Roman" w:eastAsia="Times New Roman" w:hAnsi="Times New Roman"/>
          <w:sz w:val="15"/>
          <w:szCs w:val="15"/>
          <w:color w:val="auto"/>
        </w:rPr>
        <w:t>for further details on short-term borrowings. The Group’s short-term and mid-term liquidity management takes into account the maturities of financial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assets and financial liabilities and estimates of cash flows from business operations.</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Capital management</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As a Company which is quickly scaling,</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Polestar's treasury department regularly evaluates the cash needs of the Company and enters into debt arrangements with banks in Europe and China. To maintain or adjust the capital structure, the Group may issue new shares, sell assets to reduce debt, or enter into short term debt and financing arrangements to increase cash on hand, with an ultimate goal of striking a balance between capital generated through debt versus equity. Polestar's capital is summarized as follows:</w:t>
      </w:r>
    </w:p>
    <w:p>
      <w:pPr>
        <w:spacing w:after="0" w:line="94"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8180" w:type="dxa"/>
            <w:vAlign w:val="bottom"/>
            <w:shd w:val="clear" w:color="auto" w:fill="DBDBDB"/>
          </w:tcPr>
          <w:p>
            <w:pPr>
              <w:spacing w:after="0"/>
              <w:rPr>
                <w:sz w:val="17"/>
                <w:szCs w:val="17"/>
                <w:color w:val="auto"/>
              </w:rPr>
            </w:pPr>
          </w:p>
        </w:tc>
        <w:tc>
          <w:tcPr>
            <w:tcW w:w="2360" w:type="dxa"/>
            <w:vAlign w:val="bottom"/>
            <w:tcBorders>
              <w:bottom w:val="single" w:sz="8" w:color="auto"/>
            </w:tcBorders>
            <w:gridSpan w:val="4"/>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81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Share capital and Other contributed capital</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3,636,355</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3,605,397</w:t>
            </w:r>
          </w:p>
        </w:tc>
      </w:tr>
      <w:tr>
        <w:trPr>
          <w:trHeight w:val="197"/>
        </w:trPr>
        <w:tc>
          <w:tcPr>
            <w:tcW w:w="8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Liabilities to credit institutions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2,026,665</w:t>
            </w:r>
          </w:p>
        </w:tc>
        <w:tc>
          <w:tcPr>
            <w:tcW w:w="1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1,327,102</w:t>
            </w:r>
          </w:p>
        </w:tc>
      </w:tr>
      <w:tr>
        <w:trPr>
          <w:trHeight w:val="197"/>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interest-bearing liabilities - related parties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1,413,257</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43,643</w:t>
            </w:r>
          </w:p>
        </w:tc>
      </w:tr>
      <w:tr>
        <w:trPr>
          <w:trHeight w:val="197"/>
        </w:trPr>
        <w:tc>
          <w:tcPr>
            <w:tcW w:w="8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Interest-bearing current liabilities - related parties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73,814</w:t>
            </w:r>
          </w:p>
        </w:tc>
        <w:tc>
          <w:tcPr>
            <w:tcW w:w="1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27,061</w:t>
            </w:r>
          </w:p>
        </w:tc>
      </w:tr>
      <w:tr>
        <w:trPr>
          <w:trHeight w:val="197"/>
        </w:trPr>
        <w:tc>
          <w:tcPr>
            <w:tcW w:w="8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capital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7,150,091</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5,003,203</w:t>
            </w:r>
          </w:p>
        </w:tc>
      </w:tr>
    </w:tbl>
    <w:p>
      <w:pPr>
        <w:spacing w:after="0" w:line="14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As of December 31, 2023, Polestar's main sources of debt are working capital loans which are entered into with credit institutions and long-term related party loans. These obligations are reflected within Liabilities to credit institutions and other non-current and current interest-bearing liabilities - related parties on the Consolidated Statement of Financial Position,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respectively, with a weighted average cost of capital of 6.41% and 10.39%,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 Revenue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01"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70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3360" w:type="dxa"/>
            <w:vAlign w:val="bottom"/>
            <w:tcBorders>
              <w:bottom w:val="single" w:sz="8" w:color="auto"/>
            </w:tcBorders>
            <w:gridSpan w:val="5"/>
            <w:shd w:val="clear" w:color="auto" w:fill="DBDBDB"/>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6"/>
                <w:szCs w:val="16"/>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200" w:type="dxa"/>
            <w:vAlign w:val="bottom"/>
          </w:tcPr>
          <w:p>
            <w:pPr>
              <w:spacing w:after="0"/>
              <w:rPr>
                <w:sz w:val="16"/>
                <w:szCs w:val="16"/>
                <w:color w:val="auto"/>
              </w:rPr>
            </w:pPr>
          </w:p>
        </w:tc>
        <w:tc>
          <w:tcPr>
            <w:tcW w:w="10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0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000" w:type="dxa"/>
            <w:vAlign w:val="bottom"/>
          </w:tcPr>
          <w:p>
            <w:pPr>
              <w:spacing w:after="0" w:line="188" w:lineRule="exact"/>
              <w:rPr>
                <w:sz w:val="20"/>
                <w:szCs w:val="20"/>
                <w:color w:val="auto"/>
              </w:rPr>
            </w:pPr>
            <w:r>
              <w:rPr>
                <w:rFonts w:ascii="Times New Roman" w:cs="Times New Roman" w:eastAsia="Times New Roman" w:hAnsi="Times New Roman"/>
                <w:sz w:val="15"/>
                <w:szCs w:val="15"/>
                <w:color w:val="auto"/>
              </w:rPr>
              <w:t>Sales of vehicles</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2,313,124</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2,386,685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1,298,918</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Sales of software and performance engineered kits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18,994</w:t>
            </w: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21,308</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25,881</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Sales of carbon credits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1,452</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10,984</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6,299</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Vehicle leasing revenue</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17,421</w:t>
            </w: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16,719</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6,217</w:t>
            </w:r>
          </w:p>
        </w:tc>
      </w:tr>
      <w:tr>
        <w:trPr>
          <w:trHeight w:val="197"/>
        </w:trPr>
        <w:tc>
          <w:tcPr>
            <w:tcW w:w="7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Other revenue</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17,094</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5,122</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6,310</w:t>
            </w:r>
          </w:p>
        </w:tc>
      </w:tr>
      <w:tr>
        <w:trPr>
          <w:trHeight w:val="188"/>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2,368,085</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2,440,818</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1,343,625</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Revenue related to sales of vehicles is inclusive of accessory revenue and extended and connected services recognized over time.</w:t>
      </w:r>
    </w:p>
    <w:p>
      <w:pPr>
        <w:spacing w:after="0" w:line="5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For the years ended December 31, 2023, 2022 and 2021, other revenue primarily consisted of license revenue generated from sales-based royalties received from Volvo Cars on sales of parts and accessories for Polestar vehicles and software performance upgrades.</w:t>
      </w:r>
    </w:p>
    <w:p>
      <w:pPr>
        <w:spacing w:after="0" w:line="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 xml:space="preserve">For the year ended December 31, 2023, the Group's largest customer that is not a related party accounted for $372,597 (16%) of Revenue. For the years ended December 31, 2022 and December 31, 2021, no sole customer exceeded 10% of total Revenue. The Group’s two largest customers that are not related parties accounted for $156,400 (6%) and $135,544 (10%) of Revenue respectively, for the years ended December 31, 2022 and December 31, 2021.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further details on revenue from</w:t>
      </w:r>
    </w:p>
    <w:p>
      <w:pPr>
        <w:spacing w:after="0"/>
        <w:rPr>
          <w:sz w:val="20"/>
          <w:szCs w:val="20"/>
          <w:color w:val="auto"/>
        </w:rPr>
      </w:pPr>
      <w:r>
        <w:rPr>
          <w:rFonts w:ascii="Times New Roman" w:cs="Times New Roman" w:eastAsia="Times New Roman" w:hAnsi="Times New Roman"/>
          <w:sz w:val="15"/>
          <w:szCs w:val="15"/>
          <w:color w:val="auto"/>
        </w:rPr>
        <w:t>related parties.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Refund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years ended December 31, 2023, 2022, and 2021, the Group reduced revenue by $119,832, $54,909, and $49,683 for amounts related to variable consideration due to</w:t>
      </w:r>
    </w:p>
    <w:p>
      <w:pPr>
        <w:spacing w:after="0" w:line="6" w:lineRule="exact"/>
        <w:rPr>
          <w:sz w:val="20"/>
          <w:szCs w:val="20"/>
          <w:color w:val="auto"/>
        </w:rPr>
      </w:pPr>
    </w:p>
    <w:p>
      <w:pPr>
        <w:ind w:right="440"/>
        <w:spacing w:after="0" w:line="232" w:lineRule="auto"/>
        <w:rPr>
          <w:sz w:val="20"/>
          <w:szCs w:val="20"/>
          <w:color w:val="auto"/>
        </w:rPr>
      </w:pPr>
      <w:r>
        <w:rPr>
          <w:rFonts w:ascii="Times New Roman" w:cs="Times New Roman" w:eastAsia="Times New Roman" w:hAnsi="Times New Roman"/>
          <w:sz w:val="15"/>
          <w:szCs w:val="15"/>
          <w:color w:val="auto"/>
        </w:rPr>
        <w:t>customers or service providers incentivizing contracts with customers, primarily in the form of volume related bonuses or discounts, residual value guarantees, and interest rate subvention schemes. Accruals related to refund liabilities are presented in other current and non-current liabilities. Refer to Note 24 – Other current and non-current liabilities.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Deferred</w:t>
            </w:r>
          </w:p>
        </w:tc>
        <w:tc>
          <w:tcPr>
            <w:tcW w:w="160" w:type="dxa"/>
            <w:vAlign w:val="bottom"/>
            <w:shd w:val="clear" w:color="auto" w:fill="DBDBDB"/>
          </w:tcPr>
          <w:p>
            <w:pPr>
              <w:spacing w:after="0"/>
              <w:rPr>
                <w:sz w:val="15"/>
                <w:szCs w:val="15"/>
                <w:color w:val="auto"/>
              </w:rPr>
            </w:pPr>
          </w:p>
        </w:tc>
        <w:tc>
          <w:tcPr>
            <w:tcW w:w="960" w:type="dxa"/>
            <w:vAlign w:val="bottom"/>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Deferred</w:t>
            </w:r>
          </w:p>
        </w:tc>
        <w:tc>
          <w:tcPr>
            <w:tcW w:w="180" w:type="dxa"/>
            <w:vAlign w:val="bottom"/>
            <w:shd w:val="clear" w:color="auto" w:fill="DBDBDB"/>
          </w:tcPr>
          <w:p>
            <w:pPr>
              <w:spacing w:after="0"/>
              <w:rPr>
                <w:sz w:val="15"/>
                <w:szCs w:val="15"/>
                <w:color w:val="auto"/>
              </w:rPr>
            </w:pPr>
          </w:p>
        </w:tc>
        <w:tc>
          <w:tcPr>
            <w:tcW w:w="960" w:type="dxa"/>
            <w:vAlign w:val="bottom"/>
            <w:tcBorders>
              <w:right w:val="single" w:sz="8" w:color="auto"/>
            </w:tcBorders>
            <w:shd w:val="clear" w:color="auto" w:fill="DBDBDB"/>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Deferred</w:t>
            </w: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6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40" w:type="dxa"/>
            <w:vAlign w:val="bottom"/>
            <w:vMerge w:val="continue"/>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60" w:type="dxa"/>
            <w:vAlign w:val="bottom"/>
            <w:shd w:val="clear" w:color="auto" w:fill="DBDBDB"/>
          </w:tcPr>
          <w:p>
            <w:pPr>
              <w:jc w:val="center"/>
              <w:ind w:right="63"/>
              <w:spacing w:after="0" w:line="151" w:lineRule="exact"/>
              <w:rPr>
                <w:sz w:val="20"/>
                <w:szCs w:val="20"/>
                <w:color w:val="auto"/>
              </w:rPr>
            </w:pPr>
            <w:r>
              <w:rPr>
                <w:rFonts w:ascii="Times New Roman" w:cs="Times New Roman" w:eastAsia="Times New Roman" w:hAnsi="Times New Roman"/>
                <w:sz w:val="15"/>
                <w:szCs w:val="15"/>
                <w:b w:val="1"/>
                <w:bCs w:val="1"/>
                <w:color w:val="auto"/>
              </w:rPr>
              <w:t>revenue -</w:t>
            </w:r>
          </w:p>
        </w:tc>
        <w:tc>
          <w:tcPr>
            <w:tcW w:w="180" w:type="dxa"/>
            <w:vAlign w:val="bottom"/>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jc w:val="center"/>
              <w:ind w:right="103"/>
              <w:spacing w:after="0" w:line="151" w:lineRule="exact"/>
              <w:rPr>
                <w:sz w:val="20"/>
                <w:szCs w:val="20"/>
                <w:color w:val="auto"/>
              </w:rPr>
            </w:pPr>
            <w:r>
              <w:rPr>
                <w:rFonts w:ascii="Times New Roman" w:cs="Times New Roman" w:eastAsia="Times New Roman" w:hAnsi="Times New Roman"/>
                <w:sz w:val="15"/>
                <w:szCs w:val="15"/>
                <w:b w:val="1"/>
                <w:bCs w:val="1"/>
                <w:color w:val="auto"/>
              </w:rPr>
              <w:t>revenue -</w:t>
            </w: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183"/>
              <w:spacing w:after="0" w:line="151" w:lineRule="exact"/>
              <w:rPr>
                <w:sz w:val="20"/>
                <w:szCs w:val="20"/>
                <w:color w:val="auto"/>
              </w:rPr>
            </w:pPr>
            <w:r>
              <w:rPr>
                <w:rFonts w:ascii="Times New Roman" w:cs="Times New Roman" w:eastAsia="Times New Roman" w:hAnsi="Times New Roman"/>
                <w:sz w:val="15"/>
                <w:szCs w:val="15"/>
                <w:b w:val="1"/>
                <w:bCs w:val="1"/>
                <w:color w:val="auto"/>
              </w:rPr>
              <w:t>revenue -</w:t>
            </w:r>
          </w:p>
        </w:tc>
        <w:tc>
          <w:tcPr>
            <w:tcW w:w="160" w:type="dxa"/>
            <w:vAlign w:val="bottom"/>
            <w:shd w:val="clear" w:color="auto" w:fill="DBDBDB"/>
          </w:tcPr>
          <w:p>
            <w:pPr>
              <w:spacing w:after="0"/>
              <w:rPr>
                <w:sz w:val="13"/>
                <w:szCs w:val="13"/>
                <w:color w:val="auto"/>
              </w:rPr>
            </w:pPr>
          </w:p>
        </w:tc>
        <w:tc>
          <w:tcPr>
            <w:tcW w:w="960" w:type="dxa"/>
            <w:vAlign w:val="bottom"/>
            <w:shd w:val="clear" w:color="auto" w:fill="DBDBDB"/>
          </w:tcPr>
          <w:p>
            <w:pPr>
              <w:jc w:val="center"/>
              <w:ind w:right="63"/>
              <w:spacing w:after="0" w:line="151" w:lineRule="exact"/>
              <w:rPr>
                <w:sz w:val="20"/>
                <w:szCs w:val="20"/>
                <w:color w:val="auto"/>
              </w:rPr>
            </w:pPr>
            <w:r>
              <w:rPr>
                <w:rFonts w:ascii="Times New Roman" w:cs="Times New Roman" w:eastAsia="Times New Roman" w:hAnsi="Times New Roman"/>
                <w:sz w:val="15"/>
                <w:szCs w:val="15"/>
                <w:b w:val="1"/>
                <w:bCs w:val="1"/>
                <w:color w:val="auto"/>
              </w:rPr>
              <w:t>connected</w:t>
            </w:r>
          </w:p>
        </w:tc>
        <w:tc>
          <w:tcPr>
            <w:tcW w:w="1140" w:type="dxa"/>
            <w:vAlign w:val="bottom"/>
            <w:tcBorders>
              <w:right w:val="single" w:sz="8" w:color="auto"/>
            </w:tcBorders>
            <w:gridSpan w:val="2"/>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operating leases</w:t>
            </w:r>
          </w:p>
        </w:tc>
        <w:tc>
          <w:tcPr>
            <w:tcW w:w="24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8"/>
        </w:trPr>
        <w:tc>
          <w:tcPr>
            <w:tcW w:w="5640" w:type="dxa"/>
            <w:vAlign w:val="bottom"/>
            <w:shd w:val="clear" w:color="auto" w:fill="DBDBDB"/>
          </w:tcPr>
          <w:p>
            <w:pPr>
              <w:spacing w:after="0"/>
              <w:rPr>
                <w:sz w:val="18"/>
                <w:szCs w:val="18"/>
                <w:color w:val="auto"/>
              </w:rPr>
            </w:pPr>
          </w:p>
        </w:tc>
        <w:tc>
          <w:tcPr>
            <w:tcW w:w="11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extended service</w:t>
            </w: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services</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&amp; other</w:t>
            </w: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January 1, 2022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21,830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17,120</w:t>
            </w:r>
          </w:p>
        </w:tc>
        <w:tc>
          <w:tcPr>
            <w:tcW w:w="180" w:type="dxa"/>
            <w:vAlign w:val="bottom"/>
          </w:tcPr>
          <w:p>
            <w:pPr>
              <w:spacing w:after="0"/>
              <w:rPr>
                <w:sz w:val="16"/>
                <w:szCs w:val="16"/>
                <w:color w:val="auto"/>
              </w:rPr>
            </w:pPr>
          </w:p>
        </w:tc>
        <w:tc>
          <w:tcPr>
            <w:tcW w:w="9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16,693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55,643</w:t>
            </w:r>
          </w:p>
        </w:tc>
        <w:tc>
          <w:tcPr>
            <w:tcW w:w="0" w:type="dxa"/>
            <w:vAlign w:val="bottom"/>
          </w:tcPr>
          <w:p>
            <w:pPr>
              <w:spacing w:after="0"/>
              <w:rPr>
                <w:sz w:val="1"/>
                <w:szCs w:val="1"/>
                <w:color w:val="auto"/>
              </w:rPr>
            </w:pPr>
          </w:p>
        </w:tc>
      </w:tr>
      <w:tr>
        <w:trPr>
          <w:trHeight w:val="197"/>
        </w:trPr>
        <w:tc>
          <w:tcPr>
            <w:tcW w:w="56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Provided for during the year</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31,580</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16,058</w:t>
            </w:r>
          </w:p>
        </w:tc>
        <w:tc>
          <w:tcPr>
            <w:tcW w:w="18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18,902</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66,540</w:t>
            </w:r>
          </w:p>
        </w:tc>
        <w:tc>
          <w:tcPr>
            <w:tcW w:w="0" w:type="dxa"/>
            <w:vAlign w:val="bottom"/>
          </w:tcPr>
          <w:p>
            <w:pPr>
              <w:spacing w:after="0"/>
              <w:rPr>
                <w:sz w:val="1"/>
                <w:szCs w:val="1"/>
                <w:color w:val="auto"/>
              </w:rPr>
            </w:pPr>
          </w:p>
        </w:tc>
      </w:tr>
      <w:tr>
        <w:trPr>
          <w:trHeight w:val="197"/>
        </w:trPr>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Settled during the year</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6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Released during the year</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(12,807)</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(2,889)</w:t>
            </w:r>
          </w:p>
        </w:tc>
        <w:tc>
          <w:tcPr>
            <w:tcW w:w="18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(22,512)</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(38,208)</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(1,778)</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(2,573)</w:t>
            </w:r>
          </w:p>
        </w:tc>
        <w:tc>
          <w:tcPr>
            <w:tcW w:w="0" w:type="dxa"/>
            <w:vAlign w:val="bottom"/>
          </w:tcPr>
          <w:p>
            <w:pPr>
              <w:spacing w:after="0"/>
              <w:rPr>
                <w:sz w:val="1"/>
                <w:szCs w:val="1"/>
                <w:color w:val="auto"/>
              </w:rPr>
            </w:pPr>
          </w:p>
        </w:tc>
      </w:tr>
      <w:tr>
        <w:trPr>
          <w:trHeight w:val="188"/>
        </w:trPr>
        <w:tc>
          <w:tcPr>
            <w:tcW w:w="56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39,856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28,511</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13,035</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81,402</w:t>
            </w:r>
          </w:p>
        </w:tc>
        <w:tc>
          <w:tcPr>
            <w:tcW w:w="0" w:type="dxa"/>
            <w:vAlign w:val="bottom"/>
          </w:tcPr>
          <w:p>
            <w:pPr>
              <w:spacing w:after="0"/>
              <w:rPr>
                <w:sz w:val="1"/>
                <w:szCs w:val="1"/>
                <w:color w:val="auto"/>
              </w:rPr>
            </w:pPr>
          </w:p>
        </w:tc>
      </w:tr>
      <w:tr>
        <w:trPr>
          <w:trHeight w:val="188"/>
        </w:trPr>
        <w:tc>
          <w:tcPr>
            <w:tcW w:w="5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current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18,043</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4,083</w:t>
            </w:r>
          </w:p>
        </w:tc>
        <w:tc>
          <w:tcPr>
            <w:tcW w:w="180" w:type="dxa"/>
            <w:vAlign w:val="bottom"/>
          </w:tcPr>
          <w:p>
            <w:pPr>
              <w:spacing w:after="0"/>
              <w:rPr>
                <w:sz w:val="16"/>
                <w:szCs w:val="16"/>
                <w:color w:val="auto"/>
              </w:rPr>
            </w:pPr>
          </w:p>
        </w:tc>
        <w:tc>
          <w:tcPr>
            <w:tcW w:w="9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10,258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32,384</w:t>
            </w:r>
          </w:p>
        </w:tc>
        <w:tc>
          <w:tcPr>
            <w:tcW w:w="0" w:type="dxa"/>
            <w:vAlign w:val="bottom"/>
          </w:tcPr>
          <w:p>
            <w:pPr>
              <w:spacing w:after="0"/>
              <w:rPr>
                <w:sz w:val="1"/>
                <w:szCs w:val="1"/>
                <w:color w:val="auto"/>
              </w:rPr>
            </w:pPr>
          </w:p>
        </w:tc>
      </w:tr>
      <w:tr>
        <w:trPr>
          <w:trHeight w:val="197"/>
        </w:trPr>
        <w:tc>
          <w:tcPr>
            <w:tcW w:w="56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non-current</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21,813</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24,428</w:t>
            </w:r>
          </w:p>
        </w:tc>
        <w:tc>
          <w:tcPr>
            <w:tcW w:w="18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2,777</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49,018</w:t>
            </w:r>
          </w:p>
        </w:tc>
        <w:tc>
          <w:tcPr>
            <w:tcW w:w="0" w:type="dxa"/>
            <w:vAlign w:val="bottom"/>
          </w:tcPr>
          <w:p>
            <w:pPr>
              <w:spacing w:after="0"/>
              <w:rPr>
                <w:sz w:val="1"/>
                <w:szCs w:val="1"/>
                <w:color w:val="auto"/>
              </w:rPr>
            </w:pPr>
          </w:p>
        </w:tc>
      </w:tr>
      <w:tr>
        <w:trPr>
          <w:trHeight w:val="220"/>
        </w:trPr>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Provided for during the year - (Restated)</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30,811</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14,469</w:t>
            </w:r>
          </w:p>
        </w:tc>
        <w:tc>
          <w:tcPr>
            <w:tcW w:w="18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56,022</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101,302</w:t>
            </w:r>
          </w:p>
        </w:tc>
        <w:tc>
          <w:tcPr>
            <w:tcW w:w="0" w:type="dxa"/>
            <w:vAlign w:val="bottom"/>
          </w:tcPr>
          <w:p>
            <w:pPr>
              <w:spacing w:after="0"/>
              <w:rPr>
                <w:sz w:val="1"/>
                <w:szCs w:val="1"/>
                <w:color w:val="auto"/>
              </w:rPr>
            </w:pPr>
          </w:p>
        </w:tc>
      </w:tr>
      <w:tr>
        <w:trPr>
          <w:trHeight w:val="197"/>
        </w:trPr>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Settled during the year</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6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Released during the year</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(23,917)</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(4,973)</w:t>
            </w:r>
          </w:p>
        </w:tc>
        <w:tc>
          <w:tcPr>
            <w:tcW w:w="18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(18,704)</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(47,594)</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1,558</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609</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2,922</w:t>
            </w:r>
          </w:p>
        </w:tc>
        <w:tc>
          <w:tcPr>
            <w:tcW w:w="0" w:type="dxa"/>
            <w:vAlign w:val="bottom"/>
          </w:tcPr>
          <w:p>
            <w:pPr>
              <w:spacing w:after="0"/>
              <w:rPr>
                <w:sz w:val="1"/>
                <w:szCs w:val="1"/>
                <w:color w:val="auto"/>
              </w:rPr>
            </w:pPr>
          </w:p>
        </w:tc>
      </w:tr>
      <w:tr>
        <w:trPr>
          <w:trHeight w:val="188"/>
        </w:trPr>
        <w:tc>
          <w:tcPr>
            <w:tcW w:w="56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1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47,505</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39,565</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50,962</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138,032</w:t>
            </w:r>
          </w:p>
        </w:tc>
        <w:tc>
          <w:tcPr>
            <w:tcW w:w="0" w:type="dxa"/>
            <w:vAlign w:val="bottom"/>
          </w:tcPr>
          <w:p>
            <w:pPr>
              <w:spacing w:after="0"/>
              <w:rPr>
                <w:sz w:val="1"/>
                <w:szCs w:val="1"/>
                <w:color w:val="auto"/>
              </w:rPr>
            </w:pPr>
          </w:p>
        </w:tc>
      </w:tr>
      <w:tr>
        <w:trPr>
          <w:trHeight w:val="188"/>
        </w:trPr>
        <w:tc>
          <w:tcPr>
            <w:tcW w:w="5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current - (Restated)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22,150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6,135</w:t>
            </w:r>
          </w:p>
        </w:tc>
        <w:tc>
          <w:tcPr>
            <w:tcW w:w="180" w:type="dxa"/>
            <w:vAlign w:val="bottom"/>
          </w:tcPr>
          <w:p>
            <w:pPr>
              <w:spacing w:after="0"/>
              <w:rPr>
                <w:sz w:val="16"/>
                <w:szCs w:val="16"/>
                <w:color w:val="auto"/>
              </w:rPr>
            </w:pPr>
          </w:p>
        </w:tc>
        <w:tc>
          <w:tcPr>
            <w:tcW w:w="9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46,594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74,879</w:t>
            </w:r>
          </w:p>
        </w:tc>
        <w:tc>
          <w:tcPr>
            <w:tcW w:w="0" w:type="dxa"/>
            <w:vAlign w:val="bottom"/>
          </w:tcPr>
          <w:p>
            <w:pPr>
              <w:spacing w:after="0"/>
              <w:rPr>
                <w:sz w:val="1"/>
                <w:szCs w:val="1"/>
                <w:color w:val="auto"/>
              </w:rPr>
            </w:pPr>
          </w:p>
        </w:tc>
      </w:tr>
      <w:tr>
        <w:trPr>
          <w:trHeight w:val="197"/>
        </w:trPr>
        <w:tc>
          <w:tcPr>
            <w:tcW w:w="56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non-current - (Restated)</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25,355</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33,430</w:t>
            </w:r>
          </w:p>
        </w:tc>
        <w:tc>
          <w:tcPr>
            <w:tcW w:w="18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4,368</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63,153</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As of December 31, 2023, total contract liabilities amounted to $138,032, which was related to remaining performance obligations associated with sales of vehicles and vehicle leasing revenue. As of December 31, 2022, the aggregate amount of the transaction price related to sales of vehicles allocated to the remaining performance obligations was $81,402.</w:t>
      </w:r>
    </w:p>
    <w:p>
      <w:pPr>
        <w:spacing w:after="0" w:line="2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Revenue recognized during the year ended December 31, 2023 related to contract liabilities outstanding as of January 1, 2023 was $32,384, and no Revenue was recognized during the period related to performance obligations fully (or partially) satisfied in prior periods. Revenue recognized during the year ended December 31, 2022 related to contract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outstanding as of January 1, 2022 was $27,989, and no Revenue was recognized during the period related to performance obligations fully (or partially) satisfied in prior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color w:val="auto"/>
        </w:rPr>
        <w:t>periods. Revenue recognized during the year ended December 31, 2021 related to contract liabilities outstanding as of January 1, 2021 was $4,648, and no Revenue was recognized during the period related to performance obligation fully or (partially) satisfied in prior periods.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 Geographic information</w:t>
      </w:r>
    </w:p>
    <w:p>
      <w:pPr>
        <w:spacing w:after="0" w:line="7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commercializing and selling battery electric vehicles and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technologies. All substantial decisions regarding allocation of resources as well as the assessment of performance is based on the Group as a whole.</w:t>
      </w:r>
    </w:p>
    <w:p>
      <w:pPr>
        <w:spacing w:after="0" w:line="5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5"/>
          <w:szCs w:val="15"/>
          <w:color w:val="auto"/>
        </w:rPr>
        <w:t>Polestar Group uses the “management approach” in determining reportable operating segments. The management approach considers the internal organization and reporting used by the Group’s CODM to allocate resources and assess performance as the source for determining the Group’s reportable segments. Polestar Group’s CODM has been identified as the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4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The following tables show the breakdown of Polestar Group’s Revenue from external customers and non-current assets (PPE, Vehicles under operating leases, and Intangibles and goodwill) by geographical location where the Polestar company recognizing the Revenue is located: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shd w:val="clear" w:color="auto" w:fill="DBDBDB"/>
          </w:tcPr>
          <w:p>
            <w:pPr>
              <w:spacing w:after="0"/>
              <w:rPr>
                <w:sz w:val="17"/>
                <w:szCs w:val="17"/>
                <w:color w:val="auto"/>
              </w:rPr>
            </w:pPr>
          </w:p>
        </w:tc>
        <w:tc>
          <w:tcPr>
            <w:tcW w:w="74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560" w:type="dxa"/>
            <w:vAlign w:val="bottom"/>
            <w:tcBorders>
              <w:bottom w:val="single" w:sz="8" w:color="auto"/>
            </w:tcBorders>
            <w:gridSpan w:val="6"/>
            <w:shd w:val="clear" w:color="auto" w:fill="DBDBDB"/>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DBDBDB"/>
            </w:tcBorders>
          </w:tcPr>
          <w:p>
            <w:pPr>
              <w:spacing w:after="0"/>
              <w:rPr>
                <w:sz w:val="16"/>
                <w:szCs w:val="16"/>
                <w:color w:val="auto"/>
              </w:rPr>
            </w:pPr>
          </w:p>
        </w:tc>
        <w:tc>
          <w:tcPr>
            <w:tcW w:w="74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0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shd w:val="clear" w:color="auto" w:fill="DBDBDB"/>
          </w:tcPr>
          <w:p>
            <w:pPr>
              <w:spacing w:after="0"/>
              <w:rPr>
                <w:sz w:val="16"/>
                <w:szCs w:val="16"/>
                <w:color w:val="auto"/>
              </w:rPr>
            </w:pPr>
          </w:p>
        </w:tc>
        <w:tc>
          <w:tcPr>
            <w:tcW w:w="1040" w:type="dxa"/>
            <w:vAlign w:val="bottom"/>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2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ind w:left="120"/>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United Kingdom</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529,372</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338,042</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USA</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388,080</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515,711</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250,853</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Sweden</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272,891</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358,607</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197,253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Germany</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242,923</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287,010</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117,642</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Canada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129,209</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84,220</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Belgium</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111,829</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88,823</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53,411</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Australia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103,288</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64,547</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Netherlands</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98,351</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111,316</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132,547</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Denmark</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95,234</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67,836</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Norway</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92,688</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231,310</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231,640</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Korea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59,809</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118,108</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Finland</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45,567</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42,236</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10,056</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Switzerland</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42,611</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37,855</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Italy</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35,244</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22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Austria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33,898</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27,604</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China</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26,216</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39,203</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39,650</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tcBorders>
              <w:bottom w:val="single" w:sz="8" w:color="DBDBDB"/>
            </w:tcBorders>
            <w:gridSpan w:val="2"/>
          </w:tcPr>
          <w:p>
            <w:pPr>
              <w:spacing w:after="0" w:line="197" w:lineRule="exact"/>
              <w:rPr>
                <w:sz w:val="20"/>
                <w:szCs w:val="20"/>
                <w:color w:val="auto"/>
              </w:rPr>
            </w:pPr>
            <w:r>
              <w:rPr>
                <w:rFonts w:ascii="Times New Roman" w:cs="Times New Roman" w:eastAsia="Times New Roman" w:hAnsi="Times New Roman"/>
                <w:sz w:val="15"/>
                <w:szCs w:val="15"/>
                <w:color w:val="auto"/>
              </w:rPr>
              <w:t>Other regions</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60,875</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27,323</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2,368,085</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2,440,818</w:t>
            </w:r>
          </w:p>
        </w:tc>
        <w:tc>
          <w:tcPr>
            <w:tcW w:w="22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1,343,625</w:t>
            </w:r>
          </w:p>
        </w:tc>
        <w:tc>
          <w:tcPr>
            <w:tcW w:w="4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1 - Revenue: Other regions primarily consist of Spain,Ireland and Portugal in 2023. Other regions primarily consist of Singapore in 2022 and 2021.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00" w:type="dxa"/>
            <w:vAlign w:val="bottom"/>
            <w:gridSpan w:val="3"/>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gridSpan w:val="3"/>
            <w:shd w:val="clear" w:color="auto" w:fill="DBDBDB"/>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80" w:type="dxa"/>
            <w:vAlign w:val="bottom"/>
            <w:tcBorders>
              <w:bottom w:val="single" w:sz="8" w:color="DBDBDB"/>
            </w:tcBorders>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80" w:type="dxa"/>
            <w:vAlign w:val="bottom"/>
            <w:shd w:val="clear" w:color="auto" w:fill="DBDBDB"/>
          </w:tcPr>
          <w:p>
            <w:pPr>
              <w:ind w:left="20"/>
              <w:spacing w:after="0" w:line="188" w:lineRule="exact"/>
              <w:rPr>
                <w:sz w:val="20"/>
                <w:szCs w:val="20"/>
                <w:color w:val="auto"/>
              </w:rPr>
            </w:pPr>
            <w:r>
              <w:rPr>
                <w:rFonts w:ascii="Times New Roman" w:cs="Times New Roman" w:eastAsia="Times New Roman" w:hAnsi="Times New Roman"/>
                <w:sz w:val="15"/>
                <w:szCs w:val="15"/>
                <w:b w:val="1"/>
                <w:bCs w:val="1"/>
                <w:color w:val="auto"/>
              </w:rPr>
              <w:t>Non-current assets</w:t>
            </w:r>
            <w:r>
              <w:rPr>
                <w:rFonts w:ascii="Times New Roman" w:cs="Times New Roman" w:eastAsia="Times New Roman" w:hAnsi="Times New Roman"/>
                <w:sz w:val="20"/>
                <w:szCs w:val="20"/>
                <w:b w:val="1"/>
                <w:bCs w:val="1"/>
                <w:color w:val="auto"/>
                <w:vertAlign w:val="superscript"/>
              </w:rPr>
              <w:t>2</w:t>
            </w:r>
          </w:p>
        </w:tc>
        <w:tc>
          <w:tcPr>
            <w:tcW w:w="2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2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Sweden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1,305,295</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1,152,569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China</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549,531</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578,641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Kingdom</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32,342</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Germany</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27,058</w:t>
            </w: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USA</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5,017</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shd w:val="clear" w:color="auto" w:fill="DBDBDB"/>
          </w:tcPr>
          <w:p>
            <w:pPr>
              <w:ind w:left="20"/>
              <w:spacing w:after="0" w:line="197" w:lineRule="exact"/>
              <w:rPr>
                <w:sz w:val="20"/>
                <w:szCs w:val="20"/>
                <w:color w:val="auto"/>
              </w:rPr>
            </w:pPr>
            <w:r>
              <w:rPr>
                <w:rFonts w:ascii="Times New Roman" w:cs="Times New Roman" w:eastAsia="Times New Roman" w:hAnsi="Times New Roman"/>
                <w:sz w:val="15"/>
                <w:szCs w:val="15"/>
                <w:color w:val="auto"/>
              </w:rPr>
              <w:t>Other regions</w:t>
            </w:r>
            <w:r>
              <w:rPr>
                <w:rFonts w:ascii="Times New Roman" w:cs="Times New Roman" w:eastAsia="Times New Roman" w:hAnsi="Times New Roman"/>
                <w:sz w:val="20"/>
                <w:szCs w:val="20"/>
                <w:color w:val="auto"/>
                <w:vertAlign w:val="superscript"/>
              </w:rPr>
              <w:t>3</w:t>
            </w: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45,726</w:t>
            </w:r>
          </w:p>
        </w:tc>
        <w:tc>
          <w:tcPr>
            <w:tcW w:w="2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1,964,969</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1,843,065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2 - Non-current assets: excludes financial assets, deferred tax assets, other non-current assets, and other investments.</w:t>
      </w:r>
    </w:p>
    <w:p>
      <w:pPr>
        <w:spacing w:after="0"/>
        <w:rPr>
          <w:sz w:val="20"/>
          <w:szCs w:val="20"/>
          <w:color w:val="auto"/>
        </w:rPr>
      </w:pPr>
      <w:r>
        <w:rPr>
          <w:rFonts w:ascii="Times New Roman" w:cs="Times New Roman" w:eastAsia="Times New Roman" w:hAnsi="Times New Roman"/>
          <w:sz w:val="10"/>
          <w:szCs w:val="10"/>
          <w:color w:val="auto"/>
        </w:rPr>
        <w:t>3 - Other regions primarily consist of Switzerland, Belgium, Australia and Spain in 2023 and Canada and Netherlands in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Expenses by nature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illustrates the Group's expenses for major functions by nature: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93"/>
        </w:trPr>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5"/>
          </w:tcPr>
          <w:p>
            <w:pPr>
              <w:spacing w:after="0"/>
              <w:rPr>
                <w:sz w:val="8"/>
                <w:szCs w:val="8"/>
                <w:color w:val="auto"/>
              </w:rPr>
            </w:pPr>
          </w:p>
        </w:tc>
      </w:tr>
      <w:tr>
        <w:trPr>
          <w:trHeight w:val="197"/>
        </w:trPr>
        <w:tc>
          <w:tcPr>
            <w:tcW w:w="750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560" w:type="dxa"/>
            <w:vAlign w:val="bottom"/>
            <w:tcBorders>
              <w:bottom w:val="single" w:sz="8" w:color="auto"/>
            </w:tcBorders>
            <w:gridSpan w:val="5"/>
            <w:shd w:val="clear" w:color="auto" w:fill="DBDBDB"/>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6"/>
                <w:szCs w:val="16"/>
                <w:color w:val="auto"/>
              </w:rPr>
            </w:pPr>
          </w:p>
        </w:tc>
        <w:tc>
          <w:tcPr>
            <w:tcW w:w="104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Pr>
          <w:p>
            <w:pPr>
              <w:spacing w:after="0"/>
              <w:rPr>
                <w:sz w:val="16"/>
                <w:szCs w:val="16"/>
                <w:color w:val="auto"/>
              </w:rPr>
            </w:pPr>
          </w:p>
        </w:tc>
        <w:tc>
          <w:tcPr>
            <w:tcW w:w="106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50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Inventory costs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2,183,847</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2,174,192</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1,226,746</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Impairment of property, plant and equipment, vehicles under operating leases, and intangible assets</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339,568</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Advertising, selling, and promotion costs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390,962</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298,347</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316,309</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Professional services and consultant costs</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252,734</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270,656</w:t>
            </w: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219,499</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Employee benefit expense</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235,656</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188,710</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109,881</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Impairment of inventory</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146,550</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14,830</w:t>
            </w: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30,782</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115,445</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140,806</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211,579</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Warranties and costs associated with settling contract liabilities</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91,548</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131,447</w:t>
            </w: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66,583</w:t>
            </w: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Polestar Space investor remuneration costs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53,570</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54,611</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39,438</w:t>
            </w:r>
          </w:p>
        </w:tc>
      </w:tr>
      <w:tr>
        <w:trPr>
          <w:trHeight w:val="197"/>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Maintenance and insurance service costs</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21,844</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15,901</w:t>
            </w: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17,348</w:t>
            </w:r>
          </w:p>
        </w:tc>
      </w:tr>
      <w:tr>
        <w:trPr>
          <w:trHeight w:val="197"/>
        </w:trPr>
        <w:tc>
          <w:tcPr>
            <w:tcW w:w="7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Other costs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47,955</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65,263</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15,380</w:t>
            </w:r>
          </w:p>
        </w:tc>
      </w:tr>
      <w:tr>
        <w:trPr>
          <w:trHeight w:val="188"/>
        </w:trPr>
        <w:tc>
          <w:tcPr>
            <w:tcW w:w="7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cost of sales, selling, general and administrative expense, and research and development expense</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3,879,679</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3,354,763</w:t>
            </w: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2,253,545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Employee benefits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total employee benefits costs for the Group (including key management personnel) during the periods presented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560" w:type="dxa"/>
            <w:vAlign w:val="bottom"/>
            <w:tcBorders>
              <w:bottom w:val="single" w:sz="8" w:color="auto"/>
            </w:tcBorders>
            <w:gridSpan w:val="5"/>
            <w:shd w:val="clear" w:color="auto" w:fill="DBDBDB"/>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6"/>
                <w:szCs w:val="16"/>
                <w:color w:val="auto"/>
              </w:rPr>
            </w:pPr>
          </w:p>
        </w:tc>
        <w:tc>
          <w:tcPr>
            <w:tcW w:w="104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Pr>
          <w:p>
            <w:pPr>
              <w:spacing w:after="0"/>
              <w:rPr>
                <w:sz w:val="16"/>
                <w:szCs w:val="16"/>
                <w:color w:val="auto"/>
              </w:rPr>
            </w:pPr>
          </w:p>
        </w:tc>
        <w:tc>
          <w:tcPr>
            <w:tcW w:w="106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44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Wages, salaries, and other short-term benefits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157,011</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127,242</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83,053</w:t>
            </w:r>
          </w:p>
        </w:tc>
      </w:tr>
      <w:tr>
        <w:trPr>
          <w:trHeight w:val="197"/>
        </w:trPr>
        <w:tc>
          <w:tcPr>
            <w:tcW w:w="74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Social security and other social benefits</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44,255</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30,216</w:t>
            </w: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8,228</w:t>
            </w:r>
          </w:p>
        </w:tc>
      </w:tr>
      <w:tr>
        <w:trPr>
          <w:trHeight w:val="197"/>
        </w:trPr>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Post-employment benefits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29,523</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26,294</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18,600</w:t>
            </w:r>
          </w:p>
        </w:tc>
      </w:tr>
      <w:tr>
        <w:trPr>
          <w:trHeight w:val="197"/>
        </w:trPr>
        <w:tc>
          <w:tcPr>
            <w:tcW w:w="74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4,867</w:t>
            </w: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4,958</w:t>
            </w:r>
          </w:p>
        </w:tc>
        <w:tc>
          <w:tcPr>
            <w:tcW w:w="2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employee benefits</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235,656</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188,710</w:t>
            </w:r>
          </w:p>
        </w:tc>
        <w:tc>
          <w:tcPr>
            <w:tcW w:w="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109,881</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Post-employment benefits primarily reflects those related to defined contribution plans for the years ended December 31, 2023, 2022 and 2021, inclusive of costs related to the ITP 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Expenses related to defined contribution plans amounted to $21,125, $20,664 and $13,916 for the years ended December 31, 2023, 2022 and 2021,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discloses total costs related to employee benefits for the Group’s Executive Management Team (“EMT”) and managing directors at the Group’s sales units:</w:t>
      </w:r>
    </w:p>
    <w:p>
      <w:pPr>
        <w:spacing w:after="0" w:line="120"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7000" w:type="dxa"/>
            <w:vAlign w:val="bottom"/>
            <w:shd w:val="clear" w:color="auto" w:fill="DBDBDB"/>
          </w:tcPr>
          <w:p>
            <w:pPr>
              <w:spacing w:after="0"/>
              <w:rPr>
                <w:sz w:val="17"/>
                <w:szCs w:val="17"/>
                <w:color w:val="auto"/>
              </w:rPr>
            </w:pPr>
          </w:p>
        </w:tc>
        <w:tc>
          <w:tcPr>
            <w:tcW w:w="3540" w:type="dxa"/>
            <w:vAlign w:val="bottom"/>
            <w:tcBorders>
              <w:bottom w:val="single" w:sz="8" w:color="auto"/>
            </w:tcBorders>
            <w:gridSpan w:val="6"/>
            <w:shd w:val="clear" w:color="auto" w:fill="DBDBDB"/>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000" w:type="dxa"/>
            <w:vAlign w:val="bottom"/>
            <w:tcBorders>
              <w:bottom w:val="single" w:sz="8" w:color="DBDBDB"/>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8"/>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Short-term employee benefits</w:t>
            </w:r>
          </w:p>
        </w:tc>
        <w:tc>
          <w:tcPr>
            <w:tcW w:w="760" w:type="dxa"/>
            <w:vAlign w:val="bottom"/>
            <w:shd w:val="clear" w:color="auto" w:fill="DBDBDB"/>
          </w:tcPr>
          <w:p>
            <w:pPr>
              <w:spacing w:after="0"/>
              <w:rPr>
                <w:sz w:val="16"/>
                <w:szCs w:val="16"/>
                <w:color w:val="auto"/>
              </w:rPr>
            </w:pPr>
          </w:p>
        </w:tc>
        <w:tc>
          <w:tcPr>
            <w:tcW w:w="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6,205</w:t>
            </w:r>
          </w:p>
        </w:tc>
        <w:tc>
          <w:tcPr>
            <w:tcW w:w="28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8,486</w:t>
            </w:r>
          </w:p>
        </w:tc>
        <w:tc>
          <w:tcPr>
            <w:tcW w:w="28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5,094</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Post-employment benefits</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long-term benefits</w:t>
            </w:r>
          </w:p>
        </w:tc>
        <w:tc>
          <w:tcPr>
            <w:tcW w:w="76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417</w:t>
            </w:r>
          </w:p>
        </w:tc>
      </w:tr>
      <w:tr>
        <w:trPr>
          <w:trHeight w:val="197"/>
        </w:trPr>
        <w:tc>
          <w:tcPr>
            <w:tcW w:w="7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1,829</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benefits to key management personnel only</w:t>
            </w:r>
          </w:p>
        </w:tc>
        <w:tc>
          <w:tcPr>
            <w:tcW w:w="760" w:type="dxa"/>
            <w:vAlign w:val="bottom"/>
            <w:tcBorders>
              <w:bottom w:val="single" w:sz="8" w:color="auto"/>
            </w:tcBorders>
            <w:shd w:val="clear" w:color="auto" w:fill="DBDBDB"/>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8,941</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11,004</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6,036</w:t>
            </w:r>
          </w:p>
        </w:tc>
      </w:tr>
    </w:tbl>
    <w:p>
      <w:pPr>
        <w:spacing w:after="0" w:line="14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The Group’s EMT has the authority and responsibility for planning, directing, and controlling the Polestar Group’s activities. The CEO has the ultimate authority for approval of actions proposed by each member of the EMT. As of December 31, 2023, the EMT consisted of the following individuals:</w:t>
      </w:r>
    </w:p>
    <w:p>
      <w:pPr>
        <w:spacing w:after="0" w:line="52" w:lineRule="exact"/>
        <w:rPr>
          <w:sz w:val="20"/>
          <w:szCs w:val="20"/>
          <w:color w:val="auto"/>
        </w:rPr>
      </w:pPr>
    </w:p>
    <w:p>
      <w:pPr>
        <w:ind w:left="840" w:hanging="281"/>
        <w:spacing w:after="0"/>
        <w:tabs>
          <w:tab w:leader="none" w:pos="8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Thomas Ingenlath (CEO); and</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Johan Malmqvist (Chief Financial Officer, “CFO”).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31, 2023, Dennis Nobelius resigned as Chief Operating Officer (“COO”).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2022 and 2021, the EMT consisted of the following individuals:</w:t>
      </w:r>
    </w:p>
    <w:p>
      <w:pPr>
        <w:spacing w:after="0" w:line="71" w:lineRule="exact"/>
        <w:rPr>
          <w:sz w:val="20"/>
          <w:szCs w:val="20"/>
          <w:color w:val="auto"/>
        </w:rPr>
      </w:pPr>
    </w:p>
    <w:p>
      <w:pPr>
        <w:ind w:left="840" w:hanging="281"/>
        <w:spacing w:after="0"/>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Thomas Ingenlath (CEO);</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Johan Malmqvist (CFO);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840" w:hanging="281"/>
        <w:spacing w:after="0"/>
        <w:tabs>
          <w:tab w:leader="none" w:pos="8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Dennis Nobelius (COO).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average monthly number of persons employed by the Group (including key management personnel) for the periods presented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shd w:val="clear" w:color="auto" w:fill="DBDBDB"/>
          </w:tcPr>
          <w:p>
            <w:pPr>
              <w:spacing w:after="0"/>
              <w:rPr>
                <w:sz w:val="17"/>
                <w:szCs w:val="17"/>
                <w:color w:val="auto"/>
              </w:rPr>
            </w:pPr>
          </w:p>
        </w:tc>
        <w:tc>
          <w:tcPr>
            <w:tcW w:w="376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440" w:type="dxa"/>
            <w:vAlign w:val="bottom"/>
          </w:tcPr>
          <w:p>
            <w:pPr>
              <w:spacing w:after="0"/>
              <w:rPr>
                <w:sz w:val="16"/>
                <w:szCs w:val="16"/>
                <w:color w:val="auto"/>
              </w:rPr>
            </w:pPr>
          </w:p>
        </w:tc>
        <w:tc>
          <w:tcPr>
            <w:tcW w:w="13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60" w:type="dxa"/>
            <w:vAlign w:val="bottom"/>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14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440" w:type="dxa"/>
            <w:vAlign w:val="bottom"/>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260" w:type="dxa"/>
            <w:vAlign w:val="bottom"/>
            <w:tcBorders>
              <w:bottom w:val="single" w:sz="8" w:color="auto"/>
            </w:tcBorders>
            <w:shd w:val="clear" w:color="auto" w:fill="DBDBDB"/>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14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13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796</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705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w:t>
            </w:r>
          </w:p>
        </w:tc>
      </w:tr>
      <w:tr>
        <w:trPr>
          <w:trHeight w:val="197"/>
        </w:trPr>
        <w:tc>
          <w:tcPr>
            <w:tcW w:w="74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R&amp;D, design, and digital</w:t>
            </w:r>
          </w:p>
        </w:tc>
        <w:tc>
          <w:tcPr>
            <w:tcW w:w="136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756</w:t>
            </w: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639</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334</w:t>
            </w:r>
          </w:p>
        </w:tc>
      </w:tr>
      <w:tr>
        <w:trPr>
          <w:trHeight w:val="197"/>
        </w:trPr>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Manufacturing</w:t>
            </w:r>
          </w:p>
        </w:tc>
        <w:tc>
          <w:tcPr>
            <w:tcW w:w="13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19</w:t>
            </w: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97"/>
        </w:trPr>
        <w:tc>
          <w:tcPr>
            <w:tcW w:w="74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Management, administration, and others</w:t>
            </w:r>
          </w:p>
        </w:tc>
        <w:tc>
          <w:tcPr>
            <w:tcW w:w="13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651</w:t>
            </w:r>
          </w:p>
        </w:tc>
        <w:tc>
          <w:tcPr>
            <w:tcW w:w="1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534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282</w:t>
            </w:r>
          </w:p>
        </w:tc>
      </w:tr>
      <w:tr>
        <w:trPr>
          <w:trHeight w:val="188"/>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average monthly headcount of the Group</w:t>
            </w:r>
          </w:p>
        </w:tc>
        <w:tc>
          <w:tcPr>
            <w:tcW w:w="13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2,222</w:t>
            </w: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1,890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 Share-based payment</w:t>
      </w:r>
    </w:p>
    <w:p>
      <w:pPr>
        <w:spacing w:after="0" w:line="82"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5"/>
          <w:szCs w:val="15"/>
          <w:color w:val="auto"/>
        </w:rPr>
        <w:t xml:space="preserve">As noted in </w:t>
      </w:r>
      <w:r>
        <w:rPr>
          <w:rFonts w:ascii="Times New Roman" w:cs="Times New Roman" w:eastAsia="Times New Roman" w:hAnsi="Times New Roman"/>
          <w:sz w:val="15"/>
          <w:szCs w:val="15"/>
          <w:i w:val="1"/>
          <w:iCs w:val="1"/>
          <w:color w:val="auto"/>
        </w:rPr>
        <w:t>Note 1 - Overview and basis of preparation</w:t>
      </w:r>
      <w:r>
        <w:rPr>
          <w:rFonts w:ascii="Times New Roman" w:cs="Times New Roman" w:eastAsia="Times New Roman" w:hAnsi="Times New Roman"/>
          <w:sz w:val="15"/>
          <w:szCs w:val="15"/>
          <w:color w:val="auto"/>
        </w:rPr>
        <w:t>, Polestar granted shares to employees under the Omnibus Plan as part of the Group’s employee compensation. Under the Omnibus Plan, there are three kinds of programs: At-listing Plan, Post-listing Plan, and the Free Share Plan, all of which are equity-settled. The following table illustrates share activity for the year ended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DBDBDB"/>
          </w:tcPr>
          <w:p>
            <w:pPr>
              <w:spacing w:after="0"/>
              <w:rPr>
                <w:sz w:val="15"/>
                <w:szCs w:val="15"/>
                <w:color w:val="auto"/>
              </w:rPr>
            </w:pPr>
          </w:p>
        </w:tc>
        <w:tc>
          <w:tcPr>
            <w:tcW w:w="61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Number of PSUs</w:t>
            </w:r>
          </w:p>
        </w:tc>
        <w:tc>
          <w:tcPr>
            <w:tcW w:w="1300" w:type="dxa"/>
            <w:vAlign w:val="bottom"/>
            <w:vMerge w:val="restart"/>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Number of RSUs</w:t>
            </w:r>
          </w:p>
        </w:tc>
        <w:tc>
          <w:tcPr>
            <w:tcW w:w="1240" w:type="dxa"/>
            <w:vAlign w:val="bottom"/>
            <w:tcBorders>
              <w:right w:val="single" w:sz="8" w:color="DBDBDB"/>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Number of Free</w:t>
            </w:r>
          </w:p>
        </w:tc>
        <w:tc>
          <w:tcPr>
            <w:tcW w:w="1200" w:type="dxa"/>
            <w:vAlign w:val="bottom"/>
            <w:vMerge w:val="restart"/>
            <w:shd w:val="clear" w:color="auto" w:fill="DBDBDB"/>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BDBDB"/>
          </w:tcPr>
          <w:p>
            <w:pPr>
              <w:spacing w:after="0"/>
              <w:rPr>
                <w:sz w:val="18"/>
                <w:szCs w:val="18"/>
                <w:color w:val="auto"/>
              </w:rPr>
            </w:pPr>
          </w:p>
        </w:tc>
        <w:tc>
          <w:tcPr>
            <w:tcW w:w="6180" w:type="dxa"/>
            <w:vAlign w:val="bottom"/>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vMerge w:val="continue"/>
            <w:shd w:val="clear" w:color="auto" w:fill="DBDBDB"/>
          </w:tcPr>
          <w:p>
            <w:pPr>
              <w:spacing w:after="0"/>
              <w:rPr>
                <w:sz w:val="18"/>
                <w:szCs w:val="18"/>
                <w:color w:val="auto"/>
              </w:rPr>
            </w:pPr>
          </w:p>
        </w:tc>
        <w:tc>
          <w:tcPr>
            <w:tcW w:w="1300" w:type="dxa"/>
            <w:vAlign w:val="bottom"/>
            <w:tcBorders>
              <w:bottom w:val="single" w:sz="8" w:color="auto"/>
            </w:tcBorders>
            <w:vMerge w:val="continue"/>
            <w:shd w:val="clear" w:color="auto" w:fill="DBDBDB"/>
          </w:tcPr>
          <w:p>
            <w:pPr>
              <w:spacing w:after="0"/>
              <w:rPr>
                <w:sz w:val="18"/>
                <w:szCs w:val="18"/>
                <w:color w:val="auto"/>
              </w:rPr>
            </w:pPr>
          </w:p>
        </w:tc>
        <w:tc>
          <w:tcPr>
            <w:tcW w:w="1240" w:type="dxa"/>
            <w:vAlign w:val="bottom"/>
            <w:tcBorders>
              <w:bottom w:val="single" w:sz="8" w:color="auto"/>
              <w:right w:val="single" w:sz="8" w:color="DBDBDB"/>
            </w:tcBorders>
            <w:shd w:val="clear" w:color="auto" w:fill="DBDBDB"/>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0" w:type="dxa"/>
            <w:vAlign w:val="bottom"/>
            <w:tcBorders>
              <w:bottom w:val="single" w:sz="8" w:color="auto"/>
            </w:tcBorders>
            <w:vMerge w:val="continue"/>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as of January 1, 2023</w:t>
            </w: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858,821</w:t>
            </w:r>
          </w:p>
        </w:tc>
        <w:tc>
          <w:tcPr>
            <w:tcW w:w="1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458,620</w:t>
            </w:r>
          </w:p>
        </w:tc>
        <w:tc>
          <w:tcPr>
            <w:tcW w:w="124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4,222</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1,321,663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Granted</w:t>
            </w:r>
          </w:p>
        </w:tc>
        <w:tc>
          <w:tcPr>
            <w:tcW w:w="1260" w:type="dxa"/>
            <w:vAlign w:val="bottom"/>
            <w:gridSpan w:val="2"/>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1,378,621</w:t>
            </w:r>
          </w:p>
        </w:tc>
        <w:tc>
          <w:tcPr>
            <w:tcW w:w="130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530,424</w:t>
            </w:r>
          </w:p>
        </w:tc>
        <w:tc>
          <w:tcPr>
            <w:tcW w:w="124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1,909,045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Vested</w:t>
            </w:r>
          </w:p>
        </w:tc>
        <w:tc>
          <w:tcPr>
            <w:tcW w:w="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(169,853)</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(4,222)</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(174,075)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Cancelled</w:t>
            </w:r>
          </w:p>
        </w:tc>
        <w:tc>
          <w:tcPr>
            <w:tcW w:w="12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(266,366)</w:t>
            </w: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(57,120)</w:t>
            </w:r>
          </w:p>
        </w:tc>
        <w:tc>
          <w:tcPr>
            <w:tcW w:w="124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(323,486)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2023</w:t>
            </w:r>
          </w:p>
        </w:tc>
        <w:tc>
          <w:tcPr>
            <w:tcW w:w="12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1,971,076</w:t>
            </w:r>
          </w:p>
        </w:tc>
        <w:tc>
          <w:tcPr>
            <w:tcW w:w="1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762,071</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2,733,147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illustrates share activity for the year ended December 31, 2022:</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18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2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 PSUs</w:t>
            </w:r>
          </w:p>
        </w:tc>
        <w:tc>
          <w:tcPr>
            <w:tcW w:w="1300" w:type="dxa"/>
            <w:vAlign w:val="bottom"/>
            <w:vMerge w:val="restart"/>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Number of RSUs</w:t>
            </w:r>
          </w:p>
        </w:tc>
        <w:tc>
          <w:tcPr>
            <w:tcW w:w="1240" w:type="dxa"/>
            <w:vAlign w:val="bottom"/>
            <w:tcBorders>
              <w:right w:val="single" w:sz="8" w:color="DBDBDB"/>
            </w:tcBorders>
            <w:shd w:val="clear" w:color="auto" w:fill="DBDBDB"/>
          </w:tcPr>
          <w:p>
            <w:pPr>
              <w:jc w:val="right"/>
              <w:ind w:right="43"/>
              <w:spacing w:after="0" w:line="151" w:lineRule="exact"/>
              <w:rPr>
                <w:sz w:val="20"/>
                <w:szCs w:val="20"/>
                <w:color w:val="auto"/>
              </w:rPr>
            </w:pPr>
            <w:r>
              <w:rPr>
                <w:rFonts w:ascii="Times New Roman" w:cs="Times New Roman" w:eastAsia="Times New Roman" w:hAnsi="Times New Roman"/>
                <w:sz w:val="15"/>
                <w:szCs w:val="15"/>
                <w:b w:val="1"/>
                <w:bCs w:val="1"/>
                <w:color w:val="auto"/>
              </w:rPr>
              <w:t>Number of Free</w:t>
            </w:r>
          </w:p>
        </w:tc>
        <w:tc>
          <w:tcPr>
            <w:tcW w:w="1240" w:type="dxa"/>
            <w:vAlign w:val="bottom"/>
            <w:gridSpan w:val="2"/>
            <w:vMerge w:val="restart"/>
            <w:shd w:val="clear" w:color="auto" w:fill="DBDBDB"/>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220" w:type="dxa"/>
            <w:vAlign w:val="bottom"/>
            <w:tcBorders>
              <w:bottom w:val="single" w:sz="8" w:color="auto"/>
            </w:tcBorders>
            <w:vMerge w:val="continue"/>
            <w:shd w:val="clear" w:color="auto" w:fill="DBDBDB"/>
          </w:tcPr>
          <w:p>
            <w:pPr>
              <w:spacing w:after="0"/>
              <w:rPr>
                <w:sz w:val="18"/>
                <w:szCs w:val="18"/>
                <w:color w:val="auto"/>
              </w:rPr>
            </w:pPr>
          </w:p>
        </w:tc>
        <w:tc>
          <w:tcPr>
            <w:tcW w:w="1300" w:type="dxa"/>
            <w:vAlign w:val="bottom"/>
            <w:tcBorders>
              <w:bottom w:val="single" w:sz="8" w:color="auto"/>
            </w:tcBorders>
            <w:vMerge w:val="continue"/>
            <w:shd w:val="clear" w:color="auto" w:fill="DBDBDB"/>
          </w:tcPr>
          <w:p>
            <w:pPr>
              <w:spacing w:after="0"/>
              <w:rPr>
                <w:sz w:val="18"/>
                <w:szCs w:val="18"/>
                <w:color w:val="auto"/>
              </w:rPr>
            </w:pPr>
          </w:p>
        </w:tc>
        <w:tc>
          <w:tcPr>
            <w:tcW w:w="1240" w:type="dxa"/>
            <w:vAlign w:val="bottom"/>
            <w:tcBorders>
              <w:bottom w:val="single" w:sz="8" w:color="auto"/>
              <w:right w:val="single" w:sz="8" w:color="DBDBDB"/>
            </w:tcBorders>
            <w:shd w:val="clear" w:color="auto" w:fill="DBDBDB"/>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40" w:type="dxa"/>
            <w:vAlign w:val="bottom"/>
            <w:tcBorders>
              <w:bottom w:val="single" w:sz="8" w:color="auto"/>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Outstanding as of January 1, 2022</w:t>
            </w:r>
          </w:p>
        </w:tc>
        <w:tc>
          <w:tcPr>
            <w:tcW w:w="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2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858,821</w:t>
            </w:r>
          </w:p>
        </w:tc>
        <w:tc>
          <w:tcPr>
            <w:tcW w:w="13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629,303</w:t>
            </w:r>
          </w:p>
        </w:tc>
        <w:tc>
          <w:tcPr>
            <w:tcW w:w="12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334,990</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1,823,114</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(170,683)</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(330,768)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(501,451)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Cancelled</w:t>
            </w:r>
          </w:p>
        </w:tc>
        <w:tc>
          <w:tcPr>
            <w:tcW w:w="40" w:type="dxa"/>
            <w:vAlign w:val="bottom"/>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December 31, 2022</w:t>
            </w:r>
          </w:p>
        </w:tc>
        <w:tc>
          <w:tcPr>
            <w:tcW w:w="4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858,821</w:t>
            </w:r>
          </w:p>
        </w:tc>
        <w:tc>
          <w:tcPr>
            <w:tcW w:w="1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458,620</w:t>
            </w:r>
          </w:p>
        </w:tc>
        <w:tc>
          <w:tcPr>
            <w:tcW w:w="12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4,222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1,321,663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illustrates total share-based compensation expense, all of which was equity settled, for the years ended December 31, 2023, 2022 and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spacing w:after="0"/>
              <w:rPr>
                <w:sz w:val="17"/>
                <w:szCs w:val="17"/>
                <w:color w:val="auto"/>
              </w:rPr>
            </w:pPr>
          </w:p>
        </w:tc>
        <w:tc>
          <w:tcPr>
            <w:tcW w:w="2180" w:type="dxa"/>
            <w:vAlign w:val="bottom"/>
            <w:tcBorders>
              <w:bottom w:val="single" w:sz="8" w:color="auto"/>
            </w:tcBorders>
            <w:gridSpan w:val="4"/>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188"/>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78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5,131</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7,128</w:t>
            </w:r>
          </w:p>
        </w:tc>
        <w:tc>
          <w:tcPr>
            <w:tcW w:w="480" w:type="dxa"/>
            <w:vAlign w:val="bottom"/>
            <w:shd w:val="clear" w:color="auto" w:fill="DBDBDB"/>
          </w:tcPr>
          <w:p>
            <w:pPr>
              <w:spacing w:after="0"/>
              <w:rPr>
                <w:sz w:val="16"/>
                <w:szCs w:val="16"/>
                <w:color w:val="auto"/>
              </w:rPr>
            </w:pPr>
          </w:p>
        </w:tc>
        <w:tc>
          <w:tcPr>
            <w:tcW w:w="78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2,781</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80" w:type="dxa"/>
            <w:vAlign w:val="bottom"/>
            <w:tcBorders>
              <w:bottom w:val="single" w:sz="8" w:color="auto"/>
            </w:tcBorders>
            <w:shd w:val="clear" w:color="auto" w:fill="DBDBDB"/>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5,393</w:t>
            </w:r>
          </w:p>
        </w:tc>
        <w:tc>
          <w:tcPr>
            <w:tcW w:w="30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9,909</w:t>
            </w:r>
          </w:p>
        </w:tc>
        <w:tc>
          <w:tcPr>
            <w:tcW w:w="48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DBDBDB"/>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At-listing plan</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All executives and other key management members are eligible to receive RSUs under this plan. RSUs were granted on September 9, 2022 with the vesting commencement date of June 24, 2022; 33% of the RSUs vested on October 3, 2022 and 33% of the RSUs vested on June 24, 2023. The remaining RSUs will vest in one installment, with the final 34% of awards vesting on June 24, 2024. In order for the RSUs to vest, the employee must remain employed with Polestar at the vesting date. The total number of RSUs granted in 2022 was</w:t>
      </w:r>
    </w:p>
    <w:p>
      <w:pPr>
        <w:jc w:val="both"/>
        <w:spacing w:after="0" w:line="224" w:lineRule="auto"/>
        <w:rPr>
          <w:sz w:val="20"/>
          <w:szCs w:val="20"/>
          <w:color w:val="auto"/>
        </w:rPr>
      </w:pPr>
      <w:r>
        <w:rPr>
          <w:rFonts w:ascii="Times New Roman" w:cs="Times New Roman" w:eastAsia="Times New Roman" w:hAnsi="Times New Roman"/>
          <w:sz w:val="15"/>
          <w:szCs w:val="15"/>
          <w:color w:val="auto"/>
        </w:rPr>
        <w:t>517,220, with a fair value of $3,476 as of the grant date. During 2023 the total numbers of awards vested was 169,853 with a fair value of $1,141. During 2022 the total number of awards vested was 170,683 with a fair value of $1,147. The total number of awards cancelled due to employees who left the company in 2023 amounted to 23,780 with a fair value of $160. During 2022 there were no changes to the number of awards granted during the period due to leavers or any vesting/non-vesting conditions.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Post-listing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Under this plan, the EMT (i.e., CEO, CFO, and COO), are eligible to receive PSUs and other key management members are eligible to receive RSUs and PSUs. Awards were granted on April 3, 2023 and are equity-settled with a three-year cliff vesting period, where the vesting commencement date was January 1, 2023 and final vesting date is April 3, 2026. Awards were also granted on September 9, 2022 with a three-year cliff vesting period, where the vesting start date is October 3, 2022 with a final vesting date of June 24, 2025. For the shares granted on September 9, 2022 the vesting commencement date was June 24, 2022.</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In order for the participants to receive the awards, they must remain employees at Polestar throughout the three-year vesting period, and achieve certain market and non-market performance-based targets in order to receive the PSUs: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Market condition</w:t>
      </w:r>
    </w:p>
    <w:p>
      <w:pPr>
        <w:spacing w:after="0" w:line="86" w:lineRule="exact"/>
        <w:rPr>
          <w:sz w:val="20"/>
          <w:szCs w:val="20"/>
          <w:color w:val="auto"/>
        </w:rPr>
      </w:pPr>
    </w:p>
    <w:p>
      <w:pPr>
        <w:jc w:val="both"/>
        <w:ind w:left="840" w:hanging="281"/>
        <w:spacing w:after="0"/>
        <w:tabs>
          <w:tab w:leader="none" w:pos="83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Non-market conditions</w:t>
      </w:r>
    </w:p>
    <w:p>
      <w:pPr>
        <w:spacing w:after="0" w:line="75" w:lineRule="exact"/>
        <w:rPr>
          <w:sz w:val="20"/>
          <w:szCs w:val="20"/>
          <w:color w:val="auto"/>
        </w:rPr>
      </w:pPr>
    </w:p>
    <w:p>
      <w:pPr>
        <w:ind w:left="840" w:right="20" w:hanging="281"/>
        <w:spacing w:after="0" w:line="246" w:lineRule="auto"/>
        <w:tabs>
          <w:tab w:leader="none" w:pos="83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 Cash flow – The target is equal to unleveraged free cash flow accumulated from 2022 – forecasted 2024 for the awards granted during 2022 and from 2023 – forecasted 2025 for the awards granted during 2023.</w:t>
      </w:r>
    </w:p>
    <w:p>
      <w:pPr>
        <w:spacing w:after="0" w:line="51" w:lineRule="exact"/>
        <w:rPr>
          <w:rFonts w:ascii="Times New Roman" w:cs="Times New Roman" w:eastAsia="Times New Roman" w:hAnsi="Times New Roman"/>
          <w:sz w:val="15"/>
          <w:szCs w:val="15"/>
          <w:color w:val="auto"/>
        </w:rPr>
      </w:pPr>
    </w:p>
    <w:p>
      <w:pPr>
        <w:jc w:val="both"/>
        <w:ind w:left="840" w:hanging="281"/>
        <w:spacing w:after="0" w:line="232" w:lineRule="auto"/>
        <w:tabs>
          <w:tab w:leader="none" w:pos="83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Environmental, Social, Governance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w:t>
      </w:r>
    </w:p>
    <w:p>
      <w:pPr>
        <w:spacing w:after="0" w:line="55"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 Operational milestones – The target is the fulfillment of operational milestones driving growth and stand-alone capabilities.</w:t>
      </w:r>
    </w:p>
    <w:p>
      <w:pPr>
        <w:spacing w:after="0" w:line="7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During 2023, under the Post-listing plan, the Group granted 1,909,045 awards, of which 1,378,621 are PSUs, with a fair value of $5,073 as of grant date. The total number of RSUs granted was 530,424, with a fair value of $2,010 as of the grant date. Changes to numbers of awards granted during 2023 due to leavers amounted to 299,706, where the total number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of PSUs was 266,366 with a fair value of $980 and RSUs was 33,340 with a fair value of $126. There were no changes to numbers of awards granted during the period due to any vesting/non-vesting conditions. During 2022, the total number of RSUs granted was 112,083, with a fair value of $753 as of the grant date. The total number of PSUs granted in 2022 was 858,821, with a fair value of $6,031 as of the grant date. During 2022, there were no changes to the number of shares granted during the period due to leavers or any vesting/non-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vesting conditions.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Free share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permanent employees hired no later than December 31, 2021 who remained employed were granted free shares on September 30, 2022. The awards vested on October 3, 2022</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and are subject to a one-year holding period. During 2022, the total number of Free Shares granted and vested was 334,990 and 330,768, respectively, with vested shares fair value of $1,715 as of the grant date. During 2023 the remaining free shares were vested with a fair value of $22. The fair value of the Free shares was determined using the market value of the shares listed on the Nasdaq. Under the Free Share plan, Polestar must withhold the tax obligation related to the share-based payment and transfer that amount in cash to the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authority on the employee's behalf. Polestar does not withhold shares in order to settle the employee's tax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Marketing consulting services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March 24, 2022, Polestar granted an equity-settled share-based payment in exchange for marketing services through November 1, 2023. Per the terms of the agreement, 250,000</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Class A Shares vested on August 31, 2022, the date the F-1 Registration Statement became effective. The remaining 250,000 Class A Shares vest over eight equal quarterly installments with the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2023, the final 125,000 Class A shares were vested and the Group incurred a share-based compensation expense of $359.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Other operating income and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Group’s Other operating income and expense: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4120" w:type="dxa"/>
            <w:vAlign w:val="bottom"/>
            <w:shd w:val="clear" w:color="auto" w:fill="DBDBDB"/>
          </w:tcPr>
          <w:p>
            <w:pPr>
              <w:spacing w:after="0"/>
              <w:rPr>
                <w:sz w:val="17"/>
                <w:szCs w:val="17"/>
                <w:color w:val="auto"/>
              </w:rPr>
            </w:pPr>
          </w:p>
        </w:tc>
        <w:tc>
          <w:tcPr>
            <w:tcW w:w="29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380" w:type="dxa"/>
            <w:vAlign w:val="bottom"/>
            <w:gridSpan w:val="5"/>
            <w:shd w:val="clear" w:color="auto" w:fill="DBDBDB"/>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Pr>
          <w:p>
            <w:pPr>
              <w:spacing w:after="0"/>
              <w:rPr>
                <w:sz w:val="17"/>
                <w:szCs w:val="17"/>
                <w:color w:val="auto"/>
              </w:rPr>
            </w:pPr>
          </w:p>
        </w:tc>
        <w:tc>
          <w:tcPr>
            <w:tcW w:w="92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3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4120" w:type="dxa"/>
            <w:vAlign w:val="bottom"/>
            <w:shd w:val="clear" w:color="auto" w:fill="DBDBDB"/>
          </w:tcPr>
          <w:p>
            <w:pPr>
              <w:spacing w:after="0"/>
              <w:rPr>
                <w:sz w:val="17"/>
                <w:szCs w:val="17"/>
                <w:color w:val="auto"/>
              </w:rPr>
            </w:pPr>
          </w:p>
        </w:tc>
        <w:tc>
          <w:tcPr>
            <w:tcW w:w="292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30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340" w:type="dxa"/>
            <w:vAlign w:val="bottom"/>
          </w:tcPr>
          <w:p>
            <w:pPr>
              <w:spacing w:after="0"/>
              <w:rPr>
                <w:sz w:val="17"/>
                <w:szCs w:val="17"/>
                <w:color w:val="auto"/>
              </w:rPr>
            </w:pPr>
          </w:p>
        </w:tc>
      </w:tr>
      <w:tr>
        <w:trPr>
          <w:trHeight w:val="177"/>
        </w:trPr>
        <w:tc>
          <w:tcPr>
            <w:tcW w:w="3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operating income</w:t>
            </w: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7"/>
        </w:trPr>
        <w:tc>
          <w:tcPr>
            <w:tcW w:w="340" w:type="dxa"/>
            <w:vAlign w:val="bottom"/>
          </w:tcPr>
          <w:p>
            <w:pPr>
              <w:spacing w:after="0"/>
              <w:rPr>
                <w:sz w:val="17"/>
                <w:szCs w:val="17"/>
                <w:color w:val="auto"/>
              </w:rPr>
            </w:pPr>
          </w:p>
        </w:tc>
        <w:tc>
          <w:tcPr>
            <w:tcW w:w="41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foreign exchange rate difference</w:t>
            </w:r>
          </w:p>
        </w:tc>
        <w:tc>
          <w:tcPr>
            <w:tcW w:w="29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37,466</w:t>
            </w: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Sales of plant operation services to a related party</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25,202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41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Gain on asset grouping sold to a related party</w:t>
            </w:r>
          </w:p>
        </w:tc>
        <w:tc>
          <w:tcPr>
            <w:tcW w:w="29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16,334</w:t>
            </w: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Sales of carbon credits to a related party</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5,628</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41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operating income</w:t>
            </w:r>
          </w:p>
        </w:tc>
        <w:tc>
          <w:tcPr>
            <w:tcW w:w="292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15,773</w:t>
            </w:r>
          </w:p>
        </w:tc>
        <w:tc>
          <w:tcPr>
            <w:tcW w:w="30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4,723</w:t>
            </w:r>
          </w:p>
        </w:tc>
        <w:tc>
          <w:tcPr>
            <w:tcW w:w="28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340" w:type="dxa"/>
            <w:vAlign w:val="bottom"/>
          </w:tcPr>
          <w:p>
            <w:pPr>
              <w:spacing w:after="0"/>
              <w:rPr>
                <w:sz w:val="17"/>
                <w:szCs w:val="17"/>
                <w:color w:val="auto"/>
              </w:rPr>
            </w:pPr>
          </w:p>
        </w:tc>
      </w:tr>
      <w:tr>
        <w:trPr>
          <w:trHeight w:val="243"/>
        </w:trPr>
        <w:tc>
          <w:tcPr>
            <w:tcW w:w="340" w:type="dxa"/>
            <w:vAlign w:val="bottom"/>
          </w:tcPr>
          <w:p>
            <w:pPr>
              <w:spacing w:after="0"/>
              <w:rPr>
                <w:sz w:val="20"/>
                <w:szCs w:val="20"/>
                <w:color w:val="auto"/>
              </w:rPr>
            </w:pPr>
          </w:p>
        </w:tc>
        <w:tc>
          <w:tcPr>
            <w:tcW w:w="41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9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100,403</w:t>
            </w:r>
          </w:p>
        </w:tc>
        <w:tc>
          <w:tcPr>
            <w:tcW w:w="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4,723</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1,520</w:t>
            </w:r>
          </w:p>
        </w:tc>
        <w:tc>
          <w:tcPr>
            <w:tcW w:w="340" w:type="dxa"/>
            <w:vAlign w:val="bottom"/>
          </w:tcPr>
          <w:p>
            <w:pPr>
              <w:spacing w:after="0"/>
              <w:rPr>
                <w:sz w:val="20"/>
                <w:szCs w:val="20"/>
                <w:color w:val="auto"/>
              </w:rPr>
            </w:pPr>
          </w:p>
        </w:tc>
      </w:tr>
      <w:tr>
        <w:trPr>
          <w:trHeight w:val="648"/>
        </w:trPr>
        <w:tc>
          <w:tcPr>
            <w:tcW w:w="340" w:type="dxa"/>
            <w:vAlign w:val="bottom"/>
          </w:tcPr>
          <w:p>
            <w:pPr>
              <w:spacing w:after="0"/>
              <w:rPr>
                <w:sz w:val="24"/>
                <w:szCs w:val="24"/>
                <w:color w:val="auto"/>
              </w:rPr>
            </w:pPr>
          </w:p>
        </w:tc>
        <w:tc>
          <w:tcPr>
            <w:tcW w:w="4120" w:type="dxa"/>
            <w:vAlign w:val="bottom"/>
            <w:tcBorders>
              <w:top w:val="single" w:sz="8" w:color="DBDBDB"/>
            </w:tcBorders>
          </w:tcPr>
          <w:p>
            <w:pPr>
              <w:spacing w:after="0"/>
              <w:rPr>
                <w:sz w:val="24"/>
                <w:szCs w:val="24"/>
                <w:color w:val="auto"/>
              </w:rPr>
            </w:pPr>
          </w:p>
        </w:tc>
        <w:tc>
          <w:tcPr>
            <w:tcW w:w="3080" w:type="dxa"/>
            <w:vAlign w:val="bottom"/>
            <w:tcBorders>
              <w:top w:val="single" w:sz="8" w:color="DBDBDB"/>
            </w:tcBorders>
            <w:gridSpan w:val="2"/>
          </w:tcPr>
          <w:p>
            <w:pPr>
              <w:jc w:val="right"/>
              <w:ind w:right="1703"/>
              <w:spacing w:after="0"/>
              <w:rPr>
                <w:sz w:val="20"/>
                <w:szCs w:val="20"/>
                <w:color w:val="auto"/>
              </w:rPr>
            </w:pPr>
            <w:r>
              <w:rPr>
                <w:rFonts w:ascii="Times New Roman" w:cs="Times New Roman" w:eastAsia="Times New Roman" w:hAnsi="Times New Roman"/>
                <w:sz w:val="15"/>
                <w:szCs w:val="15"/>
                <w:color w:val="auto"/>
              </w:rPr>
              <w:t>F-36</w:t>
            </w:r>
          </w:p>
        </w:tc>
        <w:tc>
          <w:tcPr>
            <w:tcW w:w="980" w:type="dxa"/>
            <w:vAlign w:val="bottom"/>
            <w:tcBorders>
              <w:top w:val="single" w:sz="8" w:color="DBDBDB"/>
            </w:tcBorders>
          </w:tcPr>
          <w:p>
            <w:pPr>
              <w:spacing w:after="0"/>
              <w:rPr>
                <w:sz w:val="24"/>
                <w:szCs w:val="24"/>
                <w:color w:val="auto"/>
              </w:rPr>
            </w:pPr>
          </w:p>
        </w:tc>
        <w:tc>
          <w:tcPr>
            <w:tcW w:w="300" w:type="dxa"/>
            <w:vAlign w:val="bottom"/>
            <w:tcBorders>
              <w:top w:val="single" w:sz="8" w:color="DBDBDB"/>
            </w:tcBorders>
          </w:tcPr>
          <w:p>
            <w:pPr>
              <w:spacing w:after="0"/>
              <w:rPr>
                <w:sz w:val="24"/>
                <w:szCs w:val="24"/>
                <w:color w:val="auto"/>
              </w:rPr>
            </w:pPr>
          </w:p>
        </w:tc>
        <w:tc>
          <w:tcPr>
            <w:tcW w:w="900" w:type="dxa"/>
            <w:vAlign w:val="bottom"/>
            <w:tcBorders>
              <w:top w:val="single" w:sz="8" w:color="DBDBDB"/>
            </w:tcBorders>
          </w:tcPr>
          <w:p>
            <w:pPr>
              <w:spacing w:after="0"/>
              <w:rPr>
                <w:sz w:val="24"/>
                <w:szCs w:val="24"/>
                <w:color w:val="auto"/>
              </w:rPr>
            </w:pPr>
          </w:p>
        </w:tc>
        <w:tc>
          <w:tcPr>
            <w:tcW w:w="280" w:type="dxa"/>
            <w:vAlign w:val="bottom"/>
            <w:tcBorders>
              <w:top w:val="single" w:sz="8" w:color="DBDBDB"/>
            </w:tcBorders>
          </w:tcPr>
          <w:p>
            <w:pPr>
              <w:spacing w:after="0"/>
              <w:rPr>
                <w:sz w:val="24"/>
                <w:szCs w:val="24"/>
                <w:color w:val="auto"/>
              </w:rPr>
            </w:pPr>
          </w:p>
        </w:tc>
        <w:tc>
          <w:tcPr>
            <w:tcW w:w="920" w:type="dxa"/>
            <w:vAlign w:val="bottom"/>
            <w:tcBorders>
              <w:top w:val="single" w:sz="8" w:color="DBDBDB"/>
            </w:tcBorders>
          </w:tcPr>
          <w:p>
            <w:pPr>
              <w:spacing w:after="0"/>
              <w:rPr>
                <w:sz w:val="24"/>
                <w:szCs w:val="24"/>
                <w:color w:val="auto"/>
              </w:rPr>
            </w:pPr>
          </w:p>
        </w:tc>
        <w:tc>
          <w:tcPr>
            <w:tcW w:w="340" w:type="dxa"/>
            <w:vAlign w:val="bottom"/>
          </w:tcPr>
          <w:p>
            <w:pPr>
              <w:spacing w:after="0"/>
              <w:rPr>
                <w:sz w:val="24"/>
                <w:szCs w:val="24"/>
                <w:color w:val="auto"/>
              </w:rPr>
            </w:pPr>
          </w:p>
        </w:tc>
      </w:tr>
      <w:tr>
        <w:trPr>
          <w:trHeight w:val="73"/>
        </w:trPr>
        <w:tc>
          <w:tcPr>
            <w:tcW w:w="340" w:type="dxa"/>
            <w:vAlign w:val="bottom"/>
            <w:tcBorders>
              <w:bottom w:val="single" w:sz="8" w:color="9A9A9A"/>
            </w:tcBorders>
          </w:tcPr>
          <w:p>
            <w:pPr>
              <w:spacing w:after="0"/>
              <w:rPr>
                <w:sz w:val="6"/>
                <w:szCs w:val="6"/>
                <w:color w:val="auto"/>
              </w:rPr>
            </w:pPr>
          </w:p>
        </w:tc>
        <w:tc>
          <w:tcPr>
            <w:tcW w:w="4120" w:type="dxa"/>
            <w:vAlign w:val="bottom"/>
            <w:tcBorders>
              <w:bottom w:val="single" w:sz="8" w:color="9A9A9A"/>
            </w:tcBorders>
          </w:tcPr>
          <w:p>
            <w:pPr>
              <w:spacing w:after="0"/>
              <w:rPr>
                <w:sz w:val="6"/>
                <w:szCs w:val="6"/>
                <w:color w:val="auto"/>
              </w:rPr>
            </w:pPr>
          </w:p>
        </w:tc>
        <w:tc>
          <w:tcPr>
            <w:tcW w:w="29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2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2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tbl>
      <w:tblPr>
        <w:tblLayout w:type="fixed"/>
        <w:tblInd w:w="340" w:type="dxa"/>
        <w:tblCellMar>
          <w:top w:w="0" w:type="dxa"/>
          <w:left w:w="0" w:type="dxa"/>
          <w:bottom w:w="0" w:type="dxa"/>
          <w:right w:w="0" w:type="dxa"/>
        </w:tblCellMar>
      </w:tblPr>
      <w:tr>
        <w:trPr>
          <w:trHeight w:val="204"/>
        </w:trPr>
        <w:tc>
          <w:tcPr>
            <w:tcW w:w="7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5"/>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97"/>
        </w:trPr>
        <w:tc>
          <w:tcPr>
            <w:tcW w:w="70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04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77"/>
        </w:trPr>
        <w:tc>
          <w:tcPr>
            <w:tcW w:w="7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Other operating expense</w:t>
            </w: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r>
      <w:tr>
        <w:trPr>
          <w:trHeight w:val="197"/>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Transition services to Polestar Technology</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27,630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Litigation expense, net of insurance</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25,676</w:t>
            </w: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Non-income tax expense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1,064</w:t>
            </w:r>
          </w:p>
        </w:tc>
      </w:tr>
      <w:tr>
        <w:trPr>
          <w:trHeight w:val="197"/>
        </w:trPr>
        <w:tc>
          <w:tcPr>
            <w:tcW w:w="7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foreign exchange rate difference</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2,264</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50,850</w:t>
            </w:r>
          </w:p>
        </w:tc>
      </w:tr>
      <w:tr>
        <w:trPr>
          <w:trHeight w:val="197"/>
        </w:trPr>
        <w:tc>
          <w:tcPr>
            <w:tcW w:w="70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Other operating expenses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4,348</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322</w:t>
            </w:r>
          </w:p>
        </w:tc>
      </w:tr>
      <w:tr>
        <w:trPr>
          <w:trHeight w:val="188"/>
        </w:trPr>
        <w:tc>
          <w:tcPr>
            <w:tcW w:w="7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58,323</w:t>
            </w:r>
          </w:p>
        </w:tc>
        <w:tc>
          <w:tcPr>
            <w:tcW w:w="30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5,028</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52,236</w:t>
            </w:r>
          </w:p>
        </w:tc>
      </w:tr>
    </w:tbl>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10 - Investment in associates</w:t>
      </w:r>
      <w:r>
        <w:rPr>
          <w:rFonts w:ascii="Times New Roman" w:cs="Times New Roman" w:eastAsia="Times New Roman" w:hAnsi="Times New Roman"/>
          <w:sz w:val="15"/>
          <w:szCs w:val="15"/>
          <w:color w:val="auto"/>
        </w:rPr>
        <w:t xml:space="preserve"> for further details on Transition services to Polestar Technology;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further details on sales of plant operation services and gain on Assets held for sale; and </w:t>
      </w:r>
      <w:r>
        <w:rPr>
          <w:rFonts w:ascii="Times New Roman" w:cs="Times New Roman" w:eastAsia="Times New Roman" w:hAnsi="Times New Roman"/>
          <w:sz w:val="15"/>
          <w:szCs w:val="15"/>
          <w:i w:val="1"/>
          <w:iCs w:val="1"/>
          <w:color w:val="auto"/>
        </w:rPr>
        <w:t>Note 28 - Assets held for sale</w:t>
      </w:r>
      <w:r>
        <w:rPr>
          <w:rFonts w:ascii="Times New Roman" w:cs="Times New Roman" w:eastAsia="Times New Roman" w:hAnsi="Times New Roman"/>
          <w:sz w:val="15"/>
          <w:szCs w:val="15"/>
          <w:color w:val="auto"/>
        </w:rPr>
        <w:t xml:space="preserve"> for further details on gain on Assets held for sale.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Investment in associates</w:t>
      </w:r>
    </w:p>
    <w:p>
      <w:pPr>
        <w:spacing w:after="0" w:line="8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On June 19, 2023 Polestar entered into a strategic agreement with the technology company, Xingji Meizu, a limited liability company and subsidiary of DreamSmart Technology Pte. Ltd (“DreamSmart”), to combine Polestar’s capabilities of design and performance with the software and consumer electronics hardware development expertise of Xingji Meizu. Xingji Meizu and DreamSmart are related parties. The strategic agreement resulted in the inception of Polestar Technology (Shaoxing) Co., Ltd. ("Polestar Technology") which is</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incorporated in China and has its registered office in Zhejiang province. Polestar Technology engages in the sales and marketing of Polestar vehicles, DreamSmart smartphones, augmented reality glasses, and other technology products in China. Polestar Technology is not publicly listed.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 the strategic agreement, Polestar and Xingji Meizu committed to invest $98,000 and $102,000, respectively, in Polestar Technology in stages; subject to the parties meeting</w:t>
      </w:r>
    </w:p>
    <w:p>
      <w:pPr>
        <w:spacing w:after="0" w:line="6"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certain conditions precedent to each contribution. In exchange for the investments, Polestar and Xingji Meizu were granted equity ownership, board seats, and a right to receive 50% of the undistributed profit in Polestar Technology, allocated by their equity ownership ratio, once Polestar Technology becomes profitable. The stages of agreed contributions were as follows:</w:t>
      </w:r>
    </w:p>
    <w:p>
      <w:pPr>
        <w:spacing w:after="0" w:line="57" w:lineRule="exact"/>
        <w:rPr>
          <w:sz w:val="20"/>
          <w:szCs w:val="20"/>
          <w:color w:val="auto"/>
        </w:rPr>
      </w:pPr>
    </w:p>
    <w:p>
      <w:pPr>
        <w:jc w:val="both"/>
        <w:ind w:left="840" w:hanging="281"/>
        <w:spacing w:after="0" w:line="230" w:lineRule="auto"/>
        <w:tabs>
          <w:tab w:leader="none" w:pos="836"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An initial contribution of $60,000, comprised of $29,400 from Polestar and $30,600 from Xingji Meizu (the "First Contributions"), subject to the signing of articles of association of Polestar Technology, Polestar Technology's receipt of government approvals and authorizations in China, Polestar Technology's establishment of bank accounts, Polestar's completion of an internal restructuring in China, and the signing of certain ancillary agreements between Polestar and Polestar Technology related to transition services, sales of vehicles, brand licensing, and a sale of operating assets.</w:t>
      </w:r>
    </w:p>
    <w:p>
      <w:pPr>
        <w:spacing w:after="0" w:line="44" w:lineRule="exact"/>
        <w:rPr>
          <w:rFonts w:ascii="Times New Roman" w:cs="Times New Roman" w:eastAsia="Times New Roman" w:hAnsi="Times New Roman"/>
          <w:sz w:val="15"/>
          <w:szCs w:val="15"/>
          <w:i w:val="1"/>
          <w:iCs w:val="1"/>
          <w:color w:val="auto"/>
        </w:rPr>
      </w:pPr>
    </w:p>
    <w:p>
      <w:pPr>
        <w:jc w:val="both"/>
        <w:ind w:left="840" w:right="20" w:hanging="281"/>
        <w:spacing w:after="0" w:line="237" w:lineRule="auto"/>
        <w:tabs>
          <w:tab w:leader="none" w:pos="836"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 second contribution or series of contributions, subject to each investor's preference, within six months of the completion of the First Contributions totaling $140,000, comprised of $68,600 from Polestar and $71,400 from Xingji Meizu (the "Remaining Contributions"). The timeframe for completion of the Remaining Contributions may be changed if mutually agreed upon by Polestar, Xingji Meizu, and Polestar Technology.</w:t>
      </w:r>
    </w:p>
    <w:p>
      <w:pPr>
        <w:spacing w:after="0" w:line="4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On December 20, 2023, all conditions precedent to Polestar's obligation to make its First Contribution to Polestar Technology were satisfied and an investment for $29,400 was initially recognized. However, due to Polestar Technology evaluating a change in province of registration in China, cash was not injected by Polestar and Xingji Meizu until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subsequent to December 31, 2023. Refer to </w:t>
      </w:r>
      <w:r>
        <w:rPr>
          <w:rFonts w:ascii="Times New Roman" w:cs="Times New Roman" w:eastAsia="Times New Roman" w:hAnsi="Times New Roman"/>
          <w:sz w:val="15"/>
          <w:szCs w:val="15"/>
          <w:i w:val="1"/>
          <w:iCs w:val="1"/>
          <w:color w:val="auto"/>
        </w:rPr>
        <w:t>Note 30 - Subsequent events</w:t>
      </w:r>
      <w:r>
        <w:rPr>
          <w:rFonts w:ascii="Times New Roman" w:cs="Times New Roman" w:eastAsia="Times New Roman" w:hAnsi="Times New Roman"/>
          <w:sz w:val="15"/>
          <w:szCs w:val="15"/>
          <w:color w:val="auto"/>
        </w:rPr>
        <w:t xml:space="preserve"> for further details.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As of December 31, 2023, Polestar owned 49% of Polestar Technology and the remaining 51% was owned by Xingji Meizu. Polestar and Xingji Meizu held 40% and 60%, respectively, of the voting interests in Polestar Technology by virtue of their board seats and associated rights. The Group accounts for its investment in Polestar Technology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equity method.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Transition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June 19, 2023, Polestar began providing transition services to Polestar Technology to assist Polestar Technology through the start-up process. As the terms of the transition service</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agreement were not finalized and signed until December 20, 2023, these services were provided to Polestar Technology without an agreement of commercial and legal terms (i.e., a contract) between the Group and Polestar Technology; resulting in Polestar providing the transition services to Polestar Technology at its own risk and without rights to consideration from Polestar Technology prior to December 20, 2023. All related costs were expensed as incurred under their respective functional line items in the Consolidated Statement of Loss</w:t>
      </w:r>
    </w:p>
    <w:p>
      <w:pPr>
        <w:spacing w:after="0" w:line="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5"/>
          <w:szCs w:val="15"/>
          <w:color w:val="auto"/>
        </w:rPr>
        <w:t>and Comprehensive Loss prior to signing and then reclassified to Other operating expenses at contract signing. Additionally, Polestar did not record an accrued asset and corresponding Other operating income associated with the right to receive payment for the transition services from Polestar Technology at contract signing because the probability of collecting consideration was deemed to be remote due to Polestar Technology's lack of available liquidity. Until facts and circumstances change such that it becomes probable Polestar will collect consideration under the terms of the agreement, Other operating income will be recognized if and when payment is received from Polestar Technology. During</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the year ended December 31, 2023, Polestar recognized $27,630 in expenses associated with providing transition services to Polestar Technology which are presented in Other operating income (expense), net in the Consolidated Statement of Loss and Comprehensive Loss.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Sales of vehicles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During the year ended December 31, 2023, Polestar and Polestar Technology entered into multiple vehicle sale and purchase agreements for Polestar to sell and deliver PS4s to Polestar Technology. Similar to transition services, the probability of collecting consideration under these agreements was deemed to be remote due to Polestar Technology's lack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available liquidity. As such, Polestar did not record an accrued asset and corresponding revenue associated with the right to receive payment for the vehicles. Until facts and circumstances change such that it becomes probable Polestar will collect consideration under the terms of the agreements, revenue will be recognized if and when payment is received from Polestar Technology. Additionally, despite Polestar Technology's lack of liquidity, physical possession and title to the vehicles are transferred to Polestar Technology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without encumbrance or a right for Polestar to repossess the vehicles in the event Polestar Technology does not pay. This results in full recognition of inventory costs in Cost of sales in the Consolidated Statement of Loss and Comprehensive Loss upon delivery; offset only by an adjustment for the equity method elimination of downstream sales. During the year ended December 31, 2023, the total expense in Cost of sales for vehicles delivered where revenue was not recognized was $28,376, offset by adjustments for the elimination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downstream sales of $13,904.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Brand licensing</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November 15, 2023, Polestar licensed the use of the Polestar branding to Polestar Technology for use in its commercial operations in China in exchange for an annual royalty equal to 2% of Polestar Technology's net revenue each year. For the year ended December 31, 2023, no royalty revenue was recognized from Polestar Technology.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Sale of operating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28, 2023, Polestar agreed to assign certain lease agreements and sell other related assets to Polestar Technology for their fair value of $8,159. This asset grouping was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not classified as held for sale as of December 31, 2023 because Polestar deemed it unlikely that significant changes to the agreement would not occur or that the agreement would not be terminated after signing due to Polestar Technology's lack of liquidity and other unforeseen complexities.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activity related to Polestar's investment in Polestar Technology: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January 1, 2023</w:t>
            </w:r>
          </w:p>
        </w:tc>
        <w:tc>
          <w:tcPr>
            <w:tcW w:w="4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7"/>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 Polestar Technology</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29,400</w:t>
            </w:r>
          </w:p>
        </w:tc>
      </w:tr>
      <w:tr>
        <w:trPr>
          <w:trHeight w:val="197"/>
        </w:trPr>
        <w:tc>
          <w:tcPr>
            <w:tcW w:w="10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Elimination of effects of downstream sales</w:t>
            </w:r>
          </w:p>
        </w:tc>
        <w:tc>
          <w:tcPr>
            <w:tcW w:w="4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13,904</w:t>
            </w:r>
          </w:p>
        </w:tc>
      </w:tr>
      <w:tr>
        <w:trPr>
          <w:trHeight w:val="197"/>
        </w:trPr>
        <w:tc>
          <w:tcPr>
            <w:tcW w:w="10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Recognized share of losses in Polestar Technology</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(43,304)</w:t>
            </w:r>
          </w:p>
        </w:tc>
      </w:tr>
      <w:tr>
        <w:trPr>
          <w:trHeight w:val="188"/>
        </w:trPr>
        <w:tc>
          <w:tcPr>
            <w:tcW w:w="10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27"/>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the activity related to Polestar's unrecognized losses in Polestar Technology:</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4"/>
        </w:trPr>
        <w:tc>
          <w:tcPr>
            <w:tcW w:w="10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97"/>
        </w:trPr>
        <w:tc>
          <w:tcPr>
            <w:tcW w:w="10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Unrecognized balance as of January 1, 2023</w:t>
            </w:r>
          </w:p>
        </w:tc>
        <w:tc>
          <w:tcPr>
            <w:tcW w:w="4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10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Unrecognized share of losses in Polestar Technology</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w:t>
            </w:r>
          </w:p>
        </w:tc>
      </w:tr>
      <w:tr>
        <w:trPr>
          <w:trHeight w:val="188"/>
        </w:trPr>
        <w:tc>
          <w:tcPr>
            <w:tcW w:w="10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Unrecognized balance as of December 31, 2023</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(1,407)</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summarized financial information from Polestar Technology's financial statements and a reconciliation to the carrying amount of Polestar's investment: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4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720" w:type="dxa"/>
            <w:vAlign w:val="bottom"/>
            <w:tcBorders>
              <w:top w:val="single" w:sz="8" w:color="auto"/>
            </w:tcBorders>
            <w:shd w:val="clear" w:color="auto" w:fill="DBDBDB"/>
          </w:tcPr>
          <w:p>
            <w:pPr>
              <w:jc w:val="center"/>
              <w:ind w:right="123"/>
              <w:spacing w:after="0" w:line="162" w:lineRule="exact"/>
              <w:rPr>
                <w:sz w:val="20"/>
                <w:szCs w:val="20"/>
                <w:color w:val="auto"/>
              </w:rPr>
            </w:pPr>
            <w:r>
              <w:rPr>
                <w:rFonts w:ascii="Times New Roman" w:cs="Times New Roman" w:eastAsia="Times New Roman" w:hAnsi="Times New Roman"/>
                <w:sz w:val="15"/>
                <w:szCs w:val="15"/>
                <w:b w:val="1"/>
                <w:bCs w:val="1"/>
                <w:color w:val="auto"/>
              </w:rPr>
              <w:t>For the year ended</w:t>
            </w:r>
          </w:p>
        </w:tc>
      </w:tr>
      <w:tr>
        <w:trPr>
          <w:trHeight w:val="206"/>
        </w:trPr>
        <w:tc>
          <w:tcPr>
            <w:tcW w:w="934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720" w:type="dxa"/>
            <w:vAlign w:val="bottom"/>
            <w:tcBorders>
              <w:bottom w:val="single" w:sz="8" w:color="auto"/>
            </w:tcBorders>
            <w:shd w:val="clear" w:color="auto" w:fill="DBDBDB"/>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1"/>
        </w:trPr>
        <w:tc>
          <w:tcPr>
            <w:tcW w:w="934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88"/>
        </w:trPr>
        <w:tc>
          <w:tcPr>
            <w:tcW w:w="93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Non-current assets</w:t>
            </w:r>
          </w:p>
        </w:tc>
        <w:tc>
          <w:tcPr>
            <w:tcW w:w="200" w:type="dxa"/>
            <w:vAlign w:val="bottom"/>
            <w:shd w:val="clear" w:color="auto" w:fill="DBDBDB"/>
          </w:tcPr>
          <w:p>
            <w:pPr>
              <w:spacing w:after="0"/>
              <w:rPr>
                <w:sz w:val="16"/>
                <w:szCs w:val="16"/>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19,295</w:t>
            </w:r>
          </w:p>
        </w:tc>
      </w:tr>
      <w:tr>
        <w:trPr>
          <w:trHeight w:val="197"/>
        </w:trPr>
        <w:tc>
          <w:tcPr>
            <w:tcW w:w="934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95,770</w:t>
            </w:r>
          </w:p>
        </w:tc>
      </w:tr>
      <w:tr>
        <w:trPr>
          <w:trHeight w:val="197"/>
        </w:trPr>
        <w:tc>
          <w:tcPr>
            <w:tcW w:w="93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2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(8,774)</w:t>
            </w:r>
          </w:p>
        </w:tc>
      </w:tr>
      <w:tr>
        <w:trPr>
          <w:trHeight w:val="197"/>
        </w:trPr>
        <w:tc>
          <w:tcPr>
            <w:tcW w:w="93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(137,689)</w:t>
            </w:r>
          </w:p>
        </w:tc>
      </w:tr>
      <w:tr>
        <w:trPr>
          <w:trHeight w:val="188"/>
        </w:trPr>
        <w:tc>
          <w:tcPr>
            <w:tcW w:w="93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liabilities</w:t>
            </w:r>
          </w:p>
        </w:tc>
        <w:tc>
          <w:tcPr>
            <w:tcW w:w="20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(31,398)</w:t>
            </w:r>
          </w:p>
        </w:tc>
      </w:tr>
      <w:tr>
        <w:trPr>
          <w:trHeight w:val="188"/>
        </w:trPr>
        <w:tc>
          <w:tcPr>
            <w:tcW w:w="9340" w:type="dxa"/>
            <w:vAlign w:val="bottom"/>
          </w:tcPr>
          <w:p>
            <w:pPr>
              <w:spacing w:after="0"/>
              <w:rPr>
                <w:sz w:val="20"/>
                <w:szCs w:val="20"/>
                <w:color w:val="auto"/>
              </w:rPr>
            </w:pPr>
            <w:r>
              <w:rPr>
                <w:rFonts w:ascii="Times New Roman" w:cs="Times New Roman" w:eastAsia="Times New Roman" w:hAnsi="Times New Roman"/>
                <w:sz w:val="15"/>
                <w:szCs w:val="15"/>
                <w:color w:val="auto"/>
              </w:rPr>
              <w:t>The Group's share of net liabilities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(15,385)</w:t>
            </w:r>
          </w:p>
        </w:tc>
      </w:tr>
      <w:tr>
        <w:trPr>
          <w:trHeight w:val="197"/>
        </w:trPr>
        <w:tc>
          <w:tcPr>
            <w:tcW w:w="93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Elimination of effects of downstream sales</w:t>
            </w:r>
          </w:p>
        </w:tc>
        <w:tc>
          <w:tcPr>
            <w:tcW w:w="2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13,904</w:t>
            </w:r>
          </w:p>
        </w:tc>
      </w:tr>
      <w:tr>
        <w:trPr>
          <w:trHeight w:val="197"/>
        </w:trPr>
        <w:tc>
          <w:tcPr>
            <w:tcW w:w="9340" w:type="dxa"/>
            <w:vAlign w:val="bottom"/>
          </w:tcPr>
          <w:p>
            <w:pPr>
              <w:spacing w:after="0"/>
              <w:rPr>
                <w:sz w:val="20"/>
                <w:szCs w:val="20"/>
                <w:color w:val="auto"/>
              </w:rPr>
            </w:pPr>
            <w:r>
              <w:rPr>
                <w:rFonts w:ascii="Times New Roman" w:cs="Times New Roman" w:eastAsia="Times New Roman" w:hAnsi="Times New Roman"/>
                <w:sz w:val="15"/>
                <w:szCs w:val="15"/>
                <w:color w:val="auto"/>
              </w:rPr>
              <w:t>Unrecognized losses in Polestar Technology</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w:t>
            </w:r>
          </w:p>
        </w:tc>
      </w:tr>
      <w:tr>
        <w:trPr>
          <w:trHeight w:val="197"/>
        </w:trPr>
        <w:tc>
          <w:tcPr>
            <w:tcW w:w="93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reconciling items</w:t>
            </w:r>
          </w:p>
        </w:tc>
        <w:tc>
          <w:tcPr>
            <w:tcW w:w="200" w:type="dxa"/>
            <w:vAlign w:val="bottom"/>
            <w:tcBorders>
              <w:bottom w:val="single" w:sz="8" w:color="auto"/>
            </w:tcBorders>
            <w:shd w:val="clear" w:color="auto" w:fill="DBDBDB"/>
          </w:tcPr>
          <w:p>
            <w:pPr>
              <w:spacing w:after="0"/>
              <w:rPr>
                <w:sz w:val="17"/>
                <w:szCs w:val="17"/>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88"/>
        </w:trPr>
        <w:tc>
          <w:tcPr>
            <w:tcW w:w="93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Carrying amount of the Group's investment in Polestar Technology</w:t>
            </w: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2"/>
        </w:trPr>
        <w:tc>
          <w:tcPr>
            <w:tcW w:w="93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r>
      <w:tr>
        <w:trPr>
          <w:trHeight w:val="197"/>
        </w:trPr>
        <w:tc>
          <w:tcPr>
            <w:tcW w:w="934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1,445</w:t>
            </w:r>
          </w:p>
        </w:tc>
      </w:tr>
      <w:tr>
        <w:trPr>
          <w:trHeight w:val="197"/>
        </w:trPr>
        <w:tc>
          <w:tcPr>
            <w:tcW w:w="93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 and total comprehensive loss</w:t>
            </w:r>
          </w:p>
        </w:tc>
        <w:tc>
          <w:tcPr>
            <w:tcW w:w="200" w:type="dxa"/>
            <w:vAlign w:val="bottom"/>
            <w:tcBorders>
              <w:bottom w:val="single" w:sz="8" w:color="auto"/>
            </w:tcBorders>
            <w:shd w:val="clear" w:color="auto" w:fill="DBDBDB"/>
          </w:tcPr>
          <w:p>
            <w:pPr>
              <w:spacing w:after="0"/>
              <w:rPr>
                <w:sz w:val="17"/>
                <w:szCs w:val="17"/>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(91,247)</w:t>
            </w:r>
          </w:p>
        </w:tc>
      </w:tr>
      <w:tr>
        <w:trPr>
          <w:trHeight w:val="188"/>
        </w:trPr>
        <w:tc>
          <w:tcPr>
            <w:tcW w:w="9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The Group's share of losses in Polestar Technology</w:t>
            </w: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(44,711)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11 - Finance income and expense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Group’s finance income and expense: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-104140</wp:posOffset>
            </wp:positionV>
            <wp:extent cx="6703695" cy="132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27">
                      <a:extLst>
                        <a:ext uri="{28A0092B-C50C-407E-A947-70E740481C1C}"/>
                      </a:extLst>
                    </a:blip>
                    <a:srcRect/>
                    <a:stretch>
                      <a:fillRect/>
                    </a:stretch>
                  </pic:blipFill>
                  <pic:spPr bwMode="auto">
                    <a:xfrm>
                      <a:off x="0" y="0"/>
                      <a:ext cx="6703695" cy="132080"/>
                    </a:xfrm>
                    <a:prstGeom prst="rect">
                      <a:avLst/>
                    </a:prstGeom>
                    <a:noFill/>
                  </pic:spPr>
                </pic:pic>
              </a:graphicData>
            </a:graphic>
          </wp:anchor>
        </w:drawing>
      </w:r>
    </w:p>
    <w:p>
      <w:pPr>
        <w:spacing w:after="0" w:line="16" w:lineRule="exact"/>
        <w:rPr>
          <w:sz w:val="20"/>
          <w:szCs w:val="20"/>
          <w:color w:val="auto"/>
        </w:rPr>
      </w:pPr>
    </w:p>
    <w:p>
      <w:pPr>
        <w:ind w:left="7620" w:right="800" w:hanging="7250"/>
        <w:spacing w:after="0" w:line="286" w:lineRule="auto"/>
        <w:tabs>
          <w:tab w:leader="none" w:pos="7600" w:val="left"/>
        </w:tabs>
        <w:rPr>
          <w:sz w:val="20"/>
          <w:szCs w:val="20"/>
          <w:color w:val="auto"/>
        </w:rPr>
      </w:pPr>
      <w:r>
        <w:rPr>
          <w:rFonts w:ascii="Times New Roman" w:cs="Times New Roman" w:eastAsia="Times New Roman" w:hAnsi="Times New Roman"/>
          <w:sz w:val="15"/>
          <w:szCs w:val="15"/>
          <w:b w:val="1"/>
          <w:bCs w:val="1"/>
          <w:color w:val="auto"/>
        </w:rPr>
        <w:t>Finance income</w:t>
      </w:r>
      <w:r>
        <w:rPr>
          <w:sz w:val="20"/>
          <w:szCs w:val="20"/>
          <w:color w:val="auto"/>
        </w:rPr>
        <w:tab/>
      </w:r>
      <w:r>
        <w:rPr>
          <w:rFonts w:ascii="Times New Roman" w:cs="Times New Roman" w:eastAsia="Times New Roman" w:hAnsi="Times New Roman"/>
          <w:sz w:val="15"/>
          <w:szCs w:val="15"/>
          <w:b w:val="1"/>
          <w:bCs w:val="1"/>
          <w:color w:val="auto"/>
        </w:rPr>
        <w:t>2023 2022 2021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-635</wp:posOffset>
            </wp:positionV>
            <wp:extent cx="6703695" cy="132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28">
                      <a:extLst>
                        <a:ext uri="{28A0092B-C50C-407E-A947-70E740481C1C}"/>
                      </a:extLst>
                    </a:blip>
                    <a:srcRect/>
                    <a:stretch>
                      <a:fillRect/>
                    </a:stretch>
                  </pic:blipFill>
                  <pic:spPr bwMode="auto">
                    <a:xfrm>
                      <a:off x="0" y="0"/>
                      <a:ext cx="6703695" cy="132080"/>
                    </a:xfrm>
                    <a:prstGeom prst="rect">
                      <a:avLst/>
                    </a:prstGeom>
                    <a:noFill/>
                  </pic:spPr>
                </pic:pic>
              </a:graphicData>
            </a:graphic>
          </wp:anchor>
        </w:drawing>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Net foreign exchange rate gains on financial activities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37,236</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31,574</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income on bank deposits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32,280</w:t>
            </w:r>
          </w:p>
        </w:tc>
        <w:tc>
          <w:tcPr>
            <w:tcW w:w="2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7,658</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1,396</w:t>
            </w:r>
          </w:p>
        </w:tc>
      </w:tr>
      <w:tr>
        <w:trPr>
          <w:trHeight w:val="197"/>
        </w:trPr>
        <w:tc>
          <w:tcPr>
            <w:tcW w:w="7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Other finance income</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69,565</w:t>
            </w:r>
          </w:p>
        </w:tc>
        <w:tc>
          <w:tcPr>
            <w:tcW w:w="28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8,552</w:t>
            </w:r>
          </w:p>
        </w:tc>
        <w:tc>
          <w:tcPr>
            <w:tcW w:w="28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32,970</w:t>
            </w:r>
          </w:p>
        </w:tc>
      </w:tr>
      <w:tr>
        <w:trPr>
          <w:trHeight w:val="200"/>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70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3360" w:type="dxa"/>
            <w:vAlign w:val="bottom"/>
            <w:tcBorders>
              <w:bottom w:val="single" w:sz="8" w:color="auto"/>
            </w:tcBorders>
            <w:gridSpan w:val="5"/>
            <w:shd w:val="clear" w:color="auto" w:fill="DBDBDB"/>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Finance expense</w:t>
            </w:r>
          </w:p>
        </w:tc>
        <w:tc>
          <w:tcPr>
            <w:tcW w:w="18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8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0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8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on credit facilities and financing obligations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116,190</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33,331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11,681</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expense to related parties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84,480</w:t>
            </w:r>
          </w:p>
        </w:tc>
        <w:tc>
          <w:tcPr>
            <w:tcW w:w="2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37,945</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30,770</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Loss on debt modification</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7,553</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expense related to lease liabilities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5,008</w:t>
            </w:r>
          </w:p>
        </w:tc>
        <w:tc>
          <w:tcPr>
            <w:tcW w:w="2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6,201</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2,377</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Other finance expenses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Credit facility expenses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197"/>
        </w:trPr>
        <w:tc>
          <w:tcPr>
            <w:tcW w:w="7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Net foreign exchange rate losses on financial activities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30,920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213,242</w:t>
            </w:r>
          </w:p>
        </w:tc>
        <w:tc>
          <w:tcPr>
            <w:tcW w:w="28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108,402</w:t>
            </w:r>
          </w:p>
        </w:tc>
        <w:tc>
          <w:tcPr>
            <w:tcW w:w="28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45,218</w:t>
            </w:r>
          </w:p>
        </w:tc>
      </w:tr>
    </w:tbl>
    <w:p>
      <w:pPr>
        <w:spacing w:after="0" w:line="14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 xml:space="preserve">For the years ended December 31, 2023, 2022 and 2021, interest expense to related parties was comprised of interest on overdue Trade payables balances and interest on related party borrowings. For the year ended December 31, 2023, Loss on debt modification relates to loss incurred on Polestar's modification of its related party convertible instrument with Volvo Cars.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further discussion.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12 - Leases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Group as Lessee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lessee, Polestar Group primarily leases buildings and manufacturing production equipment. The Group also has short-term and low value leases related to the leasing of</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temporary spaces and small IT equipment, respectively. The lease term for land and buildings is generally 2-15 years, with the exception of one long term land lease with a term of 50 years. The lease term for machinery and equipment is generally 2-6 years.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depicts the changes in the Group’s right-of-use assets, which are included within Property, plant, and equipment: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5"/>
                <w:szCs w:val="15"/>
                <w:color w:val="auto"/>
              </w:rPr>
            </w:pPr>
          </w:p>
        </w:tc>
        <w:tc>
          <w:tcPr>
            <w:tcW w:w="4360" w:type="dxa"/>
            <w:vAlign w:val="bottom"/>
            <w:shd w:val="clear" w:color="auto" w:fill="DBDBDB"/>
          </w:tcPr>
          <w:p>
            <w:pPr>
              <w:spacing w:after="0"/>
              <w:rPr>
                <w:sz w:val="15"/>
                <w:szCs w:val="15"/>
                <w:color w:val="auto"/>
              </w:rPr>
            </w:pPr>
          </w:p>
        </w:tc>
        <w:tc>
          <w:tcPr>
            <w:tcW w:w="26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Buildings and</w:t>
            </w:r>
          </w:p>
        </w:tc>
        <w:tc>
          <w:tcPr>
            <w:tcW w:w="1200" w:type="dxa"/>
            <w:vAlign w:val="bottom"/>
            <w:tcBorders>
              <w:right w:val="single" w:sz="8" w:color="auto"/>
            </w:tcBorders>
            <w:gridSpan w:val="2"/>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Machinery and</w:t>
            </w:r>
          </w:p>
        </w:tc>
        <w:tc>
          <w:tcPr>
            <w:tcW w:w="240" w:type="dxa"/>
            <w:vAlign w:val="bottom"/>
            <w:shd w:val="clear" w:color="auto" w:fill="DBDBDB"/>
          </w:tcPr>
          <w:p>
            <w:pPr>
              <w:spacing w:after="0"/>
              <w:rPr>
                <w:sz w:val="15"/>
                <w:szCs w:val="15"/>
                <w:color w:val="auto"/>
              </w:rPr>
            </w:pPr>
          </w:p>
        </w:tc>
        <w:tc>
          <w:tcPr>
            <w:tcW w:w="920" w:type="dxa"/>
            <w:vAlign w:val="bottom"/>
            <w:vMerge w:val="restart"/>
            <w:shd w:val="clear" w:color="auto" w:fill="DBDBDB"/>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436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land</w:t>
            </w:r>
          </w:p>
        </w:tc>
        <w:tc>
          <w:tcPr>
            <w:tcW w:w="1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right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equipment</w:t>
            </w:r>
          </w:p>
        </w:tc>
        <w:tc>
          <w:tcPr>
            <w:tcW w:w="24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vMerge w:val="continue"/>
            <w:shd w:val="clear" w:color="auto" w:fill="DBDBDB"/>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Acquisition cost</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2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45,113</w:t>
            </w:r>
          </w:p>
        </w:tc>
        <w:tc>
          <w:tcPr>
            <w:tcW w:w="180" w:type="dxa"/>
            <w:vAlign w:val="bottom"/>
            <w:shd w:val="clear" w:color="auto" w:fill="DBDBDB"/>
          </w:tcPr>
          <w:p>
            <w:pPr>
              <w:spacing w:after="0"/>
              <w:rPr>
                <w:sz w:val="17"/>
                <w:szCs w:val="17"/>
                <w:color w:val="auto"/>
              </w:rPr>
            </w:pPr>
          </w:p>
        </w:tc>
        <w:tc>
          <w:tcPr>
            <w:tcW w:w="102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51,144</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96,257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Additions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42,449</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1,065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43,514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Cancellations - (Restated)</w:t>
            </w:r>
          </w:p>
        </w:tc>
        <w:tc>
          <w:tcPr>
            <w:tcW w:w="2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02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Reclassification to Assets held for sale</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(4,975)</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26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(4,399)</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(4,817)</w:t>
            </w: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(9,216)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43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266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78,188</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47,083</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125,271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Additions</w:t>
            </w:r>
          </w:p>
        </w:tc>
        <w:tc>
          <w:tcPr>
            <w:tcW w:w="2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49,807</w:t>
            </w:r>
          </w:p>
        </w:tc>
        <w:tc>
          <w:tcPr>
            <w:tcW w:w="180" w:type="dxa"/>
            <w:vAlign w:val="bottom"/>
            <w:shd w:val="clear" w:color="auto" w:fill="DBDBDB"/>
          </w:tcPr>
          <w:p>
            <w:pPr>
              <w:spacing w:after="0"/>
              <w:rPr>
                <w:sz w:val="16"/>
                <w:szCs w:val="16"/>
                <w:color w:val="auto"/>
              </w:rPr>
            </w:pPr>
          </w:p>
        </w:tc>
        <w:tc>
          <w:tcPr>
            <w:tcW w:w="102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4,762</w:t>
            </w:r>
          </w:p>
        </w:tc>
        <w:tc>
          <w:tcPr>
            <w:tcW w:w="24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54,569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Cancellations - (Restated)</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(7,958)</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26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2,576</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1,278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26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122,613</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49,832</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172,445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Accumulated depreciation</w:t>
            </w:r>
          </w:p>
        </w:tc>
        <w:tc>
          <w:tcPr>
            <w:tcW w:w="2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20" w:type="dxa"/>
            <w:vAlign w:val="bottom"/>
            <w:tcBorders>
              <w:right w:val="single" w:sz="8" w:color="auto"/>
            </w:tcBorders>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(10,159)</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(6,999)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(17,158)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Depreciation expense - (Restated)</w:t>
            </w:r>
          </w:p>
        </w:tc>
        <w:tc>
          <w:tcPr>
            <w:tcW w:w="2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(12,389)</w:t>
            </w:r>
          </w:p>
        </w:tc>
        <w:tc>
          <w:tcPr>
            <w:tcW w:w="180" w:type="dxa"/>
            <w:vAlign w:val="bottom"/>
            <w:shd w:val="clear" w:color="auto" w:fill="DBDBDB"/>
          </w:tcPr>
          <w:p>
            <w:pPr>
              <w:spacing w:after="0"/>
              <w:rPr>
                <w:sz w:val="17"/>
                <w:szCs w:val="17"/>
                <w:color w:val="auto"/>
              </w:rPr>
            </w:pPr>
          </w:p>
        </w:tc>
        <w:tc>
          <w:tcPr>
            <w:tcW w:w="102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(12,881)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expense capitalized to inventory - (Restated)</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43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Depreciation expense employee benefits - (Restated)</w:t>
            </w:r>
          </w:p>
        </w:tc>
        <w:tc>
          <w:tcPr>
            <w:tcW w:w="2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DBDBDB"/>
          </w:tcPr>
          <w:p>
            <w:pPr>
              <w:spacing w:after="0"/>
              <w:rPr>
                <w:sz w:val="17"/>
                <w:szCs w:val="17"/>
                <w:color w:val="auto"/>
              </w:rPr>
            </w:pPr>
          </w:p>
        </w:tc>
        <w:tc>
          <w:tcPr>
            <w:tcW w:w="102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760" w:type="dxa"/>
            <w:vAlign w:val="bottom"/>
            <w:gridSpan w:val="2"/>
          </w:tcPr>
          <w:p>
            <w:pPr>
              <w:jc w:val="right"/>
              <w:ind w:right="1643"/>
              <w:spacing w:after="0"/>
              <w:rPr>
                <w:sz w:val="20"/>
                <w:szCs w:val="20"/>
                <w:color w:val="auto"/>
              </w:rPr>
            </w:pPr>
            <w:r>
              <w:rPr>
                <w:rFonts w:ascii="Times New Roman" w:cs="Times New Roman" w:eastAsia="Times New Roman" w:hAnsi="Times New Roman"/>
                <w:sz w:val="15"/>
                <w:szCs w:val="15"/>
                <w:color w:val="auto"/>
              </w:rPr>
              <w:t>F-39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60" w:type="dxa"/>
            <w:vAlign w:val="bottom"/>
            <w:tcBorders>
              <w:bottom w:val="single" w:sz="8" w:color="9A9A9A"/>
            </w:tcBorders>
          </w:tcPr>
          <w:p>
            <w:pPr>
              <w:spacing w:after="0"/>
              <w:rPr>
                <w:sz w:val="6"/>
                <w:szCs w:val="6"/>
                <w:color w:val="auto"/>
              </w:rPr>
            </w:pPr>
          </w:p>
        </w:tc>
        <w:tc>
          <w:tcPr>
            <w:tcW w:w="436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2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3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Cancellations - (Restated)</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spacing w:after="0"/>
              <w:rPr>
                <w:sz w:val="17"/>
                <w:szCs w:val="17"/>
                <w:color w:val="auto"/>
              </w:rPr>
            </w:pPr>
          </w:p>
        </w:tc>
        <w:tc>
          <w:tcPr>
            <w:tcW w:w="94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Reclassification to Assets held for sale</w:t>
            </w:r>
          </w:p>
        </w:tc>
        <w:tc>
          <w:tcPr>
            <w:tcW w:w="120" w:type="dxa"/>
            <w:vAlign w:val="bottom"/>
            <w:shd w:val="clear" w:color="auto" w:fill="DBDBDB"/>
          </w:tcPr>
          <w:p>
            <w:pPr>
              <w:spacing w:after="0"/>
              <w:rPr>
                <w:sz w:val="17"/>
                <w:szCs w:val="17"/>
                <w:color w:val="auto"/>
              </w:rPr>
            </w:pPr>
          </w:p>
        </w:tc>
        <w:tc>
          <w:tcPr>
            <w:tcW w:w="10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260" w:type="dxa"/>
            <w:vAlign w:val="bottom"/>
            <w:shd w:val="clear" w:color="auto" w:fill="DBDBDB"/>
          </w:tcPr>
          <w:p>
            <w:pPr>
              <w:spacing w:after="0"/>
              <w:rPr>
                <w:sz w:val="17"/>
                <w:szCs w:val="17"/>
                <w:color w:val="auto"/>
              </w:rPr>
            </w:pPr>
          </w:p>
        </w:tc>
        <w:tc>
          <w:tcPr>
            <w:tcW w:w="9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92</w:t>
            </w:r>
          </w:p>
        </w:tc>
        <w:tc>
          <w:tcPr>
            <w:tcW w:w="24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color w:val="auto"/>
              </w:rPr>
              <w:t>522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3,184</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1,816</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(18,934)</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(11,776)</w:t>
            </w:r>
          </w:p>
        </w:tc>
        <w:tc>
          <w:tcPr>
            <w:tcW w:w="24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(30,710)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expense - (Restated)</w:t>
            </w: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(19,110)</w:t>
            </w:r>
          </w:p>
        </w:tc>
        <w:tc>
          <w:tcPr>
            <w:tcW w:w="260" w:type="dxa"/>
            <w:vAlign w:val="bottom"/>
          </w:tcPr>
          <w:p>
            <w:pPr>
              <w:spacing w:after="0"/>
              <w:rPr>
                <w:sz w:val="16"/>
                <w:szCs w:val="16"/>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(1,656)</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(20,766)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Depreciation expense capitalized to inventory - (Restated)</w:t>
            </w:r>
          </w:p>
        </w:tc>
        <w:tc>
          <w:tcPr>
            <w:tcW w:w="120" w:type="dxa"/>
            <w:vAlign w:val="bottom"/>
            <w:shd w:val="clear" w:color="auto" w:fill="DBDBDB"/>
          </w:tcPr>
          <w:p>
            <w:pPr>
              <w:spacing w:after="0"/>
              <w:rPr>
                <w:sz w:val="17"/>
                <w:szCs w:val="17"/>
                <w:color w:val="auto"/>
              </w:rPr>
            </w:pPr>
          </w:p>
        </w:tc>
        <w:tc>
          <w:tcPr>
            <w:tcW w:w="10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94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(5,682)</w:t>
            </w:r>
          </w:p>
        </w:tc>
        <w:tc>
          <w:tcPr>
            <w:tcW w:w="24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color w:val="auto"/>
              </w:rPr>
              <w:t>(5,682)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expense employee benefits - (Restated)</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(1,635)</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(1,635)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Cancellations - (Restated)</w:t>
            </w:r>
          </w:p>
        </w:tc>
        <w:tc>
          <w:tcPr>
            <w:tcW w:w="120" w:type="dxa"/>
            <w:vAlign w:val="bottom"/>
            <w:shd w:val="clear" w:color="auto" w:fill="DBDBDB"/>
          </w:tcPr>
          <w:p>
            <w:pPr>
              <w:spacing w:after="0"/>
              <w:rPr>
                <w:sz w:val="17"/>
                <w:szCs w:val="17"/>
                <w:color w:val="auto"/>
              </w:rPr>
            </w:pPr>
          </w:p>
        </w:tc>
        <w:tc>
          <w:tcPr>
            <w:tcW w:w="10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4,318</w:t>
            </w:r>
          </w:p>
        </w:tc>
        <w:tc>
          <w:tcPr>
            <w:tcW w:w="260" w:type="dxa"/>
            <w:vAlign w:val="bottom"/>
            <w:shd w:val="clear" w:color="auto" w:fill="DBDBDB"/>
          </w:tcPr>
          <w:p>
            <w:pPr>
              <w:spacing w:after="0"/>
              <w:rPr>
                <w:sz w:val="17"/>
                <w:szCs w:val="17"/>
                <w:color w:val="auto"/>
              </w:rPr>
            </w:pPr>
          </w:p>
        </w:tc>
        <w:tc>
          <w:tcPr>
            <w:tcW w:w="94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449</w:t>
            </w:r>
          </w:p>
        </w:tc>
        <w:tc>
          <w:tcPr>
            <w:tcW w:w="24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color w:val="auto"/>
              </w:rPr>
              <w:t>4,767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Impairment loss - (Restated)</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(19,361)</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(19,361)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2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509</w:t>
            </w: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color w:val="auto"/>
              </w:rPr>
              <w:t>(56)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(34,291)</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(39,152)</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(73,443)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686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right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20" w:type="dxa"/>
            <w:vAlign w:val="bottom"/>
            <w:tcBorders>
              <w:bottom w:val="single" w:sz="8" w:color="DBDBDB"/>
            </w:tcBorders>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Carrying amount as of December 31, 2022 - (Restated)</w:t>
            </w: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59,254</w:t>
            </w:r>
          </w:p>
        </w:tc>
        <w:tc>
          <w:tcPr>
            <w:tcW w:w="260" w:type="dxa"/>
            <w:vAlign w:val="bottom"/>
            <w:tcBorders>
              <w:bottom w:val="single" w:sz="8" w:color="auto"/>
            </w:tcBorders>
          </w:tcPr>
          <w:p>
            <w:pPr>
              <w:jc w:val="right"/>
              <w:ind w:right="8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rPr>
              <w:t>35,307</w:t>
            </w:r>
          </w:p>
        </w:tc>
        <w:tc>
          <w:tcPr>
            <w:tcW w:w="240" w:type="dxa"/>
            <w:vAlign w:val="bottom"/>
            <w:tcBorders>
              <w:bottom w:val="single" w:sz="8" w:color="auto"/>
            </w:tcBorders>
          </w:tcPr>
          <w:p>
            <w:pPr>
              <w:jc w:val="right"/>
              <w:ind w:right="8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b w:val="1"/>
                <w:bCs w:val="1"/>
                <w:color w:val="auto"/>
              </w:rPr>
              <w:t>94,561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Carrying amount as of December 31, 2023 - (Restated)</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88,322</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10,680</w:t>
            </w:r>
          </w:p>
        </w:tc>
        <w:tc>
          <w:tcPr>
            <w:tcW w:w="24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99,002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73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Amounts related to leases recognized in the Consolidated Statement of Loss and Comprehensive Loss are as follows: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80" w:type="dxa"/>
            <w:vAlign w:val="bottom"/>
            <w:gridSpan w:val="5"/>
          </w:tcPr>
          <w:p>
            <w:pPr>
              <w:spacing w:after="0"/>
              <w:rPr>
                <w:sz w:val="8"/>
                <w:szCs w:val="8"/>
                <w:color w:val="auto"/>
              </w:rPr>
            </w:pPr>
          </w:p>
        </w:tc>
        <w:tc>
          <w:tcPr>
            <w:tcW w:w="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8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740" w:type="dxa"/>
            <w:vAlign w:val="bottom"/>
            <w:tcBorders>
              <w:bottom w:val="single" w:sz="8" w:color="auto"/>
            </w:tcBorders>
            <w:gridSpan w:val="8"/>
            <w:shd w:val="clear" w:color="auto" w:fill="DBDBDB"/>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bottom w:val="single" w:sz="8" w:color="DBDBDB"/>
            </w:tcBorders>
          </w:tcPr>
          <w:p>
            <w:pPr>
              <w:spacing w:after="0"/>
              <w:rPr>
                <w:sz w:val="16"/>
                <w:szCs w:val="16"/>
                <w:color w:val="auto"/>
              </w:rPr>
            </w:pPr>
          </w:p>
        </w:tc>
        <w:tc>
          <w:tcPr>
            <w:tcW w:w="160" w:type="dxa"/>
            <w:vAlign w:val="bottom"/>
            <w:tcBorders>
              <w:bottom w:val="single" w:sz="8" w:color="DBDBDB"/>
            </w:tcBorders>
          </w:tcPr>
          <w:p>
            <w:pPr>
              <w:spacing w:after="0"/>
              <w:rPr>
                <w:sz w:val="16"/>
                <w:szCs w:val="16"/>
                <w:color w:val="auto"/>
              </w:rPr>
            </w:pPr>
          </w:p>
        </w:tc>
        <w:tc>
          <w:tcPr>
            <w:tcW w:w="686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2021</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6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color w:val="auto"/>
              </w:rPr>
              <w:t>Income from sub-leasing right-of-use assets</w:t>
            </w:r>
          </w:p>
        </w:tc>
        <w:tc>
          <w:tcPr>
            <w:tcW w:w="120" w:type="dxa"/>
            <w:vAlign w:val="bottom"/>
            <w:shd w:val="clear" w:color="auto" w:fill="DBDBDB"/>
          </w:tcPr>
          <w:p>
            <w:pPr>
              <w:spacing w:after="0"/>
              <w:rPr>
                <w:sz w:val="16"/>
                <w:szCs w:val="16"/>
                <w:color w:val="auto"/>
              </w:rPr>
            </w:pPr>
          </w:p>
        </w:tc>
        <w:tc>
          <w:tcPr>
            <w:tcW w:w="1300" w:type="dxa"/>
            <w:vAlign w:val="bottom"/>
            <w:gridSpan w:val="3"/>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1,729</w:t>
            </w:r>
          </w:p>
        </w:tc>
        <w:tc>
          <w:tcPr>
            <w:tcW w:w="11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1,415</w:t>
            </w:r>
          </w:p>
        </w:tc>
        <w:tc>
          <w:tcPr>
            <w:tcW w:w="7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Expense relating to short-term leases</w:t>
            </w:r>
          </w:p>
        </w:tc>
        <w:tc>
          <w:tcPr>
            <w:tcW w:w="120" w:type="dxa"/>
            <w:vAlign w:val="bottom"/>
          </w:tcPr>
          <w:p>
            <w:pPr>
              <w:spacing w:after="0"/>
              <w:rPr>
                <w:sz w:val="17"/>
                <w:szCs w:val="17"/>
                <w:color w:val="auto"/>
              </w:rPr>
            </w:pPr>
          </w:p>
        </w:tc>
        <w:tc>
          <w:tcPr>
            <w:tcW w:w="130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color w:val="auto"/>
              </w:rPr>
              <w:t>(888)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color w:val="auto"/>
              </w:rPr>
              <w:t>Expense relating to lease of low value assets</w:t>
            </w:r>
          </w:p>
        </w:tc>
        <w:tc>
          <w:tcPr>
            <w:tcW w:w="1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w w:val="91"/>
              </w:rPr>
              <w:t>(5)</w:t>
            </w:r>
          </w:p>
        </w:tc>
        <w:tc>
          <w:tcPr>
            <w:tcW w:w="940" w:type="dxa"/>
            <w:vAlign w:val="bottom"/>
            <w:tcBorders>
              <w:right w:val="single" w:sz="8" w:color="DBDBDB"/>
            </w:tcBorders>
            <w:shd w:val="clear" w:color="auto" w:fill="DBDBDB"/>
          </w:tcPr>
          <w:p>
            <w:pPr>
              <w:spacing w:after="0"/>
              <w:rPr>
                <w:sz w:val="17"/>
                <w:szCs w:val="17"/>
                <w:color w:val="auto"/>
              </w:rPr>
            </w:pP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on leases</w:t>
            </w:r>
          </w:p>
        </w:tc>
        <w:tc>
          <w:tcPr>
            <w:tcW w:w="120" w:type="dxa"/>
            <w:vAlign w:val="bottom"/>
          </w:tcPr>
          <w:p>
            <w:pPr>
              <w:spacing w:after="0"/>
              <w:rPr>
                <w:sz w:val="17"/>
                <w:szCs w:val="17"/>
                <w:color w:val="auto"/>
              </w:rPr>
            </w:pPr>
          </w:p>
        </w:tc>
        <w:tc>
          <w:tcPr>
            <w:tcW w:w="130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color w:val="auto"/>
              </w:rPr>
              <w:t>(5,008)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(6,201)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40" w:type="dxa"/>
            <w:vAlign w:val="bottom"/>
            <w:gridSpan w:val="2"/>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DBDBDB"/>
            </w:tcBorders>
            <w:shd w:val="clear" w:color="auto" w:fill="DBDBDB"/>
          </w:tcPr>
          <w:p>
            <w:pPr>
              <w:spacing w:after="0"/>
              <w:rPr>
                <w:sz w:val="17"/>
                <w:szCs w:val="17"/>
                <w:color w:val="auto"/>
              </w:rPr>
            </w:pPr>
          </w:p>
        </w:tc>
        <w:tc>
          <w:tcPr>
            <w:tcW w:w="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347"/>
        </w:trPr>
        <w:tc>
          <w:tcPr>
            <w:tcW w:w="73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The current and non-current portion of the Group´s lease liabilities are as follows: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40" w:type="dxa"/>
            <w:vAlign w:val="bottom"/>
            <w:gridSpan w:val="3"/>
          </w:tcPr>
          <w:p>
            <w:pPr>
              <w:spacing w:after="0"/>
              <w:rPr>
                <w:sz w:val="8"/>
                <w:szCs w:val="8"/>
                <w:color w:val="auto"/>
              </w:rPr>
            </w:pPr>
          </w:p>
        </w:tc>
        <w:tc>
          <w:tcPr>
            <w:tcW w:w="50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gridSpan w:val="3"/>
            <w:shd w:val="clear" w:color="auto" w:fill="DBDBDB"/>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lease liability</w:t>
            </w:r>
          </w:p>
        </w:tc>
        <w:tc>
          <w:tcPr>
            <w:tcW w:w="1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tcBorders>
              <w:right w:val="single" w:sz="8" w:color="DBDBDB"/>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color w:val="auto"/>
              </w:rPr>
              <w:t>19,547</w:t>
            </w:r>
          </w:p>
        </w:tc>
        <w:tc>
          <w:tcPr>
            <w:tcW w:w="24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11,935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Current lease liabilities - related parties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10,628</w:t>
            </w:r>
          </w:p>
        </w:tc>
        <w:tc>
          <w:tcPr>
            <w:tcW w:w="2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9,928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Non-current lease liability</w:t>
            </w:r>
          </w:p>
        </w:tc>
        <w:tc>
          <w:tcPr>
            <w:tcW w:w="1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40" w:type="dxa"/>
            <w:vAlign w:val="bottom"/>
            <w:tcBorders>
              <w:right w:val="single" w:sz="8" w:color="DBDBDB"/>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color w:val="auto"/>
              </w:rPr>
              <w:t>54,439</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31,326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Non-current lease liabilities - related parties</w:t>
            </w:r>
          </w:p>
        </w:tc>
        <w:tc>
          <w:tcPr>
            <w:tcW w:w="12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42,634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43,643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340" w:type="dxa"/>
            <w:vAlign w:val="bottom"/>
            <w:tcBorders>
              <w:bottom w:val="single" w:sz="8" w:color="auto"/>
            </w:tcBorders>
            <w:gridSpan w:val="2"/>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127,248 $</w:t>
            </w: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96,832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Expected future lease payments to be made to satisfy the Group´s lease liabilities are as follow:</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Within 1 year</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Between 1 and 2 years</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Between 2 and 3 years</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Between 3 and 4 years</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Between 4 and 5 years</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Later than 5 years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60" w:type="dxa"/>
            <w:vAlign w:val="bottom"/>
          </w:tcPr>
          <w:p>
            <w:pPr>
              <w:spacing w:after="0"/>
              <w:rPr>
                <w:sz w:val="17"/>
                <w:szCs w:val="17"/>
                <w:color w:val="auto"/>
              </w:rPr>
            </w:pPr>
          </w:p>
        </w:tc>
        <w:tc>
          <w:tcPr>
            <w:tcW w:w="2100" w:type="dxa"/>
            <w:vAlign w:val="bottom"/>
            <w:gridSpan w:val="3"/>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04"/>
        </w:trPr>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9"/>
        </w:trPr>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85"/>
        </w:trPr>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32,685</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30,642</w:t>
            </w:r>
          </w:p>
        </w:tc>
      </w:tr>
      <w:tr>
        <w:trPr>
          <w:trHeight w:val="197"/>
        </w:trPr>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33,275</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27,147</w:t>
            </w:r>
          </w:p>
        </w:tc>
      </w:tr>
      <w:tr>
        <w:trPr>
          <w:trHeight w:val="197"/>
        </w:trPr>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28,033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19,800</w:t>
            </w:r>
          </w:p>
        </w:tc>
      </w:tr>
      <w:tr>
        <w:trPr>
          <w:trHeight w:val="197"/>
        </w:trPr>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18,634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16,985</w:t>
            </w:r>
          </w:p>
        </w:tc>
      </w:tr>
      <w:tr>
        <w:trPr>
          <w:trHeight w:val="197"/>
        </w:trPr>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11,463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5,987</w:t>
            </w:r>
          </w:p>
        </w:tc>
      </w:tr>
      <w:tr>
        <w:trPr>
          <w:trHeight w:val="200"/>
        </w:trPr>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15,458</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29,613</w:t>
            </w:r>
          </w:p>
        </w:tc>
      </w:tr>
      <w:tr>
        <w:trPr>
          <w:trHeight w:val="189"/>
        </w:trPr>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139,548</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-1278255</wp:posOffset>
            </wp:positionV>
            <wp:extent cx="6504940" cy="1250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31">
                      <a:extLst>
                        <a:ext uri="{28A0092B-C50C-407E-A947-70E740481C1C}"/>
                      </a:extLst>
                    </a:blip>
                    <a:srcRect/>
                    <a:stretch>
                      <a:fillRect/>
                    </a:stretch>
                  </pic:blipFill>
                  <pic:spPr bwMode="auto">
                    <a:xfrm>
                      <a:off x="0" y="0"/>
                      <a:ext cx="6504940" cy="12509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-1028700</wp:posOffset>
            </wp:positionV>
            <wp:extent cx="6504940" cy="132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32">
                      <a:extLst>
                        <a:ext uri="{28A0092B-C50C-407E-A947-70E740481C1C}"/>
                      </a:extLst>
                    </a:blip>
                    <a:srcRect/>
                    <a:stretch>
                      <a:fillRect/>
                    </a:stretch>
                  </pic:blipFill>
                  <pic:spPr bwMode="auto">
                    <a:xfrm>
                      <a:off x="0" y="0"/>
                      <a:ext cx="6504940" cy="13208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-763905</wp:posOffset>
            </wp:positionV>
            <wp:extent cx="6504940" cy="1250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33">
                      <a:extLst>
                        <a:ext uri="{28A0092B-C50C-407E-A947-70E740481C1C}"/>
                      </a:extLst>
                    </a:blip>
                    <a:srcRect/>
                    <a:stretch>
                      <a:fillRect/>
                    </a:stretch>
                  </pic:blipFill>
                  <pic:spPr bwMode="auto">
                    <a:xfrm>
                      <a:off x="0" y="0"/>
                      <a:ext cx="6504940" cy="12509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-513715</wp:posOffset>
            </wp:positionV>
            <wp:extent cx="6504940" cy="1250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34">
                      <a:extLst>
                        <a:ext uri="{28A0092B-C50C-407E-A947-70E740481C1C}"/>
                      </a:extLst>
                    </a:blip>
                    <a:srcRect/>
                    <a:stretch>
                      <a:fillRect/>
                    </a:stretch>
                  </pic:blipFill>
                  <pic:spPr bwMode="auto">
                    <a:xfrm>
                      <a:off x="0" y="0"/>
                      <a:ext cx="6504940" cy="12509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-264160</wp:posOffset>
            </wp:positionV>
            <wp:extent cx="6504940" cy="125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35">
                      <a:extLst>
                        <a:ext uri="{28A0092B-C50C-407E-A947-70E740481C1C}"/>
                      </a:extLst>
                    </a:blip>
                    <a:srcRect/>
                    <a:stretch>
                      <a:fillRect/>
                    </a:stretch>
                  </pic:blipFill>
                  <pic:spPr bwMode="auto">
                    <a:xfrm>
                      <a:off x="0" y="0"/>
                      <a:ext cx="6504940" cy="12509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7760" w:space="720"/>
            <w:col w:w="2760"/>
          </w:cols>
          <w:pgMar w:left="32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For the years ended December 31, 2023, 2022 and 2021, total cash outflows related to leases, inclusive of interest paid, amounted to $26,924, $25,649 and $11,290,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Polestar Group as lessor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lessor, revenue recognized from operating leases are as follows: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shd w:val="clear" w:color="auto" w:fill="DBDBDB"/>
          </w:tcPr>
          <w:p>
            <w:pPr>
              <w:spacing w:after="0"/>
              <w:rPr>
                <w:sz w:val="17"/>
                <w:szCs w:val="17"/>
                <w:color w:val="auto"/>
              </w:rPr>
            </w:pPr>
          </w:p>
        </w:tc>
        <w:tc>
          <w:tcPr>
            <w:tcW w:w="2960" w:type="dxa"/>
            <w:vAlign w:val="bottom"/>
            <w:tcBorders>
              <w:bottom w:val="single" w:sz="8" w:color="auto"/>
            </w:tcBorders>
            <w:gridSpan w:val="2"/>
            <w:shd w:val="clear" w:color="auto" w:fill="DBDBDB"/>
          </w:tcPr>
          <w:p>
            <w:pPr>
              <w:ind w:left="78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14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2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188"/>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Vehicle leasing revenue</w:t>
            </w:r>
          </w:p>
        </w:tc>
        <w:tc>
          <w:tcPr>
            <w:tcW w:w="1440" w:type="dxa"/>
            <w:vAlign w:val="bottom"/>
            <w:shd w:val="clear" w:color="auto" w:fill="DBDBDB"/>
          </w:tcPr>
          <w:p>
            <w:pPr>
              <w:ind w:left="760"/>
              <w:spacing w:after="0"/>
              <w:rPr>
                <w:sz w:val="20"/>
                <w:szCs w:val="20"/>
                <w:color w:val="auto"/>
              </w:rPr>
            </w:pPr>
            <w:r>
              <w:rPr>
                <w:rFonts w:ascii="Times New Roman" w:cs="Times New Roman" w:eastAsia="Times New Roman" w:hAnsi="Times New Roman"/>
                <w:sz w:val="15"/>
                <w:szCs w:val="15"/>
                <w:color w:val="auto"/>
              </w:rPr>
              <w:t>17,421</w:t>
            </w:r>
          </w:p>
        </w:tc>
        <w:tc>
          <w:tcPr>
            <w:tcW w:w="1520" w:type="dxa"/>
            <w:vAlign w:val="bottom"/>
            <w:shd w:val="clear" w:color="auto" w:fill="DBDBDB"/>
          </w:tcPr>
          <w:p>
            <w:pPr>
              <w:jc w:val="right"/>
              <w:ind w:right="443"/>
              <w:spacing w:after="0"/>
              <w:rPr>
                <w:sz w:val="20"/>
                <w:szCs w:val="20"/>
                <w:color w:val="auto"/>
              </w:rPr>
            </w:pPr>
            <w:r>
              <w:rPr>
                <w:rFonts w:ascii="Times New Roman" w:cs="Times New Roman" w:eastAsia="Times New Roman" w:hAnsi="Times New Roman"/>
                <w:sz w:val="15"/>
                <w:szCs w:val="15"/>
                <w:color w:val="auto"/>
              </w:rPr>
              <w:t>16,719</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6,217</w:t>
            </w:r>
          </w:p>
        </w:tc>
      </w:tr>
    </w:tbl>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Vehicles under</w:t>
            </w:r>
          </w:p>
        </w:tc>
      </w:tr>
      <w:tr>
        <w:trPr>
          <w:trHeight w:val="204"/>
        </w:trPr>
        <w:tc>
          <w:tcPr>
            <w:tcW w:w="1000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99"/>
              </w:rPr>
              <w:t>operating leases</w:t>
            </w:r>
          </w:p>
        </w:tc>
      </w:tr>
      <w:tr>
        <w:trPr>
          <w:trHeight w:val="177"/>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Acquisition cost</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Balance at January 1, 2022</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122,258</w:t>
            </w:r>
          </w:p>
        </w:tc>
      </w:tr>
      <w:tr>
        <w:trPr>
          <w:trHeight w:val="197"/>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 from inventories</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52,686</w:t>
            </w: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Reclassification to inventories</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(58,650)</w:t>
            </w:r>
          </w:p>
        </w:tc>
      </w:tr>
      <w:tr>
        <w:trPr>
          <w:trHeight w:val="197"/>
        </w:trPr>
        <w:tc>
          <w:tcPr>
            <w:tcW w:w="100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(2,680)</w:t>
            </w:r>
          </w:p>
        </w:tc>
      </w:tr>
      <w:tr>
        <w:trPr>
          <w:trHeight w:val="188"/>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113,614</w:t>
            </w:r>
          </w:p>
        </w:tc>
      </w:tr>
      <w:tr>
        <w:trPr>
          <w:trHeight w:val="188"/>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 from inventories</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47,438</w:t>
            </w: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Reclassification from PPE</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56,899</w:t>
            </w:r>
          </w:p>
        </w:tc>
      </w:tr>
      <w:tr>
        <w:trPr>
          <w:trHeight w:val="197"/>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 to inventories</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(82,222)</w:t>
            </w: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5,719</w:t>
            </w:r>
          </w:p>
        </w:tc>
      </w:tr>
      <w:tr>
        <w:trPr>
          <w:trHeight w:val="188"/>
        </w:trPr>
        <w:tc>
          <w:tcPr>
            <w:tcW w:w="100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141,448</w:t>
            </w:r>
          </w:p>
        </w:tc>
      </w:tr>
      <w:tr>
        <w:trPr>
          <w:trHeight w:val="212"/>
        </w:trPr>
        <w:tc>
          <w:tcPr>
            <w:tcW w:w="10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r>
      <w:tr>
        <w:trPr>
          <w:trHeight w:val="197"/>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depreciation &amp; impairment</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Balance at January 1, 2022</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(4,822)</w:t>
            </w:r>
          </w:p>
        </w:tc>
      </w:tr>
      <w:tr>
        <w:trPr>
          <w:trHeight w:val="197"/>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expense</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(17,198)</w:t>
            </w: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Reclassification to inventories</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4,743</w:t>
            </w:r>
          </w:p>
        </w:tc>
      </w:tr>
      <w:tr>
        <w:trPr>
          <w:trHeight w:val="197"/>
        </w:trPr>
        <w:tc>
          <w:tcPr>
            <w:tcW w:w="100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849</w:t>
            </w:r>
          </w:p>
        </w:tc>
      </w:tr>
      <w:tr>
        <w:trPr>
          <w:trHeight w:val="188"/>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(16,428)</w:t>
            </w:r>
          </w:p>
        </w:tc>
      </w:tr>
      <w:tr>
        <w:trPr>
          <w:trHeight w:val="188"/>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expense</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(6,773)</w:t>
            </w: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Impairment loss - (Restated)</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(48,754)</w:t>
            </w:r>
          </w:p>
        </w:tc>
      </w:tr>
      <w:tr>
        <w:trPr>
          <w:trHeight w:val="197"/>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 to inventories</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12,476</w:t>
            </w:r>
          </w:p>
        </w:tc>
      </w:tr>
      <w:tr>
        <w:trPr>
          <w:trHeight w:val="197"/>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Reclassification from PPE</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(9,873)</w:t>
            </w:r>
          </w:p>
        </w:tc>
      </w:tr>
      <w:tr>
        <w:trPr>
          <w:trHeight w:val="197"/>
        </w:trPr>
        <w:tc>
          <w:tcPr>
            <w:tcW w:w="100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(1,873)</w:t>
            </w:r>
          </w:p>
        </w:tc>
      </w:tr>
      <w:tr>
        <w:trPr>
          <w:trHeight w:val="188"/>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(71,225)</w:t>
            </w:r>
          </w:p>
        </w:tc>
      </w:tr>
      <w:tr>
        <w:trPr>
          <w:trHeight w:val="212"/>
        </w:trPr>
        <w:tc>
          <w:tcPr>
            <w:tcW w:w="10000" w:type="dxa"/>
            <w:vAlign w:val="bottom"/>
            <w:tcBorders>
              <w:bottom w:val="single" w:sz="8" w:color="DBDBDB"/>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8"/>
        </w:trPr>
        <w:tc>
          <w:tcPr>
            <w:tcW w:w="10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 as of December 31, 2022</w:t>
            </w: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97,186</w:t>
            </w:r>
          </w:p>
        </w:tc>
      </w:tr>
      <w:tr>
        <w:trPr>
          <w:trHeight w:val="188"/>
        </w:trPr>
        <w:tc>
          <w:tcPr>
            <w:tcW w:w="10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 as of December 31, 2023 - (Restated)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70,223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13 - Income tax benefit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Income tax benefit (expense) recognized in the Consolidated Statement of Loss and Comprehensive Loss is as follows:</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70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3380" w:type="dxa"/>
            <w:vAlign w:val="bottom"/>
            <w:tcBorders>
              <w:bottom w:val="single" w:sz="8" w:color="auto"/>
            </w:tcBorders>
            <w:gridSpan w:val="5"/>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0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Current income tax for the year</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(13,725)</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(21,144)</w:t>
            </w:r>
          </w:p>
        </w:tc>
        <w:tc>
          <w:tcPr>
            <w:tcW w:w="180" w:type="dxa"/>
            <w:vAlign w:val="bottom"/>
          </w:tcPr>
          <w:p>
            <w:pPr>
              <w:spacing w:after="0"/>
              <w:rPr>
                <w:sz w:val="16"/>
                <w:szCs w:val="16"/>
                <w:color w:val="auto"/>
              </w:rPr>
            </w:pPr>
          </w:p>
        </w:tc>
        <w:tc>
          <w:tcPr>
            <w:tcW w:w="10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(2,897)</w:t>
            </w:r>
          </w:p>
        </w:tc>
      </w:tr>
      <w:tr>
        <w:trPr>
          <w:trHeight w:val="197"/>
        </w:trPr>
        <w:tc>
          <w:tcPr>
            <w:tcW w:w="7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Deferred taxes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38,810</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(7,629)</w:t>
            </w:r>
          </w:p>
        </w:tc>
        <w:tc>
          <w:tcPr>
            <w:tcW w:w="180" w:type="dxa"/>
            <w:vAlign w:val="bottom"/>
            <w:shd w:val="clear" w:color="auto" w:fill="DBDBDB"/>
          </w:tcPr>
          <w:p>
            <w:pPr>
              <w:spacing w:after="0"/>
              <w:rPr>
                <w:sz w:val="17"/>
                <w:szCs w:val="17"/>
                <w:color w:val="auto"/>
              </w:rPr>
            </w:pPr>
          </w:p>
        </w:tc>
        <w:tc>
          <w:tcPr>
            <w:tcW w:w="1020" w:type="dxa"/>
            <w:vAlign w:val="bottom"/>
            <w:shd w:val="clear" w:color="auto" w:fill="DBDBDB"/>
          </w:tcPr>
          <w:p>
            <w:pPr>
              <w:jc w:val="center"/>
              <w:ind w:left="463"/>
              <w:spacing w:after="0"/>
              <w:rPr>
                <w:sz w:val="20"/>
                <w:szCs w:val="20"/>
                <w:color w:val="auto"/>
              </w:rPr>
            </w:pPr>
            <w:r>
              <w:rPr>
                <w:rFonts w:ascii="Times New Roman" w:cs="Times New Roman" w:eastAsia="Times New Roman" w:hAnsi="Times New Roman"/>
                <w:sz w:val="15"/>
                <w:szCs w:val="15"/>
                <w:color w:val="auto"/>
              </w:rPr>
              <w:t>8,489</w:t>
            </w:r>
          </w:p>
        </w:tc>
      </w:tr>
      <w:tr>
        <w:trPr>
          <w:trHeight w:val="197"/>
        </w:trPr>
        <w:tc>
          <w:tcPr>
            <w:tcW w:w="70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Foreign taxes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(15,633)</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(984)</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5"/>
                <w:szCs w:val="15"/>
                <w:color w:val="auto"/>
              </w:rPr>
              <w:t>(2,516)</w:t>
            </w:r>
          </w:p>
        </w:tc>
      </w:tr>
      <w:tr>
        <w:trPr>
          <w:trHeight w:val="188"/>
        </w:trPr>
        <w:tc>
          <w:tcPr>
            <w:tcW w:w="7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9,452</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(29,757)</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shd w:val="clear" w:color="auto" w:fill="DBDBDB"/>
          </w:tcPr>
          <w:p>
            <w:pPr>
              <w:jc w:val="center"/>
              <w:ind w:left="463"/>
              <w:spacing w:after="0"/>
              <w:rPr>
                <w:sz w:val="20"/>
                <w:szCs w:val="20"/>
                <w:color w:val="auto"/>
              </w:rPr>
            </w:pPr>
            <w:r>
              <w:rPr>
                <w:rFonts w:ascii="Times New Roman" w:cs="Times New Roman" w:eastAsia="Times New Roman" w:hAnsi="Times New Roman"/>
                <w:sz w:val="15"/>
                <w:szCs w:val="15"/>
                <w:b w:val="1"/>
                <w:bCs w:val="1"/>
                <w:color w:val="auto"/>
              </w:rPr>
              <w:t>3,076</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regarding current year income tax benefit (expense) based on the applicable UK and Hong Kong tax rates are as follows: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70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3360" w:type="dxa"/>
            <w:vAlign w:val="bottom"/>
            <w:tcBorders>
              <w:bottom w:val="single" w:sz="8" w:color="auto"/>
            </w:tcBorders>
            <w:gridSpan w:val="5"/>
            <w:shd w:val="clear" w:color="auto" w:fill="DBDBDB"/>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100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80" w:type="dxa"/>
            <w:vAlign w:val="bottom"/>
          </w:tcPr>
          <w:p>
            <w:pPr>
              <w:spacing w:after="0"/>
              <w:rPr>
                <w:sz w:val="16"/>
                <w:szCs w:val="16"/>
                <w:color w:val="auto"/>
              </w:rPr>
            </w:pPr>
          </w:p>
        </w:tc>
        <w:tc>
          <w:tcPr>
            <w:tcW w:w="10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70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Loss before tax for the year</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(1,191,327)</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(449,260)</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(972,884)</w:t>
            </w:r>
          </w:p>
        </w:tc>
      </w:tr>
      <w:tr>
        <w:trPr>
          <w:trHeight w:val="197"/>
        </w:trPr>
        <w:tc>
          <w:tcPr>
            <w:tcW w:w="7000" w:type="dxa"/>
            <w:vAlign w:val="bottom"/>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Tax according to the applicable tax rate</w:t>
            </w:r>
            <w:r>
              <w:rPr>
                <w:rFonts w:ascii="Times New Roman" w:cs="Times New Roman" w:eastAsia="Times New Roman" w:hAnsi="Times New Roman"/>
                <w:sz w:val="20"/>
                <w:szCs w:val="20"/>
                <w:color w:val="auto"/>
                <w:vertAlign w:val="superscript"/>
              </w:rPr>
              <w:t>1</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280,200</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85,359</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160,525</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Effect of different tax rates in other countries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(25,817)</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16,559</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62,544</w:t>
            </w:r>
          </w:p>
        </w:tc>
      </w:tr>
      <w:tr>
        <w:trPr>
          <w:trHeight w:val="197"/>
        </w:trPr>
        <w:tc>
          <w:tcPr>
            <w:tcW w:w="7000" w:type="dxa"/>
            <w:vAlign w:val="bottom"/>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Operating income/costs, non taxable</w:t>
            </w:r>
            <w:r>
              <w:rPr>
                <w:rFonts w:ascii="Times New Roman" w:cs="Times New Roman" w:eastAsia="Times New Roman" w:hAnsi="Times New Roman"/>
                <w:sz w:val="20"/>
                <w:szCs w:val="20"/>
                <w:color w:val="auto"/>
                <w:vertAlign w:val="superscript"/>
              </w:rPr>
              <w:t>2,3</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19,924</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85,861</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(7,000)</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Withholding tax</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(15,634)</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Not recognized tax losses carried forward</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(209,739)</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(188,757)</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(214,033)</w:t>
            </w:r>
          </w:p>
        </w:tc>
      </w:t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Non-recognition of deferred tax assets on other temporary differences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(40,585)</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(12,185)</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7"/>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Recognition/derecognition of deferred taxes from previous year</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(11,830)</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3,412</w:t>
            </w:r>
          </w:p>
        </w:tc>
      </w:tr>
      <w:tr>
        <w:trPr>
          <w:trHeight w:val="197"/>
        </w:trPr>
        <w:tc>
          <w:tcPr>
            <w:tcW w:w="70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Current tax related to previous year</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0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9,452</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(29,757)</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3,076</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1 - 2023: 23.52% (UK rate), 2022: 19% (UK rate), 2021: 16.5% (Hong Kong rate).</w:t>
      </w:r>
    </w:p>
    <w:p>
      <w:pPr>
        <w:ind w:left="140" w:hanging="138"/>
        <w:spacing w:after="0" w:line="217" w:lineRule="auto"/>
        <w:rPr>
          <w:sz w:val="20"/>
          <w:szCs w:val="20"/>
          <w:color w:val="auto"/>
        </w:rPr>
      </w:pPr>
      <w:r>
        <w:rPr>
          <w:rFonts w:ascii="Times New Roman" w:cs="Times New Roman" w:eastAsia="Times New Roman" w:hAnsi="Times New Roman"/>
          <w:sz w:val="10"/>
          <w:szCs w:val="10"/>
          <w:color w:val="auto"/>
        </w:rPr>
        <w:t>2 - 2023: Main non-taxable income attributable to the fair value changes of the earn-out rights, corresponding tax $104,233. Within the group there are non-deductible expenses such as non-deductible interest expenses in the parent company of corresponding tax $15,300. Other nondeductible items net $69,009 including non-taxable income.</w:t>
      </w:r>
    </w:p>
    <w:p>
      <w:pPr>
        <w:spacing w:after="0"/>
        <w:rPr>
          <w:sz w:val="20"/>
          <w:szCs w:val="20"/>
          <w:color w:val="auto"/>
        </w:rPr>
      </w:pPr>
      <w:r>
        <w:rPr>
          <w:rFonts w:ascii="Times New Roman" w:cs="Times New Roman" w:eastAsia="Times New Roman" w:hAnsi="Times New Roman"/>
          <w:sz w:val="10"/>
          <w:szCs w:val="10"/>
          <w:color w:val="auto"/>
        </w:rPr>
        <w:t>3 - 2022: Primarily attributable to the Listing expense being non-tax deductible, corresponding tax $70,740 and Fair value changes of the Earn-out rights being non-taxable income, corresponding tax $171,393. Other non-tax items net $14,792.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2021 Hong Kong tax rate in the table above is reflective of the Inland Revenue (Amendment) (No. 7) Bill 2017 (the “Bill”), which was passed by the Hong Kong Legislative</w:t>
      </w:r>
    </w:p>
    <w:p>
      <w:pPr>
        <w:spacing w:after="0" w:line="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Council in 2018. The Bill introduces the two-tiered profits tax rates regime, under which, the first 2,000,000 Hong Kong Dollar (“HKD”) of profits of the qualifying group entity will be taxed at 8.25%, and profits above 2,000,000 HKD will be taxed at 16.5%.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regarding the composition of recognized Deferred tax assets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right w:val="single" w:sz="8" w:color="DBDBDB"/>
            </w:tcBorders>
            <w:gridSpan w:val="3"/>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5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6"/>
                <w:szCs w:val="16"/>
                <w:color w:val="auto"/>
              </w:rPr>
            </w:pP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Specification of deferred tax assets</w:t>
            </w:r>
          </w:p>
        </w:tc>
        <w:tc>
          <w:tcPr>
            <w:tcW w:w="1080" w:type="dxa"/>
            <w:vAlign w:val="bottom"/>
            <w:tcBorders>
              <w:bottom w:val="single" w:sz="8" w:color="auto"/>
            </w:tcBorders>
            <w:gridSpan w:val="3"/>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180" w:type="dxa"/>
            <w:vAlign w:val="bottom"/>
            <w:tcBorders>
              <w:bottom w:val="single" w:sz="8" w:color="auto"/>
              <w:right w:val="single" w:sz="8" w:color="DBDBDB"/>
            </w:tcBorders>
            <w:gridSpan w:val="2"/>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500" w:type="dxa"/>
            <w:vAlign w:val="bottom"/>
          </w:tcPr>
          <w:p>
            <w:pPr>
              <w:spacing w:after="0"/>
              <w:rPr>
                <w:sz w:val="16"/>
                <w:szCs w:val="16"/>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losses carried forward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30,131</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47,898</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Right-of use assets</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30,068</w:t>
            </w:r>
          </w:p>
        </w:tc>
        <w:tc>
          <w:tcPr>
            <w:tcW w:w="420" w:type="dxa"/>
            <w:vAlign w:val="bottom"/>
            <w:shd w:val="clear" w:color="auto" w:fill="DBDBDB"/>
          </w:tcPr>
          <w:p>
            <w:pPr>
              <w:spacing w:after="0"/>
              <w:rPr>
                <w:sz w:val="17"/>
                <w:szCs w:val="17"/>
                <w:color w:val="auto"/>
              </w:rPr>
            </w:pPr>
          </w:p>
        </w:tc>
        <w:tc>
          <w:tcPr>
            <w:tcW w:w="76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24,615</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Inventory</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17,400</w:t>
            </w:r>
          </w:p>
        </w:tc>
        <w:tc>
          <w:tcPr>
            <w:tcW w:w="420" w:type="dxa"/>
            <w:vAlign w:val="bottom"/>
            <w:shd w:val="clear" w:color="auto" w:fill="DBDBDB"/>
          </w:tcPr>
          <w:p>
            <w:pPr>
              <w:spacing w:after="0"/>
              <w:rPr>
                <w:sz w:val="17"/>
                <w:szCs w:val="17"/>
                <w:color w:val="auto"/>
              </w:rPr>
            </w:pPr>
          </w:p>
        </w:tc>
        <w:tc>
          <w:tcPr>
            <w:tcW w:w="76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1,117</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Accruals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22,560</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13,808</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Warranty</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10,732</w:t>
            </w:r>
          </w:p>
        </w:tc>
        <w:tc>
          <w:tcPr>
            <w:tcW w:w="420" w:type="dxa"/>
            <w:vAlign w:val="bottom"/>
            <w:shd w:val="clear" w:color="auto" w:fill="DBDBDB"/>
          </w:tcPr>
          <w:p>
            <w:pPr>
              <w:spacing w:after="0"/>
              <w:rPr>
                <w:sz w:val="17"/>
                <w:szCs w:val="17"/>
                <w:color w:val="auto"/>
              </w:rPr>
            </w:pPr>
          </w:p>
        </w:tc>
        <w:tc>
          <w:tcPr>
            <w:tcW w:w="76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7,304</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Tangible assets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Other temporary differences</w:t>
            </w:r>
          </w:p>
        </w:tc>
        <w:tc>
          <w:tcPr>
            <w:tcW w:w="26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4,380</w:t>
            </w:r>
          </w:p>
        </w:tc>
        <w:tc>
          <w:tcPr>
            <w:tcW w:w="4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500" w:type="dxa"/>
            <w:vAlign w:val="bottom"/>
          </w:tcPr>
          <w:p>
            <w:pPr>
              <w:spacing w:after="0"/>
              <w:rPr>
                <w:sz w:val="16"/>
                <w:szCs w:val="16"/>
                <w:color w:val="auto"/>
              </w:rPr>
            </w:pPr>
          </w:p>
        </w:tc>
        <w:tc>
          <w:tcPr>
            <w:tcW w:w="798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Recognized value of deferred tax assets as of December 31</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115,883</w:t>
            </w:r>
          </w:p>
        </w:tc>
        <w:tc>
          <w:tcPr>
            <w:tcW w:w="4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94,742</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00" w:type="dxa"/>
            <w:vAlign w:val="bottom"/>
          </w:tcPr>
          <w:p>
            <w:pPr>
              <w:spacing w:after="0"/>
              <w:rPr>
                <w:sz w:val="16"/>
                <w:szCs w:val="16"/>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Netting of asset and liability tax positions</w:t>
            </w:r>
          </w:p>
        </w:tc>
        <w:tc>
          <w:tcPr>
            <w:tcW w:w="26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gridSpan w:val="2"/>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color w:val="auto"/>
              </w:rPr>
              <w:t>(73,547)</w:t>
            </w:r>
          </w:p>
        </w:tc>
        <w:tc>
          <w:tcPr>
            <w:tcW w:w="7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(83,906)</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00" w:type="dxa"/>
            <w:vAlign w:val="bottom"/>
          </w:tcPr>
          <w:p>
            <w:pPr>
              <w:spacing w:after="0"/>
              <w:rPr>
                <w:sz w:val="16"/>
                <w:szCs w:val="16"/>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assets as of December 31</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42,336</w:t>
            </w:r>
          </w:p>
        </w:tc>
        <w:tc>
          <w:tcPr>
            <w:tcW w:w="4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10,836</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7"/>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Information regarding the composition of recognized Deferred tax liabilities is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7"/>
        </w:trPr>
        <w:tc>
          <w:tcPr>
            <w:tcW w:w="500" w:type="dxa"/>
            <w:vAlign w:val="bottom"/>
            <w:shd w:val="clear" w:color="auto" w:fill="DBDBDB"/>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right w:val="single" w:sz="8" w:color="DBDBDB"/>
            </w:tcBorders>
            <w:gridSpan w:val="3"/>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00" w:type="dxa"/>
            <w:vAlign w:val="bottom"/>
            <w:tcBorders>
              <w:bottom w:val="single" w:sz="8" w:color="auto"/>
            </w:tcBorders>
            <w:shd w:val="clear" w:color="auto" w:fill="DBDBDB"/>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5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6"/>
                <w:szCs w:val="16"/>
                <w:color w:val="auto"/>
              </w:rPr>
            </w:pPr>
          </w:p>
        </w:tc>
        <w:tc>
          <w:tcPr>
            <w:tcW w:w="1260" w:type="dxa"/>
            <w:vAlign w:val="bottom"/>
            <w:gridSpan w:val="2"/>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6"/>
                <w:szCs w:val="16"/>
                <w:color w:val="auto"/>
              </w:rPr>
            </w:pPr>
          </w:p>
        </w:tc>
      </w:tr>
      <w:tr>
        <w:trPr>
          <w:trHeight w:val="197"/>
        </w:trPr>
        <w:tc>
          <w:tcPr>
            <w:tcW w:w="84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Specification of deferred tax liabilities</w:t>
            </w:r>
          </w:p>
        </w:tc>
        <w:tc>
          <w:tcPr>
            <w:tcW w:w="2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gridSpan w:val="2"/>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260" w:type="dxa"/>
            <w:vAlign w:val="bottom"/>
            <w:tcBorders>
              <w:bottom w:val="single" w:sz="8" w:color="auto"/>
            </w:tcBorders>
            <w:gridSpan w:val="2"/>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 w:type="dxa"/>
            <w:vAlign w:val="bottom"/>
          </w:tcPr>
          <w:p>
            <w:pPr>
              <w:spacing w:after="0"/>
              <w:rPr>
                <w:sz w:val="17"/>
                <w:szCs w:val="17"/>
                <w:color w:val="auto"/>
              </w:rPr>
            </w:pPr>
          </w:p>
        </w:tc>
      </w:tr>
      <w:tr>
        <w:trPr>
          <w:trHeight w:val="188"/>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23,825</w:t>
            </w:r>
          </w:p>
        </w:tc>
        <w:tc>
          <w:tcPr>
            <w:tcW w:w="7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39,546</w:t>
            </w:r>
          </w:p>
        </w:tc>
        <w:tc>
          <w:tcPr>
            <w:tcW w:w="20" w:type="dxa"/>
            <w:vAlign w:val="bottom"/>
          </w:tcPr>
          <w:p>
            <w:pPr>
              <w:spacing w:after="0"/>
              <w:rPr>
                <w:sz w:val="16"/>
                <w:szCs w:val="16"/>
                <w:color w:val="auto"/>
              </w:rPr>
            </w:pPr>
          </w:p>
        </w:tc>
      </w:tr>
      <w:tr>
        <w:trPr>
          <w:trHeight w:val="197"/>
        </w:trPr>
        <w:tc>
          <w:tcPr>
            <w:tcW w:w="84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Inventory</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4,360</w:t>
            </w:r>
          </w:p>
        </w:tc>
        <w:tc>
          <w:tcPr>
            <w:tcW w:w="760" w:type="dxa"/>
            <w:vAlign w:val="bottom"/>
            <w:tcBorders>
              <w:right w:val="single" w:sz="8" w:color="DBDBDB"/>
            </w:tcBorders>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19,884</w:t>
            </w:r>
          </w:p>
        </w:tc>
        <w:tc>
          <w:tcPr>
            <w:tcW w:w="20" w:type="dxa"/>
            <w:vAlign w:val="bottom"/>
          </w:tcPr>
          <w:p>
            <w:pPr>
              <w:spacing w:after="0"/>
              <w:rPr>
                <w:sz w:val="17"/>
                <w:szCs w:val="17"/>
                <w:color w:val="auto"/>
              </w:rPr>
            </w:pPr>
          </w:p>
        </w:tc>
      </w:tr>
      <w:tr>
        <w:trPr>
          <w:trHeight w:val="19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Accruals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13,008</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11,393</w:t>
            </w:r>
          </w:p>
        </w:tc>
        <w:tc>
          <w:tcPr>
            <w:tcW w:w="20" w:type="dxa"/>
            <w:vAlign w:val="bottom"/>
          </w:tcPr>
          <w:p>
            <w:pPr>
              <w:spacing w:after="0"/>
              <w:rPr>
                <w:sz w:val="17"/>
                <w:szCs w:val="17"/>
                <w:color w:val="auto"/>
              </w:rPr>
            </w:pPr>
          </w:p>
        </w:tc>
      </w:tr>
      <w:tr>
        <w:trPr>
          <w:trHeight w:val="197"/>
        </w:trPr>
        <w:tc>
          <w:tcPr>
            <w:tcW w:w="84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Warranty</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6,259</w:t>
            </w:r>
          </w:p>
        </w:tc>
        <w:tc>
          <w:tcPr>
            <w:tcW w:w="760" w:type="dxa"/>
            <w:vAlign w:val="bottom"/>
            <w:tcBorders>
              <w:right w:val="single" w:sz="8" w:color="DBDBDB"/>
            </w:tcBorders>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20" w:type="dxa"/>
            <w:vAlign w:val="bottom"/>
          </w:tcPr>
          <w:p>
            <w:pPr>
              <w:spacing w:after="0"/>
              <w:rPr>
                <w:sz w:val="17"/>
                <w:szCs w:val="17"/>
                <w:color w:val="auto"/>
              </w:rPr>
            </w:pPr>
          </w:p>
        </w:tc>
      </w:tr>
      <w:tr>
        <w:trPr>
          <w:trHeight w:val="19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Lease liability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29,430</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24,615</w:t>
            </w:r>
          </w:p>
        </w:tc>
        <w:tc>
          <w:tcPr>
            <w:tcW w:w="20" w:type="dxa"/>
            <w:vAlign w:val="bottom"/>
          </w:tcPr>
          <w:p>
            <w:pPr>
              <w:spacing w:after="0"/>
              <w:rPr>
                <w:sz w:val="17"/>
                <w:szCs w:val="17"/>
                <w:color w:val="auto"/>
              </w:rPr>
            </w:pPr>
          </w:p>
        </w:tc>
      </w:tr>
      <w:tr>
        <w:trPr>
          <w:trHeight w:val="197"/>
        </w:trPr>
        <w:tc>
          <w:tcPr>
            <w:tcW w:w="84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Other temporary differences</w:t>
            </w:r>
          </w:p>
        </w:tc>
        <w:tc>
          <w:tcPr>
            <w:tcW w:w="2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right w:val="single" w:sz="8" w:color="DBDBDB"/>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r>
      <w:tr>
        <w:trPr>
          <w:trHeight w:val="188"/>
        </w:trPr>
        <w:tc>
          <w:tcPr>
            <w:tcW w:w="848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Recognized value of deferred tax liabilities as of December 31</w:t>
            </w:r>
          </w:p>
        </w:tc>
        <w:tc>
          <w:tcPr>
            <w:tcW w:w="2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76,882</w:t>
            </w: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96,376</w:t>
            </w:r>
          </w:p>
        </w:tc>
        <w:tc>
          <w:tcPr>
            <w:tcW w:w="20" w:type="dxa"/>
            <w:vAlign w:val="bottom"/>
          </w:tcPr>
          <w:p>
            <w:pPr>
              <w:spacing w:after="0"/>
              <w:rPr>
                <w:sz w:val="16"/>
                <w:szCs w:val="16"/>
                <w:color w:val="auto"/>
              </w:rPr>
            </w:pPr>
          </w:p>
        </w:tc>
      </w:tr>
      <w:tr>
        <w:trPr>
          <w:trHeight w:val="188"/>
        </w:trPr>
        <w:tc>
          <w:tcPr>
            <w:tcW w:w="84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Netting of asset and liability tax position</w:t>
            </w:r>
          </w:p>
        </w:tc>
        <w:tc>
          <w:tcPr>
            <w:tcW w:w="26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(73,547)</w:t>
            </w:r>
          </w:p>
        </w:tc>
        <w:tc>
          <w:tcPr>
            <w:tcW w:w="760" w:type="dxa"/>
            <w:vAlign w:val="bottom"/>
            <w:tcBorders>
              <w:bottom w:val="single" w:sz="8" w:color="auto"/>
              <w:right w:val="single" w:sz="8" w:color="DBDBDB"/>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89"/>
              </w:rPr>
              <w:t>(83,906)</w:t>
            </w:r>
          </w:p>
        </w:tc>
        <w:tc>
          <w:tcPr>
            <w:tcW w:w="20" w:type="dxa"/>
            <w:vAlign w:val="bottom"/>
          </w:tcPr>
          <w:p>
            <w:pPr>
              <w:spacing w:after="0"/>
              <w:rPr>
                <w:sz w:val="16"/>
                <w:szCs w:val="16"/>
                <w:color w:val="auto"/>
              </w:rPr>
            </w:pPr>
          </w:p>
        </w:tc>
      </w:tr>
      <w:tr>
        <w:trPr>
          <w:trHeight w:val="188"/>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liability as of December 31</w:t>
            </w:r>
          </w:p>
        </w:tc>
        <w:tc>
          <w:tcPr>
            <w:tcW w:w="2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3,335</w:t>
            </w: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12,470</w:t>
            </w:r>
          </w:p>
        </w:tc>
        <w:tc>
          <w:tcPr>
            <w:tcW w:w="20" w:type="dxa"/>
            <w:vAlign w:val="bottom"/>
          </w:tcPr>
          <w:p>
            <w:pPr>
              <w:spacing w:after="0"/>
              <w:rPr>
                <w:sz w:val="16"/>
                <w:szCs w:val="16"/>
                <w:color w:val="auto"/>
              </w:rPr>
            </w:pPr>
          </w:p>
        </w:tc>
      </w:tr>
      <w:tr>
        <w:trPr>
          <w:trHeight w:val="639"/>
        </w:trPr>
        <w:tc>
          <w:tcPr>
            <w:tcW w:w="500" w:type="dxa"/>
            <w:vAlign w:val="bottom"/>
          </w:tcPr>
          <w:p>
            <w:pPr>
              <w:spacing w:after="0"/>
              <w:rPr>
                <w:sz w:val="24"/>
                <w:szCs w:val="24"/>
                <w:color w:val="auto"/>
              </w:rPr>
            </w:pPr>
          </w:p>
        </w:tc>
        <w:tc>
          <w:tcPr>
            <w:tcW w:w="7980" w:type="dxa"/>
            <w:vAlign w:val="bottom"/>
          </w:tcPr>
          <w:p>
            <w:pPr>
              <w:ind w:left="4980"/>
              <w:spacing w:after="0"/>
              <w:rPr>
                <w:sz w:val="20"/>
                <w:szCs w:val="20"/>
                <w:color w:val="auto"/>
              </w:rPr>
            </w:pPr>
            <w:r>
              <w:rPr>
                <w:rFonts w:ascii="Times New Roman" w:cs="Times New Roman" w:eastAsia="Times New Roman" w:hAnsi="Times New Roman"/>
                <w:sz w:val="15"/>
                <w:szCs w:val="15"/>
                <w:color w:val="auto"/>
              </w:rPr>
              <w:t>F-42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500" w:type="dxa"/>
            <w:vAlign w:val="bottom"/>
            <w:tcBorders>
              <w:bottom w:val="single" w:sz="8" w:color="9A9A9A"/>
            </w:tcBorders>
          </w:tcPr>
          <w:p>
            <w:pPr>
              <w:spacing w:after="0"/>
              <w:rPr>
                <w:sz w:val="6"/>
                <w:szCs w:val="6"/>
                <w:color w:val="auto"/>
              </w:rPr>
            </w:pPr>
          </w:p>
        </w:tc>
        <w:tc>
          <w:tcPr>
            <w:tcW w:w="79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3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3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All changes in Deferred tax assets and liabilities have been reported in the Consolidated Statement of Loss and Comprehensive Loss for the years ended December 31, 2023, 2022, and 2021 respectively. Deferred taxes have been calculated by applying the tax rate per jurisdiction.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Information regarding unrecognized Deferred tax assets:</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The Group recognizes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Unrecognized Deferred tax assets are</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reassessed at each reporting date and recognized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As of December 31, 2023 and 2022, the Group made the judgement that there is not sufficient, objectively verifiable evidence available which would demonstrate that it is more likely than not that the Group would be able to realize all Deferred tax assets in the future. This resulted in Deferred tax assets on tax loss carry forwards not being recognized amounting to $698,037 and $469,498 as of December 31, 2023 and 2022,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Tax loss carryforwards through the year of expiration are as follows: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93"/>
        </w:trPr>
        <w:tc>
          <w:tcPr>
            <w:tcW w:w="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gridSpan w:val="3"/>
          </w:tcPr>
          <w:p>
            <w:pPr>
              <w:spacing w:after="0"/>
              <w:rPr>
                <w:sz w:val="8"/>
                <w:szCs w:val="8"/>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100" w:type="dxa"/>
            <w:vAlign w:val="bottom"/>
            <w:tcBorders>
              <w:bottom w:val="single" w:sz="8" w:color="auto"/>
            </w:tcBorders>
            <w:gridSpan w:val="3"/>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5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848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67,221</w:t>
            </w: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174,128</w:t>
            </w: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169,970</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131,524</w:t>
            </w: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109,965</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188,728</w:t>
            </w: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146,459</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215,925</w:t>
            </w:r>
          </w:p>
        </w:tc>
      </w:tr>
      <w:tr>
        <w:trPr>
          <w:trHeight w:val="197"/>
        </w:trPr>
        <w:tc>
          <w:tcPr>
            <w:tcW w:w="500" w:type="dxa"/>
            <w:vAlign w:val="bottom"/>
          </w:tcPr>
          <w:p>
            <w:pPr>
              <w:spacing w:after="0"/>
              <w:rPr>
                <w:sz w:val="17"/>
                <w:szCs w:val="17"/>
                <w:color w:val="auto"/>
              </w:rPr>
            </w:pPr>
          </w:p>
        </w:tc>
        <w:tc>
          <w:tcPr>
            <w:tcW w:w="798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2029 onwards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2,950,102</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1,369,144</w:t>
            </w:r>
          </w:p>
        </w:tc>
      </w:tr>
      <w:tr>
        <w:trPr>
          <w:trHeight w:val="188"/>
        </w:trPr>
        <w:tc>
          <w:tcPr>
            <w:tcW w:w="500" w:type="dxa"/>
            <w:vAlign w:val="bottom"/>
          </w:tcPr>
          <w:p>
            <w:pPr>
              <w:spacing w:after="0"/>
              <w:rPr>
                <w:sz w:val="16"/>
                <w:szCs w:val="16"/>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Tax loss carryforwards as of December 31</w:t>
            </w:r>
          </w:p>
        </w:tc>
        <w:tc>
          <w:tcPr>
            <w:tcW w:w="16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3,376,496</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2,146,670</w:t>
            </w:r>
          </w:p>
        </w:tc>
      </w:tr>
    </w:tbl>
    <w:p>
      <w:pPr>
        <w:spacing w:after="0" w:line="1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The increase in tax losses available for carryforward are mainly attributable to losses incurred as a consequence of the Group scaling its Research and development expense to meet the demands of the growing business. Further, for the year ended December 31, 2022, tax loss carryforwards and other temporary differences of $115,423 were attributable to the Chengdu facility which was held for sale. Refer to </w:t>
      </w:r>
      <w:r>
        <w:rPr>
          <w:rFonts w:ascii="Times New Roman" w:cs="Times New Roman" w:eastAsia="Times New Roman" w:hAnsi="Times New Roman"/>
          <w:sz w:val="15"/>
          <w:szCs w:val="15"/>
          <w:i w:val="1"/>
          <w:iCs w:val="1"/>
          <w:color w:val="auto"/>
        </w:rPr>
        <w:t>Note 28 - Assets held for sale</w:t>
      </w:r>
      <w:r>
        <w:rPr>
          <w:rFonts w:ascii="Times New Roman" w:cs="Times New Roman" w:eastAsia="Times New Roman" w:hAnsi="Times New Roman"/>
          <w:sz w:val="15"/>
          <w:szCs w:val="15"/>
          <w:color w:val="auto"/>
        </w:rPr>
        <w:t xml:space="preserve"> for further details.</w:t>
      </w:r>
    </w:p>
    <w:p>
      <w:pPr>
        <w:spacing w:after="0" w:line="5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As of December 31, 2023, the Group had unused tax losses of $3,376,496, for which no deferred tax asset has been recognized due to unpredictability of future profit streams. As of December 31, 2023 and 2022, tax losses in Sweden of $2,814,699 and $1,573,890, respectively, have an indefinite carryforward period. As of December 31, 2023 and 2022, tax losses in China of $545,618 and $561,601, respectively, have a five-year carryforward period. In addition to the losses referred to above, the Group also had Deferred tax assets</w:t>
      </w:r>
    </w:p>
    <w:p>
      <w:pPr>
        <w:spacing w:after="0"/>
        <w:rPr>
          <w:sz w:val="20"/>
          <w:szCs w:val="20"/>
          <w:color w:val="auto"/>
        </w:rPr>
      </w:pPr>
      <w:r>
        <w:rPr>
          <w:rFonts w:ascii="Times New Roman" w:cs="Times New Roman" w:eastAsia="Times New Roman" w:hAnsi="Times New Roman"/>
          <w:sz w:val="15"/>
          <w:szCs w:val="15"/>
          <w:color w:val="auto"/>
        </w:rPr>
        <w:t>arising on other temporary differences of $423,744 and $251,566 as of December 31, 2023 and 2022, respectively, where no Deferred tax assets have been recognized.</w:t>
      </w:r>
    </w:p>
    <w:p>
      <w:pPr>
        <w:spacing w:after="0" w:line="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The Pillar Two legislation has been enacted or substantively enacted in several of the jurisdictions in which the Polestar Group operates. The legislation will be effective for the Group’s financial year beginning 1 January 2024. The Group is in scope of the enacted or substantively enacted legislation and has performed an assessment of the Group’s potential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exposure to Pillar Two income taxes for the current year ending on 31 December 2023, had the legislation been effective for this year.</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assessment of the potential exposure to Pillar Two income taxes is based on the Group’s consolidated financial statements for the current year. Based on the assessment performed, the transitional safe harbor relief applies for most jurisdictions and in the few jurisdictions where this relief does not apply, the full ETR calculation results in an effective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tax rate above 15%. Management is not currently aware of any circumstances under which this might change. Therefore, the Group does not expect a potential exposure to Pillar Two top-up taxes.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14 - Net loss per share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For the year ended December 31, 2023, potentially dilutive instruments issued were unvested equity-settled payments discussed in </w:t>
      </w:r>
      <w:r>
        <w:rPr>
          <w:rFonts w:ascii="Times New Roman" w:cs="Times New Roman" w:eastAsia="Times New Roman" w:hAnsi="Times New Roman"/>
          <w:sz w:val="15"/>
          <w:szCs w:val="15"/>
          <w:i w:val="1"/>
          <w:iCs w:val="1"/>
          <w:color w:val="auto"/>
        </w:rPr>
        <w:t>Note 8 - Share-based payment.</w:t>
      </w:r>
      <w:r>
        <w:rPr>
          <w:rFonts w:ascii="Times New Roman" w:cs="Times New Roman" w:eastAsia="Times New Roman" w:hAnsi="Times New Roman"/>
          <w:sz w:val="15"/>
          <w:szCs w:val="15"/>
          <w:color w:val="auto"/>
        </w:rPr>
        <w:t xml:space="preserve"> For the year ended</w:t>
      </w:r>
    </w:p>
    <w:p>
      <w:pPr>
        <w:spacing w:after="0" w:line="209" w:lineRule="auto"/>
        <w:rPr>
          <w:sz w:val="20"/>
          <w:szCs w:val="20"/>
          <w:color w:val="auto"/>
        </w:rPr>
      </w:pPr>
      <w:r>
        <w:rPr>
          <w:rFonts w:ascii="Times New Roman" w:cs="Times New Roman" w:eastAsia="Times New Roman" w:hAnsi="Times New Roman"/>
          <w:sz w:val="15"/>
          <w:szCs w:val="15"/>
          <w:color w:val="auto"/>
        </w:rPr>
        <w:t xml:space="preserve">December 31, 2022, potentially dilutive instruments issued were the Class C Shares and the earn-out to the Former Parent related to the Closing of the BCA discussed in </w:t>
      </w:r>
      <w:r>
        <w:rPr>
          <w:rFonts w:ascii="Times New Roman" w:cs="Times New Roman" w:eastAsia="Times New Roman" w:hAnsi="Times New Roman"/>
          <w:sz w:val="15"/>
          <w:szCs w:val="15"/>
          <w:i w:val="1"/>
          <w:iCs w:val="1"/>
          <w:color w:val="auto"/>
        </w:rPr>
        <w:t>Note 18 -</w:t>
      </w:r>
    </w:p>
    <w:p>
      <w:pPr>
        <w:spacing w:after="0" w:line="225" w:lineRule="auto"/>
        <w:rPr>
          <w:sz w:val="20"/>
          <w:szCs w:val="20"/>
          <w:color w:val="auto"/>
        </w:rPr>
      </w:pPr>
      <w:r>
        <w:rPr>
          <w:rFonts w:ascii="Times New Roman" w:cs="Times New Roman" w:eastAsia="Times New Roman" w:hAnsi="Times New Roman"/>
          <w:sz w:val="15"/>
          <w:szCs w:val="15"/>
          <w:i w:val="1"/>
          <w:iCs w:val="1"/>
          <w:color w:val="auto"/>
        </w:rPr>
        <w:t>Reverse recapitalization</w:t>
      </w:r>
      <w:r>
        <w:rPr>
          <w:rFonts w:ascii="Times New Roman" w:cs="Times New Roman" w:eastAsia="Times New Roman" w:hAnsi="Times New Roman"/>
          <w:sz w:val="15"/>
          <w:szCs w:val="15"/>
          <w:color w:val="auto"/>
        </w:rPr>
        <w:t>, and unvested equity-settled payments discussed in</w:t>
      </w:r>
      <w:r>
        <w:rPr>
          <w:rFonts w:ascii="Times New Roman" w:cs="Times New Roman" w:eastAsia="Times New Roman" w:hAnsi="Times New Roman"/>
          <w:sz w:val="15"/>
          <w:szCs w:val="15"/>
          <w:i w:val="1"/>
          <w:iCs w:val="1"/>
          <w:color w:val="auto"/>
        </w:rPr>
        <w:t xml:space="preserve"> Note 8 - Share-based payment</w:t>
      </w:r>
      <w:r>
        <w:rPr>
          <w:rFonts w:ascii="Times New Roman" w:cs="Times New Roman" w:eastAsia="Times New Roman" w:hAnsi="Times New Roman"/>
          <w:sz w:val="15"/>
          <w:szCs w:val="15"/>
          <w:color w:val="auto"/>
        </w:rPr>
        <w:t>. The Convertible Notes of the Former Parent were the only dilutive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5"/>
          <w:szCs w:val="15"/>
          <w:color w:val="auto"/>
        </w:rPr>
        <w:t>instrument outstanding prior to the reverse recapitalization and were converted to Class A Shares in the Group upon the Closing of the BCA. These financial instruments were excluded from the diluted weighted average number of ordinary shares calculation as their effect would have been anti-dilutive. For the year ended December 31, 2021, 4,306,466 shares issuable upon conversion of the Convertible Notes were excluded from the diluted weighted average number of ordinary shares calculation as their effect would have been anti-dilutive. Dilutive Net loss per share was the same as basic Net loss per share for all periods presented.</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Loss per share for the periods prior to the reverse recapitalization are retrospectively adjusted to reflect the number of equivalent shares issued by the parent to the former parent, based on the number of shares outstanding on the reporting dates multiplied by the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exchange ratio of 8.335. Refer to </w:t>
      </w:r>
      <w:r>
        <w:rPr>
          <w:rFonts w:ascii="Times New Roman" w:cs="Times New Roman" w:eastAsia="Times New Roman" w:hAnsi="Times New Roman"/>
          <w:sz w:val="15"/>
          <w:szCs w:val="15"/>
          <w:i w:val="1"/>
          <w:iCs w:val="1"/>
          <w:color w:val="auto"/>
        </w:rPr>
        <w:t>Note 22 - Equity</w:t>
      </w:r>
      <w:r>
        <w:rPr>
          <w:rFonts w:ascii="Times New Roman" w:cs="Times New Roman" w:eastAsia="Times New Roman" w:hAnsi="Times New Roman"/>
          <w:sz w:val="15"/>
          <w:szCs w:val="15"/>
          <w:color w:val="auto"/>
        </w:rPr>
        <w:t xml:space="preserve"> for further details. The following table presents the computation of basic and diluted Net loss per share for the years ended</w:t>
      </w:r>
    </w:p>
    <w:p>
      <w:pPr>
        <w:spacing w:after="0"/>
        <w:rPr>
          <w:sz w:val="20"/>
          <w:szCs w:val="20"/>
          <w:color w:val="auto"/>
        </w:rPr>
      </w:pPr>
      <w:r>
        <w:rPr>
          <w:rFonts w:ascii="Times New Roman" w:cs="Times New Roman" w:eastAsia="Times New Roman" w:hAnsi="Times New Roman"/>
          <w:sz w:val="15"/>
          <w:szCs w:val="15"/>
          <w:color w:val="auto"/>
        </w:rPr>
        <w:t>December 31, 2023, 2022, and 2021 when applying the exchange ratio:</w:t>
      </w:r>
    </w:p>
    <w:p>
      <w:pPr>
        <w:spacing w:after="0" w:line="115"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6900" w:type="dxa"/>
            <w:vAlign w:val="bottom"/>
            <w:shd w:val="clear" w:color="auto" w:fill="DBDBDB"/>
          </w:tcPr>
          <w:p>
            <w:pPr>
              <w:spacing w:after="0"/>
              <w:rPr>
                <w:sz w:val="17"/>
                <w:szCs w:val="17"/>
                <w:color w:val="auto"/>
              </w:rPr>
            </w:pPr>
          </w:p>
        </w:tc>
        <w:tc>
          <w:tcPr>
            <w:tcW w:w="364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6900" w:type="dxa"/>
            <w:vAlign w:val="bottom"/>
          </w:tcPr>
          <w:p>
            <w:pPr>
              <w:spacing w:after="0"/>
              <w:rPr>
                <w:sz w:val="16"/>
                <w:szCs w:val="16"/>
                <w:color w:val="auto"/>
              </w:rPr>
            </w:pPr>
          </w:p>
        </w:tc>
        <w:tc>
          <w:tcPr>
            <w:tcW w:w="134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2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6900" w:type="dxa"/>
            <w:vAlign w:val="bottom"/>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220" w:type="dxa"/>
            <w:vAlign w:val="bottom"/>
            <w:tcBorders>
              <w:bottom w:val="single" w:sz="8" w:color="auto"/>
            </w:tcBorders>
            <w:shd w:val="clear" w:color="auto" w:fill="DBDBDB"/>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8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6900" w:type="dxa"/>
            <w:vAlign w:val="bottom"/>
          </w:tcPr>
          <w:p>
            <w:pPr>
              <w:spacing w:after="0"/>
              <w:rPr>
                <w:sz w:val="16"/>
                <w:szCs w:val="16"/>
                <w:color w:val="auto"/>
              </w:rPr>
            </w:pPr>
          </w:p>
        </w:tc>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 and B Common Shares</w:t>
            </w:r>
          </w:p>
        </w:tc>
      </w:tr>
      <w:tr>
        <w:trPr>
          <w:trHeight w:val="197"/>
        </w:trPr>
        <w:tc>
          <w:tcPr>
            <w:tcW w:w="69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 common shareholders</w:t>
            </w:r>
          </w:p>
        </w:tc>
        <w:tc>
          <w:tcPr>
            <w:tcW w:w="13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(969,808)</w:t>
            </w:r>
          </w:p>
        </w:tc>
      </w:tr>
      <w:tr>
        <w:trPr>
          <w:trHeight w:val="197"/>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number of common shares outstanding:</w:t>
            </w: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69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Basic and diluted</w:t>
            </w:r>
          </w:p>
        </w:tc>
        <w:tc>
          <w:tcPr>
            <w:tcW w:w="134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2,110,069</w:t>
            </w:r>
          </w:p>
        </w:tc>
        <w:tc>
          <w:tcPr>
            <w:tcW w:w="122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2,027,328</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1,911,580</w:t>
            </w:r>
          </w:p>
        </w:tc>
      </w:tr>
      <w:tr>
        <w:trPr>
          <w:trHeight w:val="197"/>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Net loss per share (in ones):</w:t>
            </w: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69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Basic and diluted</w:t>
            </w:r>
          </w:p>
        </w:tc>
        <w:tc>
          <w:tcPr>
            <w:tcW w:w="13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(0.56)</w:t>
            </w:r>
          </w:p>
        </w:tc>
        <w:tc>
          <w:tcPr>
            <w:tcW w:w="122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(0.24)</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(0.51)</w:t>
            </w:r>
          </w:p>
        </w:tc>
      </w:tr>
    </w:tbl>
    <w:p>
      <w:pPr>
        <w:spacing w:after="0" w:line="13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The following table presents shares that were not included in the calculation of diluted loss per share as their effects would have been antidilutive for the years ended December 31, 2023, 2022, and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shd w:val="clear" w:color="auto" w:fill="DBDBDB"/>
          </w:tcPr>
          <w:p>
            <w:pPr>
              <w:spacing w:after="0"/>
              <w:rPr>
                <w:sz w:val="17"/>
                <w:szCs w:val="17"/>
                <w:color w:val="auto"/>
              </w:rPr>
            </w:pPr>
          </w:p>
        </w:tc>
        <w:tc>
          <w:tcPr>
            <w:tcW w:w="29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780" w:type="dxa"/>
            <w:vAlign w:val="bottom"/>
            <w:tcBorders>
              <w:bottom w:val="single" w:sz="8" w:color="auto"/>
            </w:tcBorders>
            <w:shd w:val="clear" w:color="auto" w:fill="DBDBDB"/>
          </w:tcPr>
          <w:p>
            <w:pPr>
              <w:spacing w:after="0"/>
              <w:rPr>
                <w:sz w:val="17"/>
                <w:szCs w:val="17"/>
                <w:color w:val="auto"/>
              </w:rPr>
            </w:pPr>
          </w:p>
        </w:tc>
      </w:tr>
      <w:tr>
        <w:trPr>
          <w:trHeight w:val="188"/>
        </w:trPr>
        <w:tc>
          <w:tcPr>
            <w:tcW w:w="7500" w:type="dxa"/>
            <w:vAlign w:val="bottom"/>
            <w:tcBorders>
              <w:bottom w:val="single" w:sz="8" w:color="DBDBDB"/>
            </w:tcBorders>
          </w:tcPr>
          <w:p>
            <w:pPr>
              <w:spacing w:after="0"/>
              <w:rPr>
                <w:sz w:val="16"/>
                <w:szCs w:val="16"/>
                <w:color w:val="auto"/>
              </w:rPr>
            </w:pPr>
          </w:p>
        </w:tc>
        <w:tc>
          <w:tcPr>
            <w:tcW w:w="14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188"/>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Earn-out Shares</w:t>
            </w:r>
          </w:p>
        </w:tc>
        <w:tc>
          <w:tcPr>
            <w:tcW w:w="142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158,177,609</w:t>
            </w:r>
          </w:p>
        </w:tc>
        <w:tc>
          <w:tcPr>
            <w:tcW w:w="1540" w:type="dxa"/>
            <w:vAlign w:val="bottom"/>
            <w:shd w:val="clear" w:color="auto" w:fill="DBDBDB"/>
          </w:tcPr>
          <w:p>
            <w:pPr>
              <w:jc w:val="right"/>
              <w:ind w:right="443"/>
              <w:spacing w:after="0"/>
              <w:rPr>
                <w:sz w:val="20"/>
                <w:szCs w:val="20"/>
                <w:color w:val="auto"/>
              </w:rPr>
            </w:pPr>
            <w:r>
              <w:rPr>
                <w:rFonts w:ascii="Times New Roman" w:cs="Times New Roman" w:eastAsia="Times New Roman" w:hAnsi="Times New Roman"/>
                <w:sz w:val="15"/>
                <w:szCs w:val="15"/>
                <w:color w:val="auto"/>
              </w:rPr>
              <w:t>158,177,609</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Class C-1 Shares</w:t>
            </w: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20,499,965</w:t>
            </w:r>
          </w:p>
        </w:tc>
        <w:tc>
          <w:tcPr>
            <w:tcW w:w="154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15,999,965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Class C-2 Shares</w:t>
            </w:r>
          </w:p>
        </w:tc>
        <w:tc>
          <w:tcPr>
            <w:tcW w:w="142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4,500,000</w:t>
            </w:r>
          </w:p>
        </w:tc>
        <w:tc>
          <w:tcPr>
            <w:tcW w:w="1540" w:type="dxa"/>
            <w:vAlign w:val="bottom"/>
            <w:shd w:val="clear" w:color="auto" w:fill="DBDBDB"/>
          </w:tcPr>
          <w:p>
            <w:pPr>
              <w:jc w:val="right"/>
              <w:ind w:right="443"/>
              <w:spacing w:after="0"/>
              <w:rPr>
                <w:sz w:val="20"/>
                <w:szCs w:val="20"/>
                <w:color w:val="auto"/>
              </w:rPr>
            </w:pPr>
            <w:r>
              <w:rPr>
                <w:rFonts w:ascii="Times New Roman" w:cs="Times New Roman" w:eastAsia="Times New Roman" w:hAnsi="Times New Roman"/>
                <w:sz w:val="15"/>
                <w:szCs w:val="15"/>
                <w:color w:val="auto"/>
              </w:rPr>
              <w:t>9,000,000</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PSUs</w:t>
            </w: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1,971,076</w:t>
            </w:r>
          </w:p>
        </w:tc>
        <w:tc>
          <w:tcPr>
            <w:tcW w:w="154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858,821</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RSUs</w:t>
            </w:r>
          </w:p>
        </w:tc>
        <w:tc>
          <w:tcPr>
            <w:tcW w:w="142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762,071</w:t>
            </w:r>
          </w:p>
        </w:tc>
        <w:tc>
          <w:tcPr>
            <w:tcW w:w="1540" w:type="dxa"/>
            <w:vAlign w:val="bottom"/>
            <w:shd w:val="clear" w:color="auto" w:fill="DBDBDB"/>
          </w:tcPr>
          <w:p>
            <w:pPr>
              <w:jc w:val="right"/>
              <w:ind w:right="443"/>
              <w:spacing w:after="0"/>
              <w:rPr>
                <w:sz w:val="20"/>
                <w:szCs w:val="20"/>
                <w:color w:val="auto"/>
              </w:rPr>
            </w:pPr>
            <w:r>
              <w:rPr>
                <w:rFonts w:ascii="Times New Roman" w:cs="Times New Roman" w:eastAsia="Times New Roman" w:hAnsi="Times New Roman"/>
                <w:sz w:val="15"/>
                <w:szCs w:val="15"/>
                <w:color w:val="auto"/>
              </w:rPr>
              <w:t>458,620</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Marketing consulting services agreement</w:t>
            </w: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125,000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Convertible Notes</w:t>
            </w:r>
          </w:p>
        </w:tc>
        <w:tc>
          <w:tcPr>
            <w:tcW w:w="142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DBDBDB"/>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4,306,466</w:t>
            </w:r>
          </w:p>
        </w:tc>
      </w:tr>
      <w:tr>
        <w:trPr>
          <w:trHeight w:val="188"/>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antidilutive shares</w:t>
            </w:r>
          </w:p>
        </w:tc>
        <w:tc>
          <w:tcPr>
            <w:tcW w:w="14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185,910,721</w:t>
            </w:r>
          </w:p>
        </w:tc>
        <w:tc>
          <w:tcPr>
            <w:tcW w:w="15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184,620,015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4,306,466</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15 - Intangible assets and goodwill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depicts the split between Polestar Group's intangible assets, goodwill and trademarks:</w:t>
      </w:r>
    </w:p>
    <w:p>
      <w:pPr>
        <w:spacing w:after="0" w:line="113"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137400" cy="2279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41">
                      <a:extLst>
                        <a:ext uri="{28A0092B-C50C-407E-A947-70E740481C1C}"/>
                      </a:extLst>
                    </a:blip>
                    <a:srcRect/>
                    <a:stretch>
                      <a:fillRect/>
                    </a:stretch>
                  </pic:blipFill>
                  <pic:spPr bwMode="auto">
                    <a:xfrm>
                      <a:off x="0" y="0"/>
                      <a:ext cx="7137400" cy="227965"/>
                    </a:xfrm>
                    <a:prstGeom prst="rect">
                      <a:avLst/>
                    </a:prstGeom>
                    <a:noFill/>
                  </pic:spPr>
                </pic:pic>
              </a:graphicData>
            </a:graphic>
          </wp:anchor>
        </w:drawing>
      </w:r>
    </w:p>
    <w:p>
      <w:pPr>
        <w:ind w:left="954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right w:val="single" w:sz="8" w:color="DBDBDB"/>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1,368,259</w:t>
            </w:r>
          </w:p>
        </w:tc>
        <w:tc>
          <w:tcPr>
            <w:tcW w:w="120" w:type="dxa"/>
            <w:vAlign w:val="bottom"/>
          </w:tcPr>
          <w:p>
            <w:pPr>
              <w:spacing w:after="0"/>
              <w:rPr>
                <w:sz w:val="16"/>
                <w:szCs w:val="16"/>
                <w:color w:val="auto"/>
              </w:rPr>
            </w:pP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1,344,772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Goodwill and trademarks</w:t>
            </w:r>
          </w:p>
        </w:tc>
        <w:tc>
          <w:tcPr>
            <w:tcW w:w="1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right w:val="single" w:sz="8" w:color="DBDBDB"/>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50,448</w:t>
            </w:r>
          </w:p>
        </w:tc>
        <w:tc>
          <w:tcPr>
            <w:tcW w:w="1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48,767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1,418,707</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$1,393,539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were as follows: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7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74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shd w:val="clear" w:color="auto" w:fill="DBDBDB"/>
          </w:tcPr>
          <w:p>
            <w:pPr>
              <w:jc w:val="right"/>
              <w:ind w:right="163"/>
              <w:spacing w:after="0" w:line="155" w:lineRule="exact"/>
              <w:rPr>
                <w:sz w:val="20"/>
                <w:szCs w:val="20"/>
                <w:color w:val="auto"/>
              </w:rPr>
            </w:pPr>
            <w:r>
              <w:rPr>
                <w:rFonts w:ascii="Times New Roman" w:cs="Times New Roman" w:eastAsia="Times New Roman" w:hAnsi="Times New Roman"/>
                <w:sz w:val="15"/>
                <w:szCs w:val="15"/>
                <w:b w:val="1"/>
                <w:bCs w:val="1"/>
                <w:color w:val="auto"/>
              </w:rPr>
              <w:t>Internally</w:t>
            </w:r>
          </w:p>
        </w:tc>
        <w:tc>
          <w:tcPr>
            <w:tcW w:w="2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Software</w:t>
            </w:r>
          </w:p>
        </w:tc>
        <w:tc>
          <w:tcPr>
            <w:tcW w:w="180" w:type="dxa"/>
            <w:vAlign w:val="bottom"/>
            <w:shd w:val="clear" w:color="auto" w:fill="DBDBDB"/>
          </w:tcPr>
          <w:p>
            <w:pPr>
              <w:spacing w:after="0"/>
              <w:rPr>
                <w:sz w:val="13"/>
                <w:szCs w:val="13"/>
                <w:color w:val="auto"/>
              </w:rPr>
            </w:pPr>
          </w:p>
        </w:tc>
        <w:tc>
          <w:tcPr>
            <w:tcW w:w="1100" w:type="dxa"/>
            <w:vAlign w:val="bottom"/>
            <w:tcBorders>
              <w:right w:val="single" w:sz="8" w:color="auto"/>
            </w:tcBorders>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Acquired IP</w:t>
            </w:r>
          </w:p>
        </w:tc>
        <w:tc>
          <w:tcPr>
            <w:tcW w:w="12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04"/>
        </w:trPr>
        <w:tc>
          <w:tcPr>
            <w:tcW w:w="474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developed IP</w:t>
            </w:r>
          </w:p>
        </w:tc>
        <w:tc>
          <w:tcPr>
            <w:tcW w:w="2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right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gridSpan w:val="2"/>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Acquisition cost</w:t>
            </w: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Balance as of January 1, 2022 - (Restated)</w:t>
            </w:r>
          </w:p>
        </w:tc>
        <w:tc>
          <w:tcPr>
            <w:tcW w:w="1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148,648</w:t>
            </w:r>
          </w:p>
        </w:tc>
        <w:tc>
          <w:tcPr>
            <w:tcW w:w="26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2,446</w:t>
            </w:r>
          </w:p>
        </w:tc>
        <w:tc>
          <w:tcPr>
            <w:tcW w:w="180" w:type="dxa"/>
            <w:vAlign w:val="bottom"/>
            <w:shd w:val="clear" w:color="auto" w:fill="DBDBDB"/>
          </w:tcPr>
          <w:p>
            <w:pPr>
              <w:spacing w:after="0"/>
              <w:rPr>
                <w:sz w:val="17"/>
                <w:szCs w:val="17"/>
                <w:color w:val="auto"/>
              </w:rPr>
            </w:pPr>
          </w:p>
        </w:tc>
        <w:tc>
          <w:tcPr>
            <w:tcW w:w="110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1,540,676</w:t>
            </w: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1,691,770</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Additions</w:t>
            </w:r>
            <w:r>
              <w:rPr>
                <w:rFonts w:ascii="Times New Roman" w:cs="Times New Roman" w:eastAsia="Times New Roman" w:hAnsi="Times New Roman"/>
                <w:sz w:val="20"/>
                <w:szCs w:val="20"/>
                <w:color w:val="auto"/>
                <w:vertAlign w:val="superscript"/>
              </w:rPr>
              <w:t>1 -</w:t>
            </w:r>
            <w:r>
              <w:rPr>
                <w:rFonts w:ascii="Times New Roman" w:cs="Times New Roman" w:eastAsia="Times New Roman" w:hAnsi="Times New Roman"/>
                <w:sz w:val="15"/>
                <w:szCs w:val="15"/>
                <w:color w:val="auto"/>
              </w:rPr>
              <w:t xml:space="preserve"> (Restated)</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89,424</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1,039</w:t>
            </w:r>
          </w:p>
        </w:tc>
        <w:tc>
          <w:tcPr>
            <w:tcW w:w="180" w:type="dxa"/>
            <w:vAlign w:val="bottom"/>
          </w:tcPr>
          <w:p>
            <w:pPr>
              <w:spacing w:after="0"/>
              <w:rPr>
                <w:sz w:val="17"/>
                <w:szCs w:val="17"/>
                <w:color w:val="auto"/>
              </w:rPr>
            </w:pPr>
          </w:p>
        </w:tc>
        <w:tc>
          <w:tcPr>
            <w:tcW w:w="110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215,532</w:t>
            </w:r>
          </w:p>
        </w:tc>
        <w:tc>
          <w:tcPr>
            <w:tcW w:w="12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305,995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Derecognition due to program changes</w:t>
            </w:r>
          </w:p>
        </w:tc>
        <w:tc>
          <w:tcPr>
            <w:tcW w:w="1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(10,007)</w:t>
            </w:r>
          </w:p>
        </w:tc>
        <w:tc>
          <w:tcPr>
            <w:tcW w:w="26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10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(10,007)</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 - (Restated)</w:t>
            </w:r>
          </w:p>
        </w:tc>
        <w:tc>
          <w:tcPr>
            <w:tcW w:w="152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(19,099)</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(282)</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(190,359)</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(209,740)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15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208,966</w:t>
            </w:r>
          </w:p>
        </w:tc>
        <w:tc>
          <w:tcPr>
            <w:tcW w:w="26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3,203</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1,565,849</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1,778,018</w:t>
            </w:r>
          </w:p>
        </w:tc>
        <w:tc>
          <w:tcPr>
            <w:tcW w:w="2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line="188" w:lineRule="exact"/>
              <w:rPr>
                <w:sz w:val="20"/>
                <w:szCs w:val="20"/>
                <w:color w:val="auto"/>
              </w:rPr>
            </w:pPr>
            <w:r>
              <w:rPr>
                <w:rFonts w:ascii="Times New Roman" w:cs="Times New Roman" w:eastAsia="Times New Roman" w:hAnsi="Times New Roman"/>
                <w:sz w:val="15"/>
                <w:szCs w:val="15"/>
                <w:color w:val="auto"/>
              </w:rPr>
              <w:t>Additions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 (Restated)</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97,720</w:t>
            </w:r>
          </w:p>
        </w:tc>
        <w:tc>
          <w:tcPr>
            <w:tcW w:w="260" w:type="dxa"/>
            <w:vAlign w:val="bottom"/>
          </w:tcPr>
          <w:p>
            <w:pPr>
              <w:spacing w:after="0"/>
              <w:rPr>
                <w:sz w:val="16"/>
                <w:szCs w:val="16"/>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7,665</w:t>
            </w:r>
          </w:p>
        </w:tc>
        <w:tc>
          <w:tcPr>
            <w:tcW w:w="180" w:type="dxa"/>
            <w:vAlign w:val="bottom"/>
          </w:tcPr>
          <w:p>
            <w:pPr>
              <w:spacing w:after="0"/>
              <w:rPr>
                <w:sz w:val="16"/>
                <w:szCs w:val="16"/>
                <w:color w:val="auto"/>
              </w:rPr>
            </w:pPr>
          </w:p>
        </w:tc>
        <w:tc>
          <w:tcPr>
            <w:tcW w:w="110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241,048</w:t>
            </w:r>
          </w:p>
        </w:tc>
        <w:tc>
          <w:tcPr>
            <w:tcW w:w="120" w:type="dxa"/>
            <w:vAlign w:val="bottom"/>
          </w:tcPr>
          <w:p>
            <w:pPr>
              <w:spacing w:after="0"/>
              <w:rPr>
                <w:sz w:val="16"/>
                <w:szCs w:val="16"/>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346,433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Derecognition due to program changes</w:t>
            </w:r>
          </w:p>
        </w:tc>
        <w:tc>
          <w:tcPr>
            <w:tcW w:w="1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(8,341)</w:t>
            </w:r>
          </w:p>
        </w:tc>
        <w:tc>
          <w:tcPr>
            <w:tcW w:w="26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10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(8,341)</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Divestments and disposals</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(12,347)</w:t>
            </w:r>
          </w:p>
        </w:tc>
        <w:tc>
          <w:tcPr>
            <w:tcW w:w="12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 - (Restated)</w:t>
            </w:r>
          </w:p>
        </w:tc>
        <w:tc>
          <w:tcPr>
            <w:tcW w:w="152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12,105</w:t>
            </w:r>
          </w:p>
        </w:tc>
        <w:tc>
          <w:tcPr>
            <w:tcW w:w="2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512</w:t>
            </w:r>
          </w:p>
        </w:tc>
        <w:tc>
          <w:tcPr>
            <w:tcW w:w="1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41,937</w:t>
            </w:r>
          </w:p>
        </w:tc>
        <w:tc>
          <w:tcPr>
            <w:tcW w:w="1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54,554</w:t>
            </w:r>
          </w:p>
        </w:tc>
        <w:tc>
          <w:tcPr>
            <w:tcW w:w="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152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310,450</w:t>
            </w: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11,380</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1,836,487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2,158,317</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Accumulated amortization and impairment</w:t>
            </w:r>
          </w:p>
        </w:tc>
        <w:tc>
          <w:tcPr>
            <w:tcW w:w="15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100" w:type="dxa"/>
            <w:vAlign w:val="bottom"/>
            <w:tcBorders>
              <w:right w:val="single" w:sz="8" w:color="auto"/>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4740" w:type="dxa"/>
            <w:vAlign w:val="bottom"/>
          </w:tcPr>
          <w:p>
            <w:pPr>
              <w:spacing w:after="0"/>
              <w:rPr>
                <w:sz w:val="24"/>
                <w:szCs w:val="24"/>
                <w:color w:val="auto"/>
              </w:rPr>
            </w:pPr>
          </w:p>
        </w:tc>
        <w:tc>
          <w:tcPr>
            <w:tcW w:w="1660" w:type="dxa"/>
            <w:vAlign w:val="bottom"/>
            <w:gridSpan w:val="2"/>
          </w:tcPr>
          <w:p>
            <w:pPr>
              <w:jc w:val="right"/>
              <w:ind w:right="563"/>
              <w:spacing w:after="0"/>
              <w:rPr>
                <w:sz w:val="20"/>
                <w:szCs w:val="20"/>
                <w:color w:val="auto"/>
              </w:rPr>
            </w:pPr>
            <w:r>
              <w:rPr>
                <w:rFonts w:ascii="Times New Roman" w:cs="Times New Roman" w:eastAsia="Times New Roman" w:hAnsi="Times New Roman"/>
                <w:sz w:val="15"/>
                <w:szCs w:val="15"/>
                <w:color w:val="auto"/>
              </w:rPr>
              <w:t>F-44</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74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3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(15,659)</w:t>
            </w:r>
          </w:p>
        </w:tc>
        <w:tc>
          <w:tcPr>
            <w:tcW w:w="42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(433)</w:t>
            </w:r>
          </w:p>
        </w:tc>
        <w:tc>
          <w:tcPr>
            <w:tcW w:w="320" w:type="dxa"/>
            <w:vAlign w:val="bottom"/>
          </w:tcPr>
          <w:p>
            <w:pPr>
              <w:spacing w:after="0"/>
              <w:rPr>
                <w:sz w:val="17"/>
                <w:szCs w:val="17"/>
                <w:color w:val="auto"/>
              </w:rPr>
            </w:pPr>
          </w:p>
        </w:tc>
        <w:tc>
          <w:tcPr>
            <w:tcW w:w="96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(358,471)</w:t>
            </w:r>
          </w:p>
        </w:tc>
        <w:tc>
          <w:tcPr>
            <w:tcW w:w="30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(374,563)</w:t>
            </w:r>
          </w:p>
        </w:tc>
      </w:tr>
      <w:tr>
        <w:trPr>
          <w:trHeight w:val="197"/>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Amortization expense - (Restated)</w:t>
            </w:r>
          </w:p>
        </w:tc>
        <w:tc>
          <w:tcPr>
            <w:tcW w:w="34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(1,211)</w:t>
            </w: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(275)</w:t>
            </w:r>
          </w:p>
        </w:tc>
        <w:tc>
          <w:tcPr>
            <w:tcW w:w="32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(95,722)</w:t>
            </w:r>
          </w:p>
        </w:tc>
        <w:tc>
          <w:tcPr>
            <w:tcW w:w="3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(97,208)</w:t>
            </w:r>
          </w:p>
        </w:tc>
      </w:tr>
      <w:tr>
        <w:trPr>
          <w:trHeight w:val="197"/>
        </w:trPr>
        <w:tc>
          <w:tcPr>
            <w:tcW w:w="62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capitalized into inventory - (Restated)</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(5,882)</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(5,882)</w:t>
            </w:r>
          </w:p>
        </w:tc>
      </w:tr>
      <w:tr>
        <w:trPr>
          <w:trHeight w:val="197"/>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3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2,014</w:t>
            </w:r>
          </w:p>
        </w:tc>
        <w:tc>
          <w:tcPr>
            <w:tcW w:w="4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42,358</w:t>
            </w:r>
          </w:p>
        </w:tc>
        <w:tc>
          <w:tcPr>
            <w:tcW w:w="3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44,407</w:t>
            </w:r>
          </w:p>
        </w:tc>
      </w:tr>
      <w:tr>
        <w:trPr>
          <w:trHeight w:val="188"/>
        </w:trPr>
        <w:tc>
          <w:tcPr>
            <w:tcW w:w="62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(14,856)</w:t>
            </w:r>
          </w:p>
        </w:tc>
        <w:tc>
          <w:tcPr>
            <w:tcW w:w="4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(673)</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(417,717)</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(433,246)</w:t>
            </w:r>
          </w:p>
        </w:tc>
      </w:tr>
      <w:tr>
        <w:trPr>
          <w:trHeight w:val="188"/>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Amortization expense - (Restated)</w:t>
            </w:r>
          </w:p>
        </w:tc>
        <w:tc>
          <w:tcPr>
            <w:tcW w:w="34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(748)</w:t>
            </w:r>
          </w:p>
        </w:tc>
        <w:tc>
          <w:tcPr>
            <w:tcW w:w="42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(812)</w:t>
            </w:r>
          </w:p>
        </w:tc>
        <w:tc>
          <w:tcPr>
            <w:tcW w:w="320" w:type="dxa"/>
            <w:vAlign w:val="bottom"/>
            <w:shd w:val="clear" w:color="auto" w:fill="DBDBDB"/>
          </w:tcPr>
          <w:p>
            <w:pPr>
              <w:spacing w:after="0"/>
              <w:rPr>
                <w:sz w:val="16"/>
                <w:szCs w:val="16"/>
                <w:color w:val="auto"/>
              </w:rPr>
            </w:pPr>
          </w:p>
        </w:tc>
        <w:tc>
          <w:tcPr>
            <w:tcW w:w="96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(77,895)</w:t>
            </w:r>
          </w:p>
        </w:tc>
        <w:tc>
          <w:tcPr>
            <w:tcW w:w="30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(79,455)</w:t>
            </w:r>
          </w:p>
        </w:tc>
      </w:tr>
      <w:tr>
        <w:trPr>
          <w:trHeight w:val="197"/>
        </w:trPr>
        <w:tc>
          <w:tcPr>
            <w:tcW w:w="62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capitalized into inventory - (Restated)</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(27,580)</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(27,580)</w:t>
            </w:r>
          </w:p>
        </w:tc>
      </w:tr>
      <w:tr>
        <w:trPr>
          <w:trHeight w:val="197"/>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Divestments and disposals</w:t>
            </w:r>
          </w:p>
        </w:tc>
        <w:tc>
          <w:tcPr>
            <w:tcW w:w="34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DBDBDB"/>
          </w:tcPr>
          <w:p>
            <w:pPr>
              <w:spacing w:after="0"/>
              <w:rPr>
                <w:sz w:val="17"/>
                <w:szCs w:val="17"/>
                <w:color w:val="auto"/>
              </w:rPr>
            </w:pPr>
          </w:p>
        </w:tc>
        <w:tc>
          <w:tcPr>
            <w:tcW w:w="960" w:type="dxa"/>
            <w:vAlign w:val="bottom"/>
            <w:tcBorders>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12,297</w:t>
            </w:r>
          </w:p>
        </w:tc>
        <w:tc>
          <w:tcPr>
            <w:tcW w:w="3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12,297</w:t>
            </w:r>
          </w:p>
        </w:tc>
      </w:tr>
      <w:tr>
        <w:trPr>
          <w:trHeight w:val="197"/>
        </w:trPr>
        <w:tc>
          <w:tcPr>
            <w:tcW w:w="626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Impairment loss</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 (Restated)</w:t>
            </w:r>
          </w:p>
        </w:tc>
        <w:tc>
          <w:tcPr>
            <w:tcW w:w="3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(2,588)</w:t>
            </w:r>
          </w:p>
        </w:tc>
        <w:tc>
          <w:tcPr>
            <w:tcW w:w="42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96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(246,775)</w:t>
            </w:r>
          </w:p>
        </w:tc>
        <w:tc>
          <w:tcPr>
            <w:tcW w:w="30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(249,363)</w:t>
            </w:r>
          </w:p>
        </w:tc>
      </w:tr>
      <w:tr>
        <w:trPr>
          <w:trHeight w:val="217"/>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3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(597)</w:t>
            </w:r>
          </w:p>
        </w:tc>
        <w:tc>
          <w:tcPr>
            <w:tcW w:w="42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(63)</w:t>
            </w:r>
          </w:p>
        </w:tc>
        <w:tc>
          <w:tcPr>
            <w:tcW w:w="3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(12,051)</w:t>
            </w:r>
          </w:p>
        </w:tc>
        <w:tc>
          <w:tcPr>
            <w:tcW w:w="3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(12,711)</w:t>
            </w:r>
          </w:p>
        </w:tc>
      </w:tr>
      <w:tr>
        <w:trPr>
          <w:trHeight w:val="168"/>
        </w:trPr>
        <w:tc>
          <w:tcPr>
            <w:tcW w:w="6260" w:type="dxa"/>
            <w:vAlign w:val="bottom"/>
            <w:tcBorders>
              <w:bottom w:val="single" w:sz="8" w:color="DBDBDB"/>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340" w:type="dxa"/>
            <w:vAlign w:val="bottom"/>
            <w:tcBorders>
              <w:bottom w:val="single" w:sz="8" w:color="auto"/>
            </w:tcBorders>
          </w:tcPr>
          <w:p>
            <w:pPr>
              <w:jc w:val="right"/>
              <w:ind w:right="18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rPr>
              <w:t>(18,789)</w:t>
            </w:r>
          </w:p>
        </w:tc>
        <w:tc>
          <w:tcPr>
            <w:tcW w:w="420" w:type="dxa"/>
            <w:vAlign w:val="bottom"/>
            <w:tcBorders>
              <w:bottom w:val="single" w:sz="8" w:color="auto"/>
            </w:tcBorders>
          </w:tcPr>
          <w:p>
            <w:pPr>
              <w:jc w:val="right"/>
              <w:ind w:right="22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ind w:right="23"/>
              <w:spacing w:after="0" w:line="169" w:lineRule="exact"/>
              <w:rPr>
                <w:sz w:val="20"/>
                <w:szCs w:val="20"/>
                <w:color w:val="auto"/>
              </w:rPr>
            </w:pPr>
            <w:r>
              <w:rPr>
                <w:rFonts w:ascii="Times New Roman" w:cs="Times New Roman" w:eastAsia="Times New Roman" w:hAnsi="Times New Roman"/>
                <w:sz w:val="15"/>
                <w:szCs w:val="15"/>
                <w:b w:val="1"/>
                <w:bCs w:val="1"/>
                <w:color w:val="auto"/>
              </w:rPr>
              <w:t>(1,548)</w:t>
            </w:r>
          </w:p>
        </w:tc>
        <w:tc>
          <w:tcPr>
            <w:tcW w:w="320" w:type="dxa"/>
            <w:vAlign w:val="bottom"/>
            <w:tcBorders>
              <w:bottom w:val="single" w:sz="8" w:color="auto"/>
            </w:tcBorders>
          </w:tcPr>
          <w:p>
            <w:pPr>
              <w:jc w:val="right"/>
              <w:ind w:right="14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tcPr>
          <w:p>
            <w:pPr>
              <w:jc w:val="right"/>
              <w:ind w:right="43"/>
              <w:spacing w:after="0" w:line="169" w:lineRule="exact"/>
              <w:rPr>
                <w:sz w:val="20"/>
                <w:szCs w:val="20"/>
                <w:color w:val="auto"/>
              </w:rPr>
            </w:pPr>
            <w:r>
              <w:rPr>
                <w:rFonts w:ascii="Times New Roman" w:cs="Times New Roman" w:eastAsia="Times New Roman" w:hAnsi="Times New Roman"/>
                <w:sz w:val="15"/>
                <w:szCs w:val="15"/>
                <w:b w:val="1"/>
                <w:bCs w:val="1"/>
                <w:color w:val="auto"/>
              </w:rPr>
              <w:t>(769,721)</w:t>
            </w:r>
          </w:p>
        </w:tc>
        <w:tc>
          <w:tcPr>
            <w:tcW w:w="300" w:type="dxa"/>
            <w:vAlign w:val="bottom"/>
            <w:tcBorders>
              <w:bottom w:val="single" w:sz="8" w:color="auto"/>
            </w:tcBorders>
          </w:tcPr>
          <w:p>
            <w:pPr>
              <w:jc w:val="right"/>
              <w:ind w:right="14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ind w:right="43"/>
              <w:spacing w:after="0" w:line="169" w:lineRule="exact"/>
              <w:rPr>
                <w:sz w:val="20"/>
                <w:szCs w:val="20"/>
                <w:color w:val="auto"/>
              </w:rPr>
            </w:pPr>
            <w:r>
              <w:rPr>
                <w:rFonts w:ascii="Times New Roman" w:cs="Times New Roman" w:eastAsia="Times New Roman" w:hAnsi="Times New Roman"/>
                <w:sz w:val="15"/>
                <w:szCs w:val="15"/>
                <w:b w:val="1"/>
                <w:bCs w:val="1"/>
                <w:color w:val="auto"/>
              </w:rPr>
              <w:t>(790,058)</w:t>
            </w:r>
          </w:p>
        </w:tc>
      </w:tr>
      <w:tr>
        <w:trPr>
          <w:trHeight w:val="200"/>
        </w:trPr>
        <w:tc>
          <w:tcPr>
            <w:tcW w:w="626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right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r>
      <w:tr>
        <w:trPr>
          <w:trHeight w:val="188"/>
        </w:trPr>
        <w:tc>
          <w:tcPr>
            <w:tcW w:w="62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Carrying amount as of December 31, 2022 - (Restated)</w:t>
            </w: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194,110</w:t>
            </w:r>
          </w:p>
        </w:tc>
        <w:tc>
          <w:tcPr>
            <w:tcW w:w="4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2,530</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1,148,132</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1,344,772</w:t>
            </w:r>
          </w:p>
        </w:tc>
      </w:tr>
      <w:tr>
        <w:trPr>
          <w:trHeight w:val="188"/>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Carrying amount as of December 31, 2023 - (Restated)</w:t>
            </w:r>
          </w:p>
        </w:tc>
        <w:tc>
          <w:tcPr>
            <w:tcW w:w="34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291,661</w:t>
            </w: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9,832</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1,066,766</w:t>
            </w:r>
          </w:p>
        </w:tc>
        <w:tc>
          <w:tcPr>
            <w:tcW w:w="30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1,368,259</w:t>
            </w:r>
          </w:p>
        </w:tc>
      </w:tr>
    </w:tbl>
    <w:p>
      <w:pPr>
        <w:spacing w:after="0" w:line="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0"/>
          <w:szCs w:val="10"/>
          <w:color w:val="auto"/>
        </w:rPr>
        <w:t>1 - Of $346,433 in additions for the year ended December 31, 2023, $217,861 has been settled in cash. These $217,861 are included in the $435,584 cash used for investing activities related to additions to intangible assets, and the remaining $217,723 relates to decreases in Trade payables - related parties from prior years which were settled in cash during the year ended December 31, 2023. Of $305,995 in additions for the year ended December 31, 2022, $237,778 was settled in cash and included in cash used for investing activities related to additions to</w:t>
      </w:r>
    </w:p>
    <w:p>
      <w:pPr>
        <w:spacing w:after="0" w:line="219" w:lineRule="auto"/>
        <w:rPr>
          <w:sz w:val="20"/>
          <w:szCs w:val="20"/>
          <w:color w:val="auto"/>
        </w:rPr>
      </w:pPr>
      <w:r>
        <w:rPr>
          <w:rFonts w:ascii="Times New Roman" w:cs="Times New Roman" w:eastAsia="Times New Roman" w:hAnsi="Times New Roman"/>
          <w:sz w:val="10"/>
          <w:szCs w:val="10"/>
          <w:color w:val="auto"/>
        </w:rPr>
        <w:t>intangible assets.</w:t>
      </w:r>
    </w:p>
    <w:p>
      <w:pPr>
        <w:spacing w:after="0"/>
        <w:rPr>
          <w:sz w:val="20"/>
          <w:szCs w:val="20"/>
          <w:color w:val="auto"/>
        </w:rPr>
      </w:pPr>
      <w:r>
        <w:rPr>
          <w:rFonts w:ascii="Times New Roman" w:cs="Times New Roman" w:eastAsia="Times New Roman" w:hAnsi="Times New Roman"/>
          <w:sz w:val="10"/>
          <w:szCs w:val="10"/>
          <w:color w:val="auto"/>
        </w:rPr>
        <w:t>2 - For the year ended December 31, 2023, Polestar 2 CGU was assessed for impairment, and impairment losses amounting to $249,363 were recognized related to Intellectual property, where 100% of the amount was recognized within Cost of sales.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year ended December 31, 2023, additions to internally developed IP are primarily related to the Polestar 5 and various other internal programs, such as model year changes.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 xml:space="preserve">Additions of acquired IP during the year ended December 31, 2023 were related to acquisitions of the Polestar 2 and Polestar 3 IP from Volvo Cars and the acquisition of IP related to the Polestar 4 from Geely.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further details.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Changes to the carrying amount of goodwill and trademarks were as follows:</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82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right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Trademarks</w:t>
            </w:r>
          </w:p>
        </w:tc>
        <w:tc>
          <w:tcPr>
            <w:tcW w:w="2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8"/>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53,282</w:t>
            </w:r>
          </w:p>
        </w:tc>
        <w:tc>
          <w:tcPr>
            <w:tcW w:w="180" w:type="dxa"/>
            <w:vAlign w:val="bottom"/>
          </w:tcPr>
          <w:p>
            <w:pPr>
              <w:spacing w:after="0"/>
              <w:rPr>
                <w:sz w:val="16"/>
                <w:szCs w:val="16"/>
                <w:color w:val="auto"/>
              </w:rPr>
            </w:pPr>
          </w:p>
        </w:tc>
        <w:tc>
          <w:tcPr>
            <w:tcW w:w="102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2,647</w:t>
            </w:r>
          </w:p>
        </w:tc>
        <w:tc>
          <w:tcPr>
            <w:tcW w:w="240" w:type="dxa"/>
            <w:vAlign w:val="bottom"/>
          </w:tcPr>
          <w:p>
            <w:pPr>
              <w:spacing w:after="0"/>
              <w:rPr>
                <w:sz w:val="16"/>
                <w:szCs w:val="16"/>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55,929</w:t>
            </w:r>
          </w:p>
        </w:tc>
      </w:tr>
      <w:tr>
        <w:trPr>
          <w:trHeight w:val="197"/>
        </w:trPr>
        <w:tc>
          <w:tcPr>
            <w:tcW w:w="68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8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(6,822)</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(340)</w:t>
            </w:r>
          </w:p>
        </w:tc>
        <w:tc>
          <w:tcPr>
            <w:tcW w:w="2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(7,162)</w:t>
            </w:r>
          </w:p>
        </w:tc>
      </w:tr>
      <w:tr>
        <w:trPr>
          <w:trHeight w:val="188"/>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46,460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2,307</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48,767</w:t>
            </w:r>
          </w:p>
        </w:tc>
      </w:tr>
      <w:tr>
        <w:trPr>
          <w:trHeight w:val="197"/>
        </w:trPr>
        <w:tc>
          <w:tcPr>
            <w:tcW w:w="68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18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1,601</w:t>
            </w: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right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80</w:t>
            </w:r>
          </w:p>
        </w:tc>
        <w:tc>
          <w:tcPr>
            <w:tcW w:w="2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1,681</w:t>
            </w:r>
          </w:p>
        </w:tc>
      </w:tr>
      <w:tr>
        <w:trPr>
          <w:trHeight w:val="188"/>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48,061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2,387</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50,448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16 - Property, plant and equipment</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As of December 31, 2023 and 2022, PPE has been reported in the Consolidated Statement of Financial Position with carrying amounts of $476,039 and $352,340, respectively. Of these amounts, $88,322 and $59,254 is related to ROU assets for leased buildings and land, and $10,680 and $35,307 is related to ROU assets for leased machinery and equipment, respectively. Refer to </w:t>
      </w:r>
      <w:r>
        <w:rPr>
          <w:rFonts w:ascii="Times New Roman" w:cs="Times New Roman" w:eastAsia="Times New Roman" w:hAnsi="Times New Roman"/>
          <w:sz w:val="15"/>
          <w:szCs w:val="15"/>
          <w:i w:val="1"/>
          <w:iCs w:val="1"/>
          <w:color w:val="auto"/>
        </w:rPr>
        <w:t>Note 12 - Leases</w:t>
      </w:r>
      <w:r>
        <w:rPr>
          <w:rFonts w:ascii="Times New Roman" w:cs="Times New Roman" w:eastAsia="Times New Roman" w:hAnsi="Times New Roman"/>
          <w:sz w:val="15"/>
          <w:szCs w:val="15"/>
          <w:color w:val="auto"/>
        </w:rPr>
        <w:t xml:space="preserve"> for more details on the Group's ROU assets and operating leases.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76200</wp:posOffset>
            </wp:positionV>
            <wp:extent cx="3175635" cy="17494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44">
                      <a:extLst>
                        <a:ext uri="{28A0092B-C50C-407E-A947-70E740481C1C}"/>
                      </a:extLst>
                    </a:blip>
                    <a:srcRect/>
                    <a:stretch>
                      <a:fillRect/>
                    </a:stretch>
                  </pic:blipFill>
                  <pic:spPr bwMode="auto">
                    <a:xfrm>
                      <a:off x="0" y="0"/>
                      <a:ext cx="3175635" cy="174942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shd w:val="clear" w:color="auto" w:fill="DBDBDB"/>
          </w:tcPr>
          <w:p>
            <w:pPr>
              <w:spacing w:after="0"/>
              <w:rPr>
                <w:sz w:val="15"/>
                <w:szCs w:val="15"/>
                <w:color w:val="auto"/>
              </w:rPr>
            </w:pPr>
          </w:p>
        </w:tc>
        <w:tc>
          <w:tcPr>
            <w:tcW w:w="12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Buildings and</w:t>
            </w:r>
          </w:p>
        </w:tc>
        <w:tc>
          <w:tcPr>
            <w:tcW w:w="12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Machinery and</w:t>
            </w:r>
          </w:p>
        </w:tc>
        <w:tc>
          <w:tcPr>
            <w:tcW w:w="148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Machinery under</w:t>
            </w:r>
          </w:p>
        </w:tc>
        <w:tc>
          <w:tcPr>
            <w:tcW w:w="1040" w:type="dxa"/>
            <w:vAlign w:val="bottom"/>
            <w:vMerge w:val="restart"/>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8"/>
        </w:trPr>
        <w:tc>
          <w:tcPr>
            <w:tcW w:w="6240" w:type="dxa"/>
            <w:vAlign w:val="bottom"/>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land</w:t>
            </w:r>
          </w:p>
        </w:tc>
        <w:tc>
          <w:tcPr>
            <w:tcW w:w="122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equipment</w:t>
            </w:r>
          </w:p>
        </w:tc>
        <w:tc>
          <w:tcPr>
            <w:tcW w:w="1480" w:type="dxa"/>
            <w:vAlign w:val="bottom"/>
            <w:tcBorders>
              <w:bottom w:val="single" w:sz="8" w:color="auto"/>
            </w:tcBorders>
            <w:shd w:val="clear" w:color="auto" w:fill="DBDBDB"/>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development</w:t>
            </w:r>
          </w:p>
        </w:tc>
        <w:tc>
          <w:tcPr>
            <w:tcW w:w="104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Acquisition cost</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Balance as of January 1, 2022 - (Restated)</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52,230</w:t>
            </w:r>
          </w:p>
        </w:tc>
        <w:tc>
          <w:tcPr>
            <w:tcW w:w="12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137,476</w:t>
            </w:r>
          </w:p>
        </w:tc>
        <w:tc>
          <w:tcPr>
            <w:tcW w:w="1480" w:type="dxa"/>
            <w:vAlign w:val="bottom"/>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color w:val="auto"/>
              </w:rPr>
              <w:t>71,359</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261,065</w:t>
            </w:r>
          </w:p>
        </w:tc>
        <w:tc>
          <w:tcPr>
            <w:tcW w:w="0" w:type="dxa"/>
            <w:vAlign w:val="bottom"/>
          </w:tcPr>
          <w:p>
            <w:pPr>
              <w:spacing w:after="0"/>
              <w:rPr>
                <w:sz w:val="1"/>
                <w:szCs w:val="1"/>
                <w:color w:val="auto"/>
              </w:rPr>
            </w:pPr>
          </w:p>
        </w:tc>
      </w:tr>
      <w:tr>
        <w:trPr>
          <w:trHeight w:val="197"/>
        </w:trPr>
        <w:tc>
          <w:tcPr>
            <w:tcW w:w="6240" w:type="dxa"/>
            <w:vAlign w:val="bottom"/>
          </w:tcPr>
          <w:p>
            <w:pPr>
              <w:ind w:left="20"/>
              <w:spacing w:after="0" w:line="197" w:lineRule="exact"/>
              <w:rPr>
                <w:sz w:val="20"/>
                <w:szCs w:val="20"/>
                <w:color w:val="auto"/>
              </w:rPr>
            </w:pPr>
            <w:r>
              <w:rPr>
                <w:rFonts w:ascii="Times New Roman" w:cs="Times New Roman" w:eastAsia="Times New Roman" w:hAnsi="Times New Roman"/>
                <w:sz w:val="15"/>
                <w:szCs w:val="15"/>
                <w:color w:val="auto"/>
              </w:rPr>
              <w:t>Additions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 (Restated)</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2,789</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13,434</w:t>
            </w:r>
          </w:p>
        </w:tc>
        <w:tc>
          <w:tcPr>
            <w:tcW w:w="148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94,281</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110,504</w:t>
            </w:r>
          </w:p>
        </w:tc>
        <w:tc>
          <w:tcPr>
            <w:tcW w:w="0" w:type="dxa"/>
            <w:vAlign w:val="bottom"/>
          </w:tcPr>
          <w:p>
            <w:pPr>
              <w:spacing w:after="0"/>
              <w:rPr>
                <w:sz w:val="1"/>
                <w:szCs w:val="1"/>
                <w:color w:val="auto"/>
              </w:rPr>
            </w:pPr>
          </w:p>
        </w:tc>
      </w:tr>
      <w:tr>
        <w:trPr>
          <w:trHeight w:val="19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Divestments and disposals</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(604)</w:t>
            </w:r>
          </w:p>
        </w:tc>
        <w:tc>
          <w:tcPr>
            <w:tcW w:w="12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(919)</w:t>
            </w:r>
          </w:p>
        </w:tc>
        <w:tc>
          <w:tcPr>
            <w:tcW w:w="1480" w:type="dxa"/>
            <w:vAlign w:val="bottom"/>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(1,523)</w:t>
            </w:r>
          </w:p>
        </w:tc>
        <w:tc>
          <w:tcPr>
            <w:tcW w:w="0" w:type="dxa"/>
            <w:vAlign w:val="bottom"/>
          </w:tcPr>
          <w:p>
            <w:pPr>
              <w:spacing w:after="0"/>
              <w:rPr>
                <w:sz w:val="1"/>
                <w:szCs w:val="1"/>
                <w:color w:val="auto"/>
              </w:rPr>
            </w:pP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Reclassifications²</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(1,976)</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53,477</w:t>
            </w:r>
          </w:p>
        </w:tc>
        <w:tc>
          <w:tcPr>
            <w:tcW w:w="148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33</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51,534</w:t>
            </w:r>
          </w:p>
        </w:tc>
        <w:tc>
          <w:tcPr>
            <w:tcW w:w="0" w:type="dxa"/>
            <w:vAlign w:val="bottom"/>
          </w:tcPr>
          <w:p>
            <w:pPr>
              <w:spacing w:after="0"/>
              <w:rPr>
                <w:sz w:val="1"/>
                <w:szCs w:val="1"/>
                <w:color w:val="auto"/>
              </w:rPr>
            </w:pPr>
          </w:p>
        </w:tc>
      </w:tr>
      <w:tr>
        <w:trPr>
          <w:trHeight w:val="19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Reclassified to Assets held for sale</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(44,342)</w:t>
            </w:r>
          </w:p>
        </w:tc>
        <w:tc>
          <w:tcPr>
            <w:tcW w:w="12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(17,582)</w:t>
            </w:r>
          </w:p>
        </w:tc>
        <w:tc>
          <w:tcPr>
            <w:tcW w:w="1480" w:type="dxa"/>
            <w:vAlign w:val="bottom"/>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(61,924)</w:t>
            </w:r>
          </w:p>
        </w:tc>
        <w:tc>
          <w:tcPr>
            <w:tcW w:w="0" w:type="dxa"/>
            <w:vAlign w:val="bottom"/>
          </w:tcPr>
          <w:p>
            <w:pPr>
              <w:spacing w:after="0"/>
              <w:rPr>
                <w:sz w:val="1"/>
                <w:szCs w:val="1"/>
                <w:color w:val="auto"/>
              </w:rPr>
            </w:pP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 - (Restated)</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(4,027)</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(10,202)</w:t>
            </w:r>
          </w:p>
        </w:tc>
        <w:tc>
          <w:tcPr>
            <w:tcW w:w="148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(5,393)</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(19,622)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1980" w:type="dxa"/>
            <w:vAlign w:val="bottom"/>
            <w:gridSpan w:val="2"/>
            <w:shd w:val="clear" w:color="auto" w:fill="DBDBDB"/>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4,070</w:t>
            </w:r>
          </w:p>
        </w:tc>
        <w:tc>
          <w:tcPr>
            <w:tcW w:w="40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175,684</w:t>
            </w:r>
          </w:p>
        </w:tc>
        <w:tc>
          <w:tcPr>
            <w:tcW w:w="40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160,280</w:t>
            </w:r>
          </w:p>
        </w:tc>
        <w:tc>
          <w:tcPr>
            <w:tcW w:w="40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340,034</w:t>
            </w:r>
          </w:p>
        </w:tc>
        <w:tc>
          <w:tcPr>
            <w:tcW w:w="20" w:type="dxa"/>
            <w:vAlign w:val="bottom"/>
          </w:tcPr>
          <w:p>
            <w:pPr>
              <w:spacing w:after="0"/>
              <w:rPr>
                <w:sz w:val="16"/>
                <w:szCs w:val="16"/>
                <w:color w:val="auto"/>
              </w:rPr>
            </w:pPr>
          </w:p>
        </w:tc>
      </w:tr>
      <w:tr>
        <w:trPr>
          <w:trHeight w:val="188"/>
        </w:trPr>
        <w:tc>
          <w:tcPr>
            <w:tcW w:w="4700" w:type="dxa"/>
            <w:vAlign w:val="bottom"/>
          </w:tcPr>
          <w:p>
            <w:pPr>
              <w:ind w:left="20"/>
              <w:spacing w:after="0" w:line="188" w:lineRule="exact"/>
              <w:rPr>
                <w:sz w:val="20"/>
                <w:szCs w:val="20"/>
                <w:color w:val="auto"/>
              </w:rPr>
            </w:pPr>
            <w:r>
              <w:rPr>
                <w:rFonts w:ascii="Times New Roman" w:cs="Times New Roman" w:eastAsia="Times New Roman" w:hAnsi="Times New Roman"/>
                <w:sz w:val="15"/>
                <w:szCs w:val="15"/>
                <w:color w:val="auto"/>
              </w:rPr>
              <w:t>Additions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 ( Restated)</w:t>
            </w:r>
          </w:p>
        </w:tc>
        <w:tc>
          <w:tcPr>
            <w:tcW w:w="15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81,253</w:t>
            </w: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122,869</w:t>
            </w: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208,821</w:t>
            </w:r>
          </w:p>
        </w:tc>
        <w:tc>
          <w:tcPr>
            <w:tcW w:w="20" w:type="dxa"/>
            <w:vAlign w:val="bottom"/>
          </w:tcPr>
          <w:p>
            <w:pPr>
              <w:spacing w:after="0"/>
              <w:rPr>
                <w:sz w:val="16"/>
                <w:szCs w:val="16"/>
                <w:color w:val="auto"/>
              </w:rPr>
            </w:pPr>
          </w:p>
        </w:tc>
      </w:tr>
      <w:tr>
        <w:trPr>
          <w:trHeight w:val="197"/>
        </w:trPr>
        <w:tc>
          <w:tcPr>
            <w:tcW w:w="4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Divestments and disposals</w:t>
            </w:r>
          </w:p>
        </w:tc>
        <w:tc>
          <w:tcPr>
            <w:tcW w:w="15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4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(47,419)</w:t>
            </w:r>
          </w:p>
        </w:tc>
        <w:tc>
          <w:tcPr>
            <w:tcW w:w="40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(47,732)</w:t>
            </w:r>
          </w:p>
        </w:tc>
        <w:tc>
          <w:tcPr>
            <w:tcW w:w="20" w:type="dxa"/>
            <w:vAlign w:val="bottom"/>
          </w:tcPr>
          <w:p>
            <w:pPr>
              <w:spacing w:after="0"/>
              <w:rPr>
                <w:sz w:val="17"/>
                <w:szCs w:val="17"/>
                <w:color w:val="auto"/>
              </w:rPr>
            </w:pPr>
          </w:p>
        </w:tc>
      </w:tr>
      <w:tr>
        <w:trPr>
          <w:trHeight w:val="197"/>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Reclassifications²</w:t>
            </w: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(27,606)</w:t>
            </w:r>
          </w:p>
        </w:tc>
        <w:tc>
          <w:tcPr>
            <w:tcW w:w="40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(29,726)</w:t>
            </w:r>
          </w:p>
        </w:tc>
        <w:tc>
          <w:tcPr>
            <w:tcW w:w="40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(56,899)</w:t>
            </w:r>
          </w:p>
        </w:tc>
        <w:tc>
          <w:tcPr>
            <w:tcW w:w="20" w:type="dxa"/>
            <w:vAlign w:val="bottom"/>
          </w:tcPr>
          <w:p>
            <w:pPr>
              <w:spacing w:after="0"/>
              <w:rPr>
                <w:sz w:val="17"/>
                <w:szCs w:val="17"/>
                <w:color w:val="auto"/>
              </w:rPr>
            </w:pPr>
          </w:p>
        </w:tc>
      </w:tr>
      <w:tr>
        <w:trPr>
          <w:trHeight w:val="197"/>
        </w:trPr>
        <w:tc>
          <w:tcPr>
            <w:tcW w:w="4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 (Restated)</w:t>
            </w:r>
          </w:p>
        </w:tc>
        <w:tc>
          <w:tcPr>
            <w:tcW w:w="154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4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4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(1,785)</w:t>
            </w:r>
          </w:p>
        </w:tc>
        <w:tc>
          <w:tcPr>
            <w:tcW w:w="4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(2,725)</w:t>
            </w:r>
          </w:p>
        </w:tc>
        <w:tc>
          <w:tcPr>
            <w:tcW w:w="20" w:type="dxa"/>
            <w:vAlign w:val="bottom"/>
          </w:tcPr>
          <w:p>
            <w:pPr>
              <w:spacing w:after="0"/>
              <w:rPr>
                <w:sz w:val="17"/>
                <w:szCs w:val="17"/>
                <w:color w:val="auto"/>
              </w:rPr>
            </w:pPr>
          </w:p>
        </w:tc>
      </w:tr>
      <w:tr>
        <w:trPr>
          <w:trHeight w:val="639"/>
        </w:trPr>
        <w:tc>
          <w:tcPr>
            <w:tcW w:w="4700" w:type="dxa"/>
            <w:vAlign w:val="bottom"/>
          </w:tcPr>
          <w:p>
            <w:pPr>
              <w:spacing w:after="0"/>
              <w:rPr>
                <w:sz w:val="24"/>
                <w:szCs w:val="24"/>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F-45</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
        </w:trPr>
        <w:tc>
          <w:tcPr>
            <w:tcW w:w="47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4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4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310515</wp:posOffset>
            </wp:positionV>
            <wp:extent cx="3175635" cy="257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47">
                      <a:extLst>
                        <a:ext uri="{28A0092B-C50C-407E-A947-70E740481C1C}"/>
                      </a:extLst>
                    </a:blip>
                    <a:srcRect/>
                    <a:stretch>
                      <a:fillRect/>
                    </a:stretch>
                  </pic:blipFill>
                  <pic:spPr bwMode="auto">
                    <a:xfrm>
                      <a:off x="0" y="0"/>
                      <a:ext cx="3175635" cy="25723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8,916</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180,945</w:t>
            </w:r>
          </w:p>
        </w:tc>
        <w:tc>
          <w:tcPr>
            <w:tcW w:w="4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251,638</w:t>
            </w:r>
          </w:p>
        </w:tc>
        <w:tc>
          <w:tcPr>
            <w:tcW w:w="3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441,499</w:t>
            </w:r>
          </w:p>
        </w:tc>
      </w:tr>
      <w:tr>
        <w:trPr>
          <w:trHeight w:val="17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Depreciation and impairment</w:t>
            </w: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40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(4,712)</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(77,149)</w:t>
            </w:r>
          </w:p>
        </w:tc>
        <w:tc>
          <w:tcPr>
            <w:tcW w:w="420" w:type="dxa"/>
            <w:vAlign w:val="bottom"/>
          </w:tcPr>
          <w:p>
            <w:pPr>
              <w:spacing w:after="0"/>
              <w:rPr>
                <w:sz w:val="17"/>
                <w:szCs w:val="17"/>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(81,861)</w:t>
            </w:r>
          </w:p>
        </w:tc>
      </w:tr>
      <w:tr>
        <w:trPr>
          <w:trHeight w:val="19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Depreciation expense - (Restated)</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(3,101)</w:t>
            </w: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(10,418)</w:t>
            </w:r>
          </w:p>
        </w:tc>
        <w:tc>
          <w:tcPr>
            <w:tcW w:w="4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(13,519)</w:t>
            </w: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capitalized into inventory - (Restated)</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(4,718)</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(4,718)</w:t>
            </w:r>
          </w:p>
        </w:tc>
      </w:tr>
      <w:tr>
        <w:trPr>
          <w:trHeight w:val="19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Divestments and disposal</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47</w:t>
            </w: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4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494</w:t>
            </w: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Reclassifications²</w:t>
            </w:r>
          </w:p>
        </w:tc>
        <w:tc>
          <w:tcPr>
            <w:tcW w:w="40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195</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420" w:type="dxa"/>
            <w:vAlign w:val="bottom"/>
          </w:tcPr>
          <w:p>
            <w:pPr>
              <w:spacing w:after="0"/>
              <w:rPr>
                <w:sz w:val="17"/>
                <w:szCs w:val="17"/>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Reclassified to Assets held for Sale</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5,623</w:t>
            </w: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4,753</w:t>
            </w:r>
          </w:p>
        </w:tc>
        <w:tc>
          <w:tcPr>
            <w:tcW w:w="4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10,376</w:t>
            </w: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40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938</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6,035</w:t>
            </w:r>
          </w:p>
        </w:tc>
        <w:tc>
          <w:tcPr>
            <w:tcW w:w="420" w:type="dxa"/>
            <w:vAlign w:val="bottom"/>
          </w:tcPr>
          <w:p>
            <w:pPr>
              <w:spacing w:after="0"/>
              <w:rPr>
                <w:sz w:val="17"/>
                <w:szCs w:val="17"/>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6,973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(1,010)</w:t>
            </w:r>
          </w:p>
        </w:tc>
        <w:tc>
          <w:tcPr>
            <w:tcW w:w="34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(81,245)</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(82,255)</w:t>
            </w:r>
          </w:p>
        </w:tc>
      </w:tr>
      <w:tr>
        <w:trPr>
          <w:trHeight w:val="188"/>
        </w:trPr>
        <w:tc>
          <w:tcPr>
            <w:tcW w:w="6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Depreciation expense - (Restated)</w:t>
            </w:r>
          </w:p>
        </w:tc>
        <w:tc>
          <w:tcPr>
            <w:tcW w:w="400" w:type="dxa"/>
            <w:vAlign w:val="bottom"/>
            <w:tcBorders>
              <w:bottom w:val="single" w:sz="8" w:color="DBDBDB"/>
            </w:tcBorders>
          </w:tcPr>
          <w:p>
            <w:pPr>
              <w:spacing w:after="0"/>
              <w:rPr>
                <w:sz w:val="16"/>
                <w:szCs w:val="16"/>
                <w:color w:val="auto"/>
              </w:rPr>
            </w:pPr>
          </w:p>
        </w:tc>
        <w:tc>
          <w:tcPr>
            <w:tcW w:w="860" w:type="dxa"/>
            <w:vAlign w:val="bottom"/>
            <w:tcBorders>
              <w:bottom w:val="single" w:sz="8" w:color="DBDBDB"/>
            </w:tcBorders>
          </w:tcPr>
          <w:p>
            <w:pPr>
              <w:jc w:val="right"/>
              <w:ind w:right="43"/>
              <w:spacing w:after="0"/>
              <w:rPr>
                <w:sz w:val="20"/>
                <w:szCs w:val="20"/>
                <w:color w:val="auto"/>
              </w:rPr>
            </w:pPr>
            <w:r>
              <w:rPr>
                <w:rFonts w:ascii="Times New Roman" w:cs="Times New Roman" w:eastAsia="Times New Roman" w:hAnsi="Times New Roman"/>
                <w:sz w:val="15"/>
                <w:szCs w:val="15"/>
                <w:color w:val="auto"/>
              </w:rPr>
              <w:t>(1,715)</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(6,736)</w:t>
            </w:r>
          </w:p>
        </w:tc>
        <w:tc>
          <w:tcPr>
            <w:tcW w:w="380" w:type="dxa"/>
            <w:vAlign w:val="bottom"/>
            <w:tcBorders>
              <w:bottom w:val="single" w:sz="8" w:color="DBDBDB"/>
            </w:tcBorders>
          </w:tcPr>
          <w:p>
            <w:pPr>
              <w:spacing w:after="0"/>
              <w:rPr>
                <w:sz w:val="16"/>
                <w:szCs w:val="16"/>
                <w:color w:val="auto"/>
              </w:rPr>
            </w:pPr>
          </w:p>
        </w:tc>
        <w:tc>
          <w:tcPr>
            <w:tcW w:w="880" w:type="dxa"/>
            <w:vAlign w:val="bottom"/>
            <w:tcBorders>
              <w:bottom w:val="single" w:sz="8" w:color="DBDBDB"/>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(8,451)</w:t>
            </w:r>
          </w:p>
        </w:tc>
      </w:tr>
      <w:tr>
        <w:trPr>
          <w:trHeight w:val="188"/>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Depreciation capitalized into inventory - (Restated)</w:t>
            </w:r>
          </w:p>
        </w:tc>
        <w:tc>
          <w:tcPr>
            <w:tcW w:w="40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(7,000)</w:t>
            </w:r>
          </w:p>
        </w:tc>
        <w:tc>
          <w:tcPr>
            <w:tcW w:w="38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(7,000)</w:t>
            </w: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Divestments and disposal</w:t>
            </w:r>
          </w:p>
        </w:tc>
        <w:tc>
          <w:tcPr>
            <w:tcW w:w="40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25</w:t>
            </w:r>
          </w:p>
        </w:tc>
        <w:tc>
          <w:tcPr>
            <w:tcW w:w="34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45,206</w:t>
            </w:r>
          </w:p>
        </w:tc>
        <w:tc>
          <w:tcPr>
            <w:tcW w:w="38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45,231</w:t>
            </w:r>
          </w:p>
        </w:tc>
      </w:tr>
      <w:tr>
        <w:trPr>
          <w:trHeight w:val="197"/>
        </w:trPr>
        <w:tc>
          <w:tcPr>
            <w:tcW w:w="6240" w:type="dxa"/>
            <w:vAlign w:val="bottom"/>
            <w:shd w:val="clear" w:color="auto" w:fill="DBDBDB"/>
          </w:tcPr>
          <w:p>
            <w:pPr>
              <w:ind w:left="20"/>
              <w:spacing w:after="0" w:line="197" w:lineRule="exact"/>
              <w:rPr>
                <w:sz w:val="20"/>
                <w:szCs w:val="20"/>
                <w:color w:val="auto"/>
              </w:rPr>
            </w:pPr>
            <w:r>
              <w:rPr>
                <w:rFonts w:ascii="Times New Roman" w:cs="Times New Roman" w:eastAsia="Times New Roman" w:hAnsi="Times New Roman"/>
                <w:sz w:val="15"/>
                <w:szCs w:val="15"/>
                <w:color w:val="auto"/>
              </w:rPr>
              <w:t>Impairment loss</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5"/>
                <w:szCs w:val="15"/>
                <w:color w:val="auto"/>
              </w:rPr>
              <w:t xml:space="preserve"> - (Restated)</w:t>
            </w:r>
          </w:p>
        </w:tc>
        <w:tc>
          <w:tcPr>
            <w:tcW w:w="40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(21,511)</w:t>
            </w:r>
          </w:p>
        </w:tc>
        <w:tc>
          <w:tcPr>
            <w:tcW w:w="3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(579)</w:t>
            </w:r>
          </w:p>
        </w:tc>
        <w:tc>
          <w:tcPr>
            <w:tcW w:w="36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(22,090)</w:t>
            </w:r>
          </w:p>
        </w:tc>
      </w:tr>
      <w:tr>
        <w:trPr>
          <w:trHeight w:val="197"/>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Reclassifications²</w:t>
            </w:r>
          </w:p>
        </w:tc>
        <w:tc>
          <w:tcPr>
            <w:tcW w:w="40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w:t>
            </w:r>
          </w:p>
        </w:tc>
        <w:tc>
          <w:tcPr>
            <w:tcW w:w="34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9,879</w:t>
            </w:r>
          </w:p>
        </w:tc>
        <w:tc>
          <w:tcPr>
            <w:tcW w:w="38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9,873</w:t>
            </w:r>
          </w:p>
        </w:tc>
      </w:tr>
      <w:tr>
        <w:trPr>
          <w:trHeight w:val="217"/>
        </w:trPr>
        <w:tc>
          <w:tcPr>
            <w:tcW w:w="6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Effect of foreign currency exchange rate differences</w:t>
            </w:r>
          </w:p>
        </w:tc>
        <w:tc>
          <w:tcPr>
            <w:tcW w:w="40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(3)</w:t>
            </w:r>
          </w:p>
        </w:tc>
        <w:tc>
          <w:tcPr>
            <w:tcW w:w="34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233</w:t>
            </w:r>
          </w:p>
        </w:tc>
        <w:tc>
          <w:tcPr>
            <w:tcW w:w="38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230</w:t>
            </w:r>
          </w:p>
        </w:tc>
      </w:tr>
      <w:tr>
        <w:trPr>
          <w:trHeight w:val="168"/>
        </w:trPr>
        <w:tc>
          <w:tcPr>
            <w:tcW w:w="6240" w:type="dxa"/>
            <w:vAlign w:val="bottom"/>
            <w:tcBorders>
              <w:bottom w:val="single" w:sz="8" w:color="DBDBDB"/>
            </w:tcBorders>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400" w:type="dxa"/>
            <w:vAlign w:val="bottom"/>
            <w:tcBorders>
              <w:bottom w:val="single" w:sz="8" w:color="auto"/>
            </w:tcBorders>
          </w:tcPr>
          <w:p>
            <w:pPr>
              <w:jc w:val="right"/>
              <w:ind w:right="22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ind w:right="43"/>
              <w:spacing w:after="0" w:line="169" w:lineRule="exact"/>
              <w:rPr>
                <w:sz w:val="20"/>
                <w:szCs w:val="20"/>
                <w:color w:val="auto"/>
              </w:rPr>
            </w:pPr>
            <w:r>
              <w:rPr>
                <w:rFonts w:ascii="Times New Roman" w:cs="Times New Roman" w:eastAsia="Times New Roman" w:hAnsi="Times New Roman"/>
                <w:sz w:val="15"/>
                <w:szCs w:val="15"/>
                <w:b w:val="1"/>
                <w:bCs w:val="1"/>
                <w:color w:val="auto"/>
              </w:rPr>
              <w:t>(2,709)</w:t>
            </w:r>
          </w:p>
        </w:tc>
        <w:tc>
          <w:tcPr>
            <w:tcW w:w="340" w:type="dxa"/>
            <w:vAlign w:val="bottom"/>
            <w:tcBorders>
              <w:bottom w:val="single" w:sz="8" w:color="auto"/>
            </w:tcBorders>
          </w:tcPr>
          <w:p>
            <w:pPr>
              <w:jc w:val="right"/>
              <w:ind w:right="18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ind w:right="23"/>
              <w:spacing w:after="0" w:line="169" w:lineRule="exact"/>
              <w:rPr>
                <w:sz w:val="20"/>
                <w:szCs w:val="20"/>
                <w:color w:val="auto"/>
              </w:rPr>
            </w:pPr>
            <w:r>
              <w:rPr>
                <w:rFonts w:ascii="Times New Roman" w:cs="Times New Roman" w:eastAsia="Times New Roman" w:hAnsi="Times New Roman"/>
                <w:sz w:val="15"/>
                <w:szCs w:val="15"/>
                <w:b w:val="1"/>
                <w:bCs w:val="1"/>
                <w:color w:val="auto"/>
              </w:rPr>
              <w:t>(61,174)</w:t>
            </w:r>
          </w:p>
        </w:tc>
        <w:tc>
          <w:tcPr>
            <w:tcW w:w="380" w:type="dxa"/>
            <w:vAlign w:val="bottom"/>
            <w:tcBorders>
              <w:bottom w:val="single" w:sz="8" w:color="auto"/>
            </w:tcBorders>
          </w:tcPr>
          <w:p>
            <w:pPr>
              <w:jc w:val="right"/>
              <w:ind w:right="20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43"/>
              <w:spacing w:after="0" w:line="169" w:lineRule="exact"/>
              <w:rPr>
                <w:sz w:val="20"/>
                <w:szCs w:val="20"/>
                <w:color w:val="auto"/>
              </w:rPr>
            </w:pPr>
            <w:r>
              <w:rPr>
                <w:rFonts w:ascii="Times New Roman" w:cs="Times New Roman" w:eastAsia="Times New Roman" w:hAnsi="Times New Roman"/>
                <w:sz w:val="15"/>
                <w:szCs w:val="15"/>
                <w:b w:val="1"/>
                <w:bCs w:val="1"/>
                <w:color w:val="auto"/>
              </w:rPr>
              <w:t>(579)</w:t>
            </w:r>
          </w:p>
        </w:tc>
        <w:tc>
          <w:tcPr>
            <w:tcW w:w="360" w:type="dxa"/>
            <w:vAlign w:val="bottom"/>
            <w:tcBorders>
              <w:bottom w:val="single" w:sz="8" w:color="auto"/>
            </w:tcBorders>
          </w:tcPr>
          <w:p>
            <w:pPr>
              <w:jc w:val="right"/>
              <w:ind w:right="18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23"/>
              <w:spacing w:after="0" w:line="169" w:lineRule="exact"/>
              <w:rPr>
                <w:sz w:val="20"/>
                <w:szCs w:val="20"/>
                <w:color w:val="auto"/>
              </w:rPr>
            </w:pPr>
            <w:r>
              <w:rPr>
                <w:rFonts w:ascii="Times New Roman" w:cs="Times New Roman" w:eastAsia="Times New Roman" w:hAnsi="Times New Roman"/>
                <w:sz w:val="15"/>
                <w:szCs w:val="15"/>
                <w:b w:val="1"/>
                <w:bCs w:val="1"/>
                <w:color w:val="auto"/>
              </w:rPr>
              <w:t>(64,462)</w:t>
            </w:r>
          </w:p>
        </w:tc>
      </w:tr>
      <w:tr>
        <w:trPr>
          <w:trHeight w:val="200"/>
        </w:trPr>
        <w:tc>
          <w:tcPr>
            <w:tcW w:w="624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r>
      <w:tr>
        <w:trPr>
          <w:trHeight w:val="188"/>
        </w:trPr>
        <w:tc>
          <w:tcPr>
            <w:tcW w:w="62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 at December 31, 2022 (Restated)</w:t>
            </w: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3,060</w:t>
            </w: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94,439</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160,280</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257,779</w:t>
            </w:r>
          </w:p>
        </w:tc>
      </w:tr>
      <w:tr>
        <w:trPr>
          <w:trHeight w:val="188"/>
        </w:trPr>
        <w:tc>
          <w:tcPr>
            <w:tcW w:w="62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 at December 31, 2023 - (Restated)</w:t>
            </w:r>
          </w:p>
        </w:tc>
        <w:tc>
          <w:tcPr>
            <w:tcW w:w="400" w:type="dxa"/>
            <w:vAlign w:val="bottom"/>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6,207</w:t>
            </w:r>
          </w:p>
        </w:tc>
        <w:tc>
          <w:tcPr>
            <w:tcW w:w="34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119,771</w:t>
            </w:r>
          </w:p>
        </w:tc>
        <w:tc>
          <w:tcPr>
            <w:tcW w:w="38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251,059</w:t>
            </w:r>
          </w:p>
        </w:tc>
        <w:tc>
          <w:tcPr>
            <w:tcW w:w="36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377,037</w:t>
            </w:r>
          </w:p>
        </w:tc>
      </w:tr>
    </w:tbl>
    <w:p>
      <w:pPr>
        <w:spacing w:after="0" w:line="6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1 - Of $208,821 in additions for the year ended December 31, 2023, $109,141 has been settled in cash. These $109,141 are included in the $137,400 in the cash-flow from investing activities related to additions to Property, plant and equipment, and the remaining $28,259 relates to decreases in Trade payables from prior years which were settled in cash during the year ended December 31, 2023. Of $110,504 in additions for the year ended December 31,</w:t>
      </w:r>
    </w:p>
    <w:p>
      <w:pPr>
        <w:spacing w:after="0" w:line="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2"/>
          <w:szCs w:val="12"/>
          <w:color w:val="auto"/>
        </w:rPr>
        <w:t>2022, $30,881 was settled in cash. These $30,881 are included in the $32,269 cash-flow from investing activities related to additions to Property, plant and equipment, and the remaining $1,388 relates to increases in Trade payables - related parties from prior years which were settled in cash during the year ended December 31, 2022.</w:t>
      </w:r>
    </w:p>
    <w:p>
      <w:pPr>
        <w:jc w:val="both"/>
        <w:ind w:right="20"/>
        <w:spacing w:after="0" w:line="214" w:lineRule="auto"/>
        <w:rPr>
          <w:sz w:val="20"/>
          <w:szCs w:val="20"/>
          <w:color w:val="auto"/>
        </w:rPr>
      </w:pPr>
      <w:r>
        <w:rPr>
          <w:rFonts w:ascii="Times New Roman" w:cs="Times New Roman" w:eastAsia="Times New Roman" w:hAnsi="Times New Roman"/>
          <w:sz w:val="12"/>
          <w:szCs w:val="12"/>
          <w:color w:val="auto"/>
        </w:rPr>
        <w:t>2 - For the year ended December 31, 2023, $47,026 is a reclassification from Property, plant and equipment to Assets under operating lease for vehicles that have been repurposed permanently and are currently in use for leasing business with customers. For the year ended December 31, 2022, $51,534 was a reclassification from Inventories to Property, plant and equipment for vehicles that were in the process of being repurposed permanently for leasing business with customers and were not sold during the year ended December 31, 2022.</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2"/>
          <w:szCs w:val="12"/>
          <w:color w:val="auto"/>
        </w:rPr>
        <w:t>3 - For the year ended December 31, 2023, Polestar 2 CGU was assessed for impairment, and impairment losses amounting to $22,090 were recognized in Cost of Sales. The impairment amount was allocated to Machinery and equipment, and Machinery under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 Financial instruments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the carrying amounts of financial assets and liabilities measured at fair value through profit and loss on a recurring basis: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940" w:type="dxa"/>
            <w:vAlign w:val="bottom"/>
            <w:tcBorders>
              <w:right w:val="single" w:sz="8" w:color="DBDBDB"/>
            </w:tcBorders>
            <w:gridSpan w:val="3"/>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960" w:type="dxa"/>
            <w:vAlign w:val="bottom"/>
            <w:tcBorders>
              <w:right w:val="single" w:sz="8" w:color="DBDBDB"/>
            </w:tcBorders>
            <w:gridSpan w:val="3"/>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2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197"/>
        </w:trPr>
        <w:tc>
          <w:tcPr>
            <w:tcW w:w="2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 measured at FVTPL</w:t>
            </w:r>
          </w:p>
        </w:tc>
        <w:tc>
          <w:tcPr>
            <w:tcW w:w="200" w:type="dxa"/>
            <w:vAlign w:val="bottom"/>
          </w:tcPr>
          <w:p>
            <w:pPr>
              <w:spacing w:after="0"/>
              <w:rPr>
                <w:sz w:val="17"/>
                <w:szCs w:val="17"/>
                <w:color w:val="auto"/>
              </w:rPr>
            </w:pPr>
          </w:p>
        </w:tc>
        <w:tc>
          <w:tcPr>
            <w:tcW w:w="8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80" w:type="dxa"/>
            <w:vAlign w:val="bottom"/>
          </w:tcPr>
          <w:p>
            <w:pPr>
              <w:spacing w:after="0"/>
              <w:rPr>
                <w:sz w:val="17"/>
                <w:szCs w:val="17"/>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Pr>
          <w:p>
            <w:pPr>
              <w:spacing w:after="0"/>
              <w:rPr>
                <w:sz w:val="17"/>
                <w:szCs w:val="17"/>
                <w:color w:val="auto"/>
              </w:rPr>
            </w:pPr>
          </w:p>
        </w:tc>
        <w:tc>
          <w:tcPr>
            <w:tcW w:w="860" w:type="dxa"/>
            <w:vAlign w:val="bottom"/>
            <w:tcBorders>
              <w:right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2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Pr>
          <w:p>
            <w:pPr>
              <w:spacing w:after="0"/>
              <w:rPr>
                <w:sz w:val="17"/>
                <w:szCs w:val="17"/>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80" w:type="dxa"/>
            <w:vAlign w:val="bottom"/>
          </w:tcPr>
          <w:p>
            <w:pPr>
              <w:spacing w:after="0"/>
              <w:rPr>
                <w:sz w:val="17"/>
                <w:szCs w:val="17"/>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0" w:type="dxa"/>
            <w:vAlign w:val="bottom"/>
          </w:tcPr>
          <w:p>
            <w:pPr>
              <w:spacing w:after="0"/>
              <w:rPr>
                <w:sz w:val="17"/>
                <w:szCs w:val="17"/>
                <w:color w:val="auto"/>
              </w:rPr>
            </w:pPr>
          </w:p>
        </w:tc>
        <w:tc>
          <w:tcPr>
            <w:tcW w:w="900" w:type="dxa"/>
            <w:vAlign w:val="bottom"/>
            <w:tcBorders>
              <w:right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7"/>
                <w:szCs w:val="17"/>
                <w:color w:val="auto"/>
              </w:rPr>
            </w:pPr>
          </w:p>
        </w:tc>
        <w:tc>
          <w:tcPr>
            <w:tcW w:w="84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8"/>
        </w:trPr>
        <w:tc>
          <w:tcPr>
            <w:tcW w:w="2720" w:type="dxa"/>
            <w:vAlign w:val="bottom"/>
            <w:tcBorders>
              <w:top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investments</w:t>
            </w: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shd w:val="clear" w:color="auto" w:fill="DBDBDB"/>
          </w:tcPr>
          <w:p>
            <w:pPr>
              <w:spacing w:after="0"/>
              <w:rPr>
                <w:sz w:val="16"/>
                <w:szCs w:val="16"/>
                <w:color w:val="auto"/>
              </w:rPr>
            </w:pPr>
          </w:p>
        </w:tc>
        <w:tc>
          <w:tcPr>
            <w:tcW w:w="860" w:type="dxa"/>
            <w:vAlign w:val="bottom"/>
            <w:tcBorders>
              <w:top w:val="single" w:sz="8" w:color="auto"/>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2,414</w:t>
            </w:r>
          </w:p>
        </w:tc>
        <w:tc>
          <w:tcPr>
            <w:tcW w:w="220" w:type="dxa"/>
            <w:vAlign w:val="bottom"/>
            <w:tcBorders>
              <w:top w:val="single" w:sz="8" w:color="auto"/>
              <w:bottom w:val="single" w:sz="8" w:color="auto"/>
            </w:tcBorders>
            <w:shd w:val="clear" w:color="auto" w:fill="DBDBDB"/>
          </w:tcPr>
          <w:p>
            <w:pPr>
              <w:spacing w:after="0"/>
              <w:rPr>
                <w:sz w:val="16"/>
                <w:szCs w:val="16"/>
                <w:color w:val="auto"/>
              </w:rPr>
            </w:pPr>
          </w:p>
        </w:tc>
        <w:tc>
          <w:tcPr>
            <w:tcW w:w="82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2,414</w:t>
            </w:r>
          </w:p>
        </w:tc>
        <w:tc>
          <w:tcPr>
            <w:tcW w:w="16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00" w:type="dxa"/>
            <w:vAlign w:val="bottom"/>
            <w:tcBorders>
              <w:top w:val="single" w:sz="8" w:color="auto"/>
              <w:bottom w:val="single" w:sz="8" w:color="auto"/>
              <w:right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2,333</w:t>
            </w: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84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2,333</w:t>
            </w:r>
          </w:p>
        </w:tc>
      </w:tr>
      <w:tr>
        <w:trPr>
          <w:trHeight w:val="188"/>
        </w:trPr>
        <w:tc>
          <w:tcPr>
            <w:tcW w:w="27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108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 $</w:t>
            </w:r>
          </w:p>
        </w:tc>
        <w:tc>
          <w:tcPr>
            <w:tcW w:w="86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2,414</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2,414</w:t>
            </w:r>
          </w:p>
        </w:tc>
        <w:tc>
          <w:tcPr>
            <w:tcW w:w="16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w:t>
            </w:r>
          </w:p>
        </w:tc>
        <w:tc>
          <w:tcPr>
            <w:tcW w:w="10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 $</w:t>
            </w:r>
          </w:p>
        </w:tc>
        <w:tc>
          <w:tcPr>
            <w:tcW w:w="9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2,333</w:t>
            </w: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2,333</w:t>
            </w:r>
          </w:p>
        </w:tc>
      </w:tr>
      <w:tr>
        <w:trPr>
          <w:trHeight w:val="177"/>
        </w:trPr>
        <w:tc>
          <w:tcPr>
            <w:tcW w:w="27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Liabilities measured at FVTPL</w:t>
            </w:r>
          </w:p>
        </w:tc>
        <w:tc>
          <w:tcPr>
            <w:tcW w:w="2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60" w:type="dxa"/>
            <w:vAlign w:val="bottom"/>
            <w:tcBorders>
              <w:right w:val="single" w:sz="8" w:color="auto"/>
            </w:tcBorders>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00" w:type="dxa"/>
            <w:vAlign w:val="bottom"/>
            <w:tcBorders>
              <w:right w:val="single" w:sz="8" w:color="auto"/>
            </w:tcBorders>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r>
      <w:tr>
        <w:trPr>
          <w:trHeight w:val="197"/>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Earn-out rights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155,402</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155,402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598,570</w:t>
            </w:r>
          </w:p>
        </w:tc>
        <w:tc>
          <w:tcPr>
            <w:tcW w:w="2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598,570</w:t>
            </w:r>
          </w:p>
        </w:tc>
      </w:tr>
      <w:tr>
        <w:trPr>
          <w:trHeight w:val="197"/>
        </w:trPr>
        <w:tc>
          <w:tcPr>
            <w:tcW w:w="27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Class C-1 Shares</w:t>
            </w:r>
          </w:p>
        </w:tc>
        <w:tc>
          <w:tcPr>
            <w:tcW w:w="2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4,920</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6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4,920</w:t>
            </w: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17,920</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900" w:type="dxa"/>
            <w:vAlign w:val="bottom"/>
            <w:tcBorders>
              <w:right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17,920</w:t>
            </w:r>
          </w:p>
        </w:tc>
      </w:tr>
      <w:tr>
        <w:trPr>
          <w:trHeight w:val="197"/>
        </w:trPr>
        <w:tc>
          <w:tcPr>
            <w:tcW w:w="27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Class C-2 Shares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1,080</w:t>
            </w: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10,080</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10,080</w:t>
            </w:r>
          </w:p>
        </w:tc>
      </w:tr>
      <w:tr>
        <w:trPr>
          <w:trHeight w:val="188"/>
        </w:trPr>
        <w:tc>
          <w:tcPr>
            <w:tcW w:w="27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4,920</w:t>
            </w:r>
          </w:p>
        </w:tc>
        <w:tc>
          <w:tcPr>
            <w:tcW w:w="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1,080</w:t>
            </w: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155,402</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161,402</w:t>
            </w:r>
          </w:p>
        </w:tc>
        <w:tc>
          <w:tcPr>
            <w:tcW w:w="16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17,920</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10,080</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right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598,570</w:t>
            </w:r>
          </w:p>
        </w:tc>
        <w:tc>
          <w:tcPr>
            <w:tcW w:w="20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626,570</w:t>
            </w:r>
          </w:p>
        </w:tc>
      </w:tr>
    </w:tbl>
    <w:p>
      <w:pPr>
        <w:spacing w:after="0" w:line="14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During the year ended December 31, 2022, Polestar made a $2,500 investment in the fast charging innovator, StoreDot. During the year ended December 31, 2023, Polestar did not make any additional investments. The StoreDot investment made in the year ended December 31, 2022, is presented in Other investments in the Consolidated Statement of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Position and is valued at $2,414 as of December 31, 2023.</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1 - Overview and basis of preparation</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more details on the financial liabilities related to the Class C Shares and the Earn-out rights.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the carrying amounts of financial assets and liabilities measured at amortized cost: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 w:type="dxa"/>
            <w:vAlign w:val="bottom"/>
          </w:tcPr>
          <w:p>
            <w:pPr>
              <w:spacing w:after="0"/>
              <w:rPr>
                <w:sz w:val="17"/>
                <w:szCs w:val="17"/>
                <w:color w:val="auto"/>
              </w:rPr>
            </w:pPr>
          </w:p>
        </w:tc>
        <w:tc>
          <w:tcPr>
            <w:tcW w:w="2880" w:type="dxa"/>
            <w:vAlign w:val="bottom"/>
            <w:shd w:val="clear" w:color="auto" w:fill="DBDBDB"/>
          </w:tcPr>
          <w:p>
            <w:pPr>
              <w:spacing w:after="0"/>
              <w:rPr>
                <w:sz w:val="17"/>
                <w:szCs w:val="17"/>
                <w:color w:val="auto"/>
              </w:rPr>
            </w:pPr>
          </w:p>
        </w:tc>
        <w:tc>
          <w:tcPr>
            <w:tcW w:w="4640" w:type="dxa"/>
            <w:vAlign w:val="bottom"/>
            <w:shd w:val="clear" w:color="auto" w:fill="DBDBDB"/>
          </w:tcPr>
          <w:p>
            <w:pPr>
              <w:spacing w:after="0"/>
              <w:rPr>
                <w:sz w:val="17"/>
                <w:szCs w:val="17"/>
                <w:color w:val="auto"/>
              </w:rPr>
            </w:pPr>
          </w:p>
        </w:tc>
        <w:tc>
          <w:tcPr>
            <w:tcW w:w="2220" w:type="dxa"/>
            <w:vAlign w:val="bottom"/>
            <w:tcBorders>
              <w:bottom w:val="single" w:sz="8" w:color="auto"/>
            </w:tcBorders>
            <w:gridSpan w:val="2"/>
            <w:shd w:val="clear" w:color="auto" w:fill="DBDBDB"/>
          </w:tcPr>
          <w:p>
            <w:pPr>
              <w:ind w:left="46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760" w:type="dxa"/>
            <w:vAlign w:val="bottom"/>
          </w:tcPr>
          <w:p>
            <w:pPr>
              <w:spacing w:after="0"/>
              <w:rPr>
                <w:sz w:val="17"/>
                <w:szCs w:val="17"/>
                <w:color w:val="auto"/>
              </w:rPr>
            </w:pPr>
          </w:p>
        </w:tc>
      </w:tr>
      <w:tr>
        <w:trPr>
          <w:trHeight w:val="188"/>
        </w:trPr>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10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2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60" w:type="dxa"/>
            <w:vAlign w:val="bottom"/>
          </w:tcPr>
          <w:p>
            <w:pPr>
              <w:spacing w:after="0"/>
              <w:rPr>
                <w:sz w:val="16"/>
                <w:szCs w:val="16"/>
                <w:color w:val="auto"/>
              </w:rPr>
            </w:pPr>
          </w:p>
        </w:tc>
      </w:tr>
      <w:tr>
        <w:trPr>
          <w:trHeight w:val="197"/>
        </w:trPr>
        <w:tc>
          <w:tcPr>
            <w:tcW w:w="760" w:type="dxa"/>
            <w:vAlign w:val="bottom"/>
          </w:tcPr>
          <w:p>
            <w:pPr>
              <w:spacing w:after="0"/>
              <w:rPr>
                <w:sz w:val="17"/>
                <w:szCs w:val="17"/>
                <w:color w:val="auto"/>
              </w:rPr>
            </w:pPr>
          </w:p>
        </w:tc>
        <w:tc>
          <w:tcPr>
            <w:tcW w:w="28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4640" w:type="dxa"/>
            <w:vAlign w:val="bottom"/>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12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760" w:type="dxa"/>
            <w:vAlign w:val="bottom"/>
          </w:tcPr>
          <w:p>
            <w:pPr>
              <w:spacing w:after="0"/>
              <w:rPr>
                <w:sz w:val="17"/>
                <w:szCs w:val="17"/>
                <w:color w:val="auto"/>
              </w:rPr>
            </w:pPr>
          </w:p>
        </w:tc>
      </w:tr>
      <w:tr>
        <w:trPr>
          <w:trHeight w:val="639"/>
        </w:trPr>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40" w:type="dxa"/>
            <w:vAlign w:val="bottom"/>
            <w:gridSpan w:val="2"/>
          </w:tcPr>
          <w:p>
            <w:pPr>
              <w:ind w:left="1840"/>
              <w:spacing w:after="0"/>
              <w:rPr>
                <w:sz w:val="20"/>
                <w:szCs w:val="20"/>
                <w:color w:val="auto"/>
              </w:rPr>
            </w:pPr>
            <w:r>
              <w:rPr>
                <w:rFonts w:ascii="Times New Roman" w:cs="Times New Roman" w:eastAsia="Times New Roman" w:hAnsi="Times New Roman"/>
                <w:sz w:val="15"/>
                <w:szCs w:val="15"/>
                <w:color w:val="auto"/>
              </w:rPr>
              <w:t>F-46</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4"/>
        </w:trPr>
        <w:tc>
          <w:tcPr>
            <w:tcW w:w="76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4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4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4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 (Restated)</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768,264</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973,877</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Trade receivables and trade receivables - related parties - (Restated)</w:t>
            </w:r>
          </w:p>
        </w:tc>
        <w:tc>
          <w:tcPr>
            <w:tcW w:w="2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187,742</w:t>
            </w: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320,657</w:t>
            </w: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Accrued income - related parties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152,605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49,060</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current receivables and other current receivables - related parties - (Restated)</w:t>
            </w:r>
          </w:p>
        </w:tc>
        <w:tc>
          <w:tcPr>
            <w:tcW w:w="2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35,496</w:t>
            </w: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10,840</w:t>
            </w: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receivables - (Restated)</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9,733</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6,819</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Restricted cash - (Restated)</w:t>
            </w:r>
          </w:p>
        </w:tc>
        <w:tc>
          <w:tcPr>
            <w:tcW w:w="2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1,834</w:t>
            </w:r>
          </w:p>
        </w:tc>
        <w:tc>
          <w:tcPr>
            <w:tcW w:w="28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5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1,155,674</w:t>
            </w: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1,361,253</w:t>
            </w:r>
          </w:p>
        </w:tc>
      </w:tr>
      <w:tr>
        <w:trPr>
          <w:trHeight w:val="17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Current and non-current liabilities to credit institutions - (Restated)</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2,026,665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1,327,102</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non-current interest bearing liabilities and other non-current interest bearing liabilities - related parties - (Restated)</w:t>
            </w:r>
          </w:p>
        </w:tc>
        <w:tc>
          <w:tcPr>
            <w:tcW w:w="2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1,467,696</w:t>
            </w: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74,969</w:t>
            </w: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accrued expenses - related parties - (Restated)</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720,759</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352,854</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Trade payables and trade payables - related parties</w:t>
            </w:r>
          </w:p>
        </w:tc>
        <w:tc>
          <w:tcPr>
            <w:tcW w:w="2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368,145</w:t>
            </w: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1,032,579</w:t>
            </w: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liabilities and other current liabilities - related parties - (Restated)</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20,939</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55,911</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and non-current liabilities related to repurchase commitments - (Restated)</w:t>
            </w:r>
          </w:p>
        </w:tc>
        <w:tc>
          <w:tcPr>
            <w:tcW w:w="2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119,664</w:t>
            </w: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86,347</w:t>
            </w:r>
          </w:p>
        </w:tc>
      </w:tr>
      <w:tr>
        <w:trPr>
          <w:trHeight w:val="197"/>
        </w:trPr>
        <w:tc>
          <w:tcPr>
            <w:tcW w:w="752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Interest-bearing current liabilities and interest bearing current liabilities - related parties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 (Restated)</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93,361</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38,996</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non-current liabilities - (Restated)</w:t>
            </w:r>
          </w:p>
        </w:tc>
        <w:tc>
          <w:tcPr>
            <w:tcW w:w="2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64,990</w:t>
            </w: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91,056</w:t>
            </w: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Advance payments from customers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35,717</w:t>
            </w:r>
          </w:p>
        </w:tc>
      </w:tr>
      <w:tr>
        <w:trPr>
          <w:trHeight w:val="197"/>
        </w:trPr>
        <w:tc>
          <w:tcPr>
            <w:tcW w:w="75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and non-current refund liabilities and current refund liabilities - related parties - (Restated)</w:t>
            </w:r>
          </w:p>
        </w:tc>
        <w:tc>
          <w:tcPr>
            <w:tcW w:w="2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53,257</w:t>
            </w:r>
          </w:p>
        </w:tc>
        <w:tc>
          <w:tcPr>
            <w:tcW w:w="28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22,693</w:t>
            </w:r>
          </w:p>
        </w:tc>
      </w:tr>
      <w:tr>
        <w:trPr>
          <w:trHeight w:val="188"/>
        </w:trPr>
        <w:tc>
          <w:tcPr>
            <w:tcW w:w="7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4,951,891</w:t>
            </w: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3,118,224</w:t>
            </w:r>
          </w:p>
        </w:tc>
      </w:tr>
    </w:tbl>
    <w:p>
      <w:pPr>
        <w:spacing w:after="0" w:line="86" w:lineRule="exact"/>
        <w:rPr>
          <w:sz w:val="20"/>
          <w:szCs w:val="20"/>
          <w:color w:val="auto"/>
        </w:rPr>
      </w:pPr>
    </w:p>
    <w:p>
      <w:pPr>
        <w:ind w:left="180" w:hanging="188"/>
        <w:spacing w:after="0" w:line="231" w:lineRule="auto"/>
        <w:rPr>
          <w:sz w:val="20"/>
          <w:szCs w:val="20"/>
          <w:color w:val="auto"/>
        </w:rPr>
      </w:pPr>
      <w:r>
        <w:rPr>
          <w:rFonts w:ascii="Times New Roman" w:cs="Times New Roman" w:eastAsia="Times New Roman" w:hAnsi="Times New Roman"/>
          <w:sz w:val="10"/>
          <w:szCs w:val="10"/>
          <w:color w:val="auto"/>
        </w:rPr>
        <w:t xml:space="preserve">1 – The Group’s current and non-current lease liabilities are included in interest-bearing current liabilities and other non-current interest-bearing liabilities, respectively. The Group’s current and non-current related party lease liabilities are included in interest-bearing current liabilities - related parties and other non-current interest-bearing liabilities - related parties, respectively. These amounts are presented separately in </w:t>
      </w:r>
      <w:r>
        <w:rPr>
          <w:rFonts w:ascii="Times New Roman" w:cs="Times New Roman" w:eastAsia="Times New Roman" w:hAnsi="Times New Roman"/>
          <w:sz w:val="10"/>
          <w:szCs w:val="10"/>
          <w:i w:val="1"/>
          <w:iCs w:val="1"/>
          <w:color w:val="auto"/>
        </w:rPr>
        <w:t>Note 12 - Leases</w:t>
      </w:r>
      <w:r>
        <w:rPr>
          <w:rFonts w:ascii="Times New Roman" w:cs="Times New Roman" w:eastAsia="Times New Roman" w:hAnsi="Times New Roman"/>
          <w:sz w:val="10"/>
          <w:szCs w:val="10"/>
          <w:color w:val="auto"/>
        </w:rPr>
        <w:t>.</w:t>
      </w:r>
    </w:p>
    <w:p>
      <w:pPr>
        <w:spacing w:after="0" w:line="3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Total interest income arising on financial assets measured at amortized cost related to Cash and cash equivalents as of December 31, 2023, 2022, and 2021, and amounted to $32,280, $7,658, and $1,396, respectively. Total interest expense arising on financial liabilities measured at amortized cost related to liabilities to credit institutions, lease liabilities, other</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financing obligations, and related party liabilities as of December 31, 2023 amounted to $205,677. Total interest expense arising on financial liabilities measured at amortized cost related mainly to liabilities to credit institutions and other financing obligations as of December 31, 2022, and 2021, and amounted to $77,477 and $44,828,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the maturities for the Group’s non-derivative financial assets and liabilities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83185</wp:posOffset>
            </wp:positionV>
            <wp:extent cx="3087370" cy="2337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50">
                      <a:extLst>
                        <a:ext uri="{28A0092B-C50C-407E-A947-70E740481C1C}"/>
                      </a:extLst>
                    </a:blip>
                    <a:srcRect/>
                    <a:stretch>
                      <a:fillRect/>
                    </a:stretch>
                  </pic:blipFill>
                  <pic:spPr bwMode="auto">
                    <a:xfrm>
                      <a:off x="0" y="0"/>
                      <a:ext cx="3087370" cy="2337435"/>
                    </a:xfrm>
                    <a:prstGeom prst="rect">
                      <a:avLst/>
                    </a:prstGeom>
                    <a:noFill/>
                  </pic:spPr>
                </pic:pic>
              </a:graphicData>
            </a:graphic>
          </wp:anchor>
        </w:drawing>
      </w:r>
    </w:p>
    <w:p>
      <w:pPr>
        <w:spacing w:after="0" w:line="8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040" w:type="dxa"/>
            <w:vAlign w:val="bottom"/>
            <w:shd w:val="clear" w:color="auto" w:fill="DBDBDB"/>
          </w:tcPr>
          <w:p>
            <w:pPr>
              <w:spacing w:after="0"/>
              <w:rPr>
                <w:sz w:val="15"/>
                <w:szCs w:val="15"/>
                <w:color w:val="auto"/>
              </w:rPr>
            </w:pPr>
          </w:p>
        </w:tc>
        <w:tc>
          <w:tcPr>
            <w:tcW w:w="1260" w:type="dxa"/>
            <w:vAlign w:val="bottom"/>
            <w:vMerge w:val="restart"/>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Due within 1 year</w:t>
            </w:r>
          </w:p>
        </w:tc>
        <w:tc>
          <w:tcPr>
            <w:tcW w:w="122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Due between 1</w:t>
            </w:r>
          </w:p>
        </w:tc>
        <w:tc>
          <w:tcPr>
            <w:tcW w:w="13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b w:val="1"/>
                <w:bCs w:val="1"/>
                <w:color w:val="auto"/>
              </w:rPr>
              <w:t>Due beyond 5</w:t>
            </w:r>
          </w:p>
        </w:tc>
        <w:tc>
          <w:tcPr>
            <w:tcW w:w="1020" w:type="dxa"/>
            <w:vAlign w:val="bottom"/>
            <w:vMerge w:val="restart"/>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8"/>
        </w:trPr>
        <w:tc>
          <w:tcPr>
            <w:tcW w:w="6040" w:type="dxa"/>
            <w:vAlign w:val="bottom"/>
            <w:shd w:val="clear" w:color="auto" w:fill="DBDBDB"/>
          </w:tcPr>
          <w:p>
            <w:pPr>
              <w:spacing w:after="0"/>
              <w:rPr>
                <w:sz w:val="18"/>
                <w:szCs w:val="18"/>
                <w:color w:val="auto"/>
              </w:rPr>
            </w:pPr>
          </w:p>
        </w:tc>
        <w:tc>
          <w:tcPr>
            <w:tcW w:w="1260" w:type="dxa"/>
            <w:vAlign w:val="bottom"/>
            <w:tcBorders>
              <w:bottom w:val="single" w:sz="8" w:color="auto"/>
            </w:tcBorders>
            <w:vMerge w:val="continue"/>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and 5 years</w:t>
            </w:r>
          </w:p>
        </w:tc>
        <w:tc>
          <w:tcPr>
            <w:tcW w:w="1360" w:type="dxa"/>
            <w:vAlign w:val="bottom"/>
            <w:tcBorders>
              <w:bottom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02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Trade receivables and trade receivables - related parties - (Restated)</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187,742</w:t>
            </w:r>
          </w:p>
        </w:tc>
        <w:tc>
          <w:tcPr>
            <w:tcW w:w="12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187,742</w:t>
            </w:r>
          </w:p>
        </w:tc>
        <w:tc>
          <w:tcPr>
            <w:tcW w:w="0" w:type="dxa"/>
            <w:vAlign w:val="bottom"/>
          </w:tcPr>
          <w:p>
            <w:pPr>
              <w:spacing w:after="0"/>
              <w:rPr>
                <w:sz w:val="1"/>
                <w:szCs w:val="1"/>
                <w:color w:val="auto"/>
              </w:rPr>
            </w:pP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Accrued income - related parties</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152,605</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152,605</w:t>
            </w:r>
          </w:p>
        </w:tc>
        <w:tc>
          <w:tcPr>
            <w:tcW w:w="0" w:type="dxa"/>
            <w:vAlign w:val="bottom"/>
          </w:tcPr>
          <w:p>
            <w:pPr>
              <w:spacing w:after="0"/>
              <w:rPr>
                <w:sz w:val="1"/>
                <w:szCs w:val="1"/>
                <w:color w:val="auto"/>
              </w:rPr>
            </w:pP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current receivables and other current receivables - related parties - (Restated)</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35,496</w:t>
            </w:r>
          </w:p>
        </w:tc>
        <w:tc>
          <w:tcPr>
            <w:tcW w:w="12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35,496</w:t>
            </w:r>
          </w:p>
        </w:tc>
        <w:tc>
          <w:tcPr>
            <w:tcW w:w="0" w:type="dxa"/>
            <w:vAlign w:val="bottom"/>
          </w:tcPr>
          <w:p>
            <w:pPr>
              <w:spacing w:after="0"/>
              <w:rPr>
                <w:sz w:val="1"/>
                <w:szCs w:val="1"/>
                <w:color w:val="auto"/>
              </w:rPr>
            </w:pP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receivables - (Restated)</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9,733</w:t>
            </w:r>
          </w:p>
        </w:tc>
        <w:tc>
          <w:tcPr>
            <w:tcW w:w="136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9,733</w:t>
            </w:r>
          </w:p>
        </w:tc>
        <w:tc>
          <w:tcPr>
            <w:tcW w:w="0" w:type="dxa"/>
            <w:vAlign w:val="bottom"/>
          </w:tcPr>
          <w:p>
            <w:pPr>
              <w:spacing w:after="0"/>
              <w:rPr>
                <w:sz w:val="1"/>
                <w:szCs w:val="1"/>
                <w:color w:val="auto"/>
              </w:rPr>
            </w:pP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Restricted cash - (Restated)</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1,834</w:t>
            </w:r>
          </w:p>
        </w:tc>
        <w:tc>
          <w:tcPr>
            <w:tcW w:w="136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1,834</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 w:type="dxa"/>
            <w:vAlign w:val="bottom"/>
          </w:tcPr>
          <w:p>
            <w:pPr>
              <w:spacing w:after="0"/>
              <w:rPr>
                <w:sz w:val="17"/>
                <w:szCs w:val="17"/>
                <w:color w:val="auto"/>
              </w:rPr>
            </w:pPr>
          </w:p>
        </w:tc>
        <w:tc>
          <w:tcPr>
            <w:tcW w:w="60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 (Restated)</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375,843</w:t>
            </w:r>
          </w:p>
        </w:tc>
        <w:tc>
          <w:tcPr>
            <w:tcW w:w="4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11,567</w:t>
            </w:r>
          </w:p>
        </w:tc>
        <w:tc>
          <w:tcPr>
            <w:tcW w:w="5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5"/>
                <w:szCs w:val="15"/>
                <w:b w:val="1"/>
                <w:bCs w:val="1"/>
                <w:color w:val="auto"/>
              </w:rPr>
              <w:t>—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387,410</w:t>
            </w:r>
          </w:p>
        </w:tc>
        <w:tc>
          <w:tcPr>
            <w:tcW w:w="180" w:type="dxa"/>
            <w:vAlign w:val="bottom"/>
          </w:tcPr>
          <w:p>
            <w:pPr>
              <w:spacing w:after="0"/>
              <w:rPr>
                <w:sz w:val="17"/>
                <w:szCs w:val="17"/>
                <w:color w:val="auto"/>
              </w:rPr>
            </w:pPr>
          </w:p>
        </w:tc>
      </w:tr>
      <w:tr>
        <w:trPr>
          <w:trHeight w:val="177"/>
        </w:trPr>
        <w:tc>
          <w:tcPr>
            <w:tcW w:w="180" w:type="dxa"/>
            <w:vAlign w:val="bottom"/>
          </w:tcPr>
          <w:p>
            <w:pPr>
              <w:spacing w:after="0"/>
              <w:rPr>
                <w:sz w:val="15"/>
                <w:szCs w:val="15"/>
                <w:color w:val="auto"/>
              </w:rPr>
            </w:pPr>
          </w:p>
        </w:tc>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3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180" w:type="dxa"/>
            <w:vAlign w:val="bottom"/>
          </w:tcPr>
          <w:p>
            <w:pPr>
              <w:spacing w:after="0"/>
              <w:rPr>
                <w:sz w:val="15"/>
                <w:szCs w:val="15"/>
                <w:color w:val="auto"/>
              </w:rPr>
            </w:pPr>
          </w:p>
        </w:tc>
      </w:tr>
      <w:tr>
        <w:trPr>
          <w:trHeight w:val="197"/>
        </w:trPr>
        <w:tc>
          <w:tcPr>
            <w:tcW w:w="18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Liabilities to credit institutions - (Restated)</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2,026,665</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2,026,665</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Accrued expenses and accrued expenses - related parties - (Restated)</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720,760</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BDBDB"/>
          </w:tcPr>
          <w:p>
            <w:pPr>
              <w:spacing w:after="0"/>
              <w:rPr>
                <w:sz w:val="17"/>
                <w:szCs w:val="17"/>
                <w:color w:val="auto"/>
              </w:rPr>
            </w:pPr>
          </w:p>
        </w:tc>
        <w:tc>
          <w:tcPr>
            <w:tcW w:w="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720,760</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Trade payables and trade payables - related parties</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368,145</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368,145</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current liabilities and other current liabilities - related parties - (Restated)</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20,939</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BDBDB"/>
          </w:tcPr>
          <w:p>
            <w:pPr>
              <w:spacing w:after="0"/>
              <w:rPr>
                <w:sz w:val="17"/>
                <w:szCs w:val="17"/>
                <w:color w:val="auto"/>
              </w:rPr>
            </w:pPr>
          </w:p>
        </w:tc>
        <w:tc>
          <w:tcPr>
            <w:tcW w:w="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20,939</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Liabilities related to repurchase commitments - (Restated)</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119,664</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119,664</w:t>
            </w:r>
          </w:p>
        </w:tc>
        <w:tc>
          <w:tcPr>
            <w:tcW w:w="180" w:type="dxa"/>
            <w:vAlign w:val="bottom"/>
          </w:tcPr>
          <w:p>
            <w:pPr>
              <w:spacing w:after="0"/>
              <w:rPr>
                <w:sz w:val="17"/>
                <w:szCs w:val="17"/>
                <w:color w:val="auto"/>
              </w:rPr>
            </w:pPr>
          </w:p>
        </w:tc>
      </w:tr>
      <w:tr>
        <w:trPr>
          <w:trHeight w:val="150"/>
        </w:trPr>
        <w:tc>
          <w:tcPr>
            <w:tcW w:w="180" w:type="dxa"/>
            <w:vAlign w:val="bottom"/>
          </w:tcPr>
          <w:p>
            <w:pPr>
              <w:spacing w:after="0"/>
              <w:rPr>
                <w:sz w:val="13"/>
                <w:szCs w:val="13"/>
                <w:color w:val="auto"/>
              </w:rPr>
            </w:pPr>
          </w:p>
        </w:tc>
        <w:tc>
          <w:tcPr>
            <w:tcW w:w="604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Interest-bearing current liabilities and interest-bearing current liabilities - related parties -</w:t>
            </w:r>
          </w:p>
        </w:tc>
        <w:tc>
          <w:tcPr>
            <w:tcW w:w="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80" w:type="dxa"/>
            <w:vAlign w:val="bottom"/>
          </w:tcPr>
          <w:p>
            <w:pPr>
              <w:spacing w:after="0"/>
              <w:rPr>
                <w:sz w:val="13"/>
                <w:szCs w:val="13"/>
                <w:color w:val="auto"/>
              </w:rPr>
            </w:pPr>
          </w:p>
        </w:tc>
      </w:tr>
      <w:tr>
        <w:trPr>
          <w:trHeight w:val="208"/>
        </w:trPr>
        <w:tc>
          <w:tcPr>
            <w:tcW w:w="180" w:type="dxa"/>
            <w:vAlign w:val="bottom"/>
          </w:tcPr>
          <w:p>
            <w:pPr>
              <w:spacing w:after="0"/>
              <w:rPr>
                <w:sz w:val="18"/>
                <w:szCs w:val="18"/>
                <w:color w:val="auto"/>
              </w:rPr>
            </w:pPr>
          </w:p>
        </w:tc>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(Restated)</w:t>
            </w:r>
          </w:p>
        </w:tc>
        <w:tc>
          <w:tcPr>
            <w:tcW w:w="30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93,361</w:t>
            </w: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BDBDB"/>
          </w:tcPr>
          <w:p>
            <w:pPr>
              <w:spacing w:after="0"/>
              <w:rPr>
                <w:sz w:val="18"/>
                <w:szCs w:val="18"/>
                <w:color w:val="auto"/>
              </w:rPr>
            </w:pPr>
          </w:p>
        </w:tc>
        <w:tc>
          <w:tcPr>
            <w:tcW w:w="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93,361</w:t>
            </w:r>
          </w:p>
        </w:tc>
        <w:tc>
          <w:tcPr>
            <w:tcW w:w="180" w:type="dxa"/>
            <w:vAlign w:val="bottom"/>
          </w:tcPr>
          <w:p>
            <w:pPr>
              <w:spacing w:after="0"/>
              <w:rPr>
                <w:sz w:val="18"/>
                <w:szCs w:val="18"/>
                <w:color w:val="auto"/>
              </w:rPr>
            </w:pPr>
          </w:p>
        </w:tc>
      </w:tr>
      <w:tr>
        <w:trPr>
          <w:trHeight w:val="197"/>
        </w:trPr>
        <w:tc>
          <w:tcPr>
            <w:tcW w:w="18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Advance payments from customers</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16,415</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16,415</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non-current liabilities - (Restated)</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64,991</w:t>
            </w:r>
          </w:p>
        </w:tc>
        <w:tc>
          <w:tcPr>
            <w:tcW w:w="580" w:type="dxa"/>
            <w:vAlign w:val="bottom"/>
            <w:shd w:val="clear" w:color="auto" w:fill="DBDBDB"/>
          </w:tcPr>
          <w:p>
            <w:pPr>
              <w:spacing w:after="0"/>
              <w:rPr>
                <w:sz w:val="17"/>
                <w:szCs w:val="17"/>
                <w:color w:val="auto"/>
              </w:rPr>
            </w:pPr>
          </w:p>
        </w:tc>
        <w:tc>
          <w:tcPr>
            <w:tcW w:w="98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64,991</w:t>
            </w:r>
          </w:p>
        </w:tc>
        <w:tc>
          <w:tcPr>
            <w:tcW w:w="180" w:type="dxa"/>
            <w:vAlign w:val="bottom"/>
          </w:tcPr>
          <w:p>
            <w:pPr>
              <w:spacing w:after="0"/>
              <w:rPr>
                <w:sz w:val="17"/>
                <w:szCs w:val="17"/>
                <w:color w:val="auto"/>
              </w:rPr>
            </w:pPr>
          </w:p>
        </w:tc>
      </w:tr>
      <w:tr>
        <w:trPr>
          <w:trHeight w:val="648"/>
        </w:trPr>
        <w:tc>
          <w:tcPr>
            <w:tcW w:w="180" w:type="dxa"/>
            <w:vAlign w:val="bottom"/>
          </w:tcPr>
          <w:p>
            <w:pPr>
              <w:spacing w:after="0"/>
              <w:rPr>
                <w:sz w:val="24"/>
                <w:szCs w:val="24"/>
                <w:color w:val="auto"/>
              </w:rPr>
            </w:pPr>
          </w:p>
        </w:tc>
        <w:tc>
          <w:tcPr>
            <w:tcW w:w="6040" w:type="dxa"/>
            <w:vAlign w:val="bottom"/>
          </w:tcPr>
          <w:p>
            <w:pPr>
              <w:ind w:left="5300"/>
              <w:spacing w:after="0"/>
              <w:rPr>
                <w:sz w:val="20"/>
                <w:szCs w:val="20"/>
                <w:color w:val="auto"/>
              </w:rPr>
            </w:pPr>
            <w:r>
              <w:rPr>
                <w:rFonts w:ascii="Times New Roman" w:cs="Times New Roman" w:eastAsia="Times New Roman" w:hAnsi="Times New Roman"/>
                <w:sz w:val="15"/>
                <w:szCs w:val="15"/>
                <w:color w:val="auto"/>
              </w:rPr>
              <w:t>F-47</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3"/>
        </w:trPr>
        <w:tc>
          <w:tcPr>
            <w:tcW w:w="180" w:type="dxa"/>
            <w:vAlign w:val="bottom"/>
            <w:tcBorders>
              <w:bottom w:val="single" w:sz="8" w:color="9A9A9A"/>
            </w:tcBorders>
          </w:tcPr>
          <w:p>
            <w:pPr>
              <w:spacing w:after="0"/>
              <w:rPr>
                <w:sz w:val="6"/>
                <w:szCs w:val="6"/>
                <w:color w:val="auto"/>
              </w:rPr>
            </w:pPr>
          </w:p>
        </w:tc>
        <w:tc>
          <w:tcPr>
            <w:tcW w:w="60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5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5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interest bearing liabilities and other non-current interest bearing liabilities -</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8"/>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related parties - (Restated)</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1,456,225</w:t>
            </w:r>
          </w:p>
        </w:tc>
        <w:tc>
          <w:tcPr>
            <w:tcW w:w="440" w:type="dxa"/>
            <w:vAlign w:val="bottom"/>
          </w:tcPr>
          <w:p>
            <w:pPr>
              <w:spacing w:after="0"/>
              <w:rPr>
                <w:sz w:val="18"/>
                <w:szCs w:val="18"/>
                <w:color w:val="auto"/>
              </w:rPr>
            </w:pPr>
          </w:p>
        </w:tc>
        <w:tc>
          <w:tcPr>
            <w:tcW w:w="82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11,471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1,467,696</w:t>
            </w: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and non-current refund liabilities - (Restated)</w:t>
            </w:r>
          </w:p>
        </w:tc>
        <w:tc>
          <w:tcPr>
            <w:tcW w:w="3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52,006</w:t>
            </w:r>
          </w:p>
        </w:tc>
        <w:tc>
          <w:tcPr>
            <w:tcW w:w="3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1,251</w:t>
            </w:r>
          </w:p>
        </w:tc>
        <w:tc>
          <w:tcPr>
            <w:tcW w:w="44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53,257</w:t>
            </w:r>
          </w:p>
        </w:tc>
      </w:tr>
      <w:tr>
        <w:trPr>
          <w:trHeight w:val="188"/>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 (Restated)</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3,417,955</w:t>
            </w:r>
          </w:p>
        </w:tc>
        <w:tc>
          <w:tcPr>
            <w:tcW w:w="3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1,522,467</w:t>
            </w:r>
          </w:p>
        </w:tc>
        <w:tc>
          <w:tcPr>
            <w:tcW w:w="4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11,471</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4,951,893</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the maturities for the Group’s non-derivative financial assets and liabilities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76200</wp:posOffset>
            </wp:positionV>
            <wp:extent cx="3087370" cy="2705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53">
                      <a:extLst>
                        <a:ext uri="{28A0092B-C50C-407E-A947-70E740481C1C}"/>
                      </a:extLst>
                    </a:blip>
                    <a:srcRect/>
                    <a:stretch>
                      <a:fillRect/>
                    </a:stretch>
                  </pic:blipFill>
                  <pic:spPr bwMode="auto">
                    <a:xfrm>
                      <a:off x="0" y="0"/>
                      <a:ext cx="3087370" cy="2705100"/>
                    </a:xfrm>
                    <a:prstGeom prst="rect">
                      <a:avLst/>
                    </a:prstGeom>
                    <a:noFill/>
                  </pic:spPr>
                </pic:pic>
              </a:graphicData>
            </a:graphic>
          </wp:anchor>
        </w:drawing>
      </w:r>
    </w:p>
    <w:p>
      <w:pPr>
        <w:spacing w:after="0" w:line="7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040" w:type="dxa"/>
            <w:vAlign w:val="bottom"/>
            <w:shd w:val="clear" w:color="auto" w:fill="DBDBDB"/>
          </w:tcPr>
          <w:p>
            <w:pPr>
              <w:spacing w:after="0"/>
              <w:rPr>
                <w:sz w:val="15"/>
                <w:szCs w:val="15"/>
                <w:color w:val="auto"/>
              </w:rPr>
            </w:pPr>
          </w:p>
        </w:tc>
        <w:tc>
          <w:tcPr>
            <w:tcW w:w="1260" w:type="dxa"/>
            <w:vAlign w:val="bottom"/>
            <w:vMerge w:val="restart"/>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Due within 1 year</w:t>
            </w:r>
          </w:p>
        </w:tc>
        <w:tc>
          <w:tcPr>
            <w:tcW w:w="122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Due between 1</w:t>
            </w:r>
          </w:p>
        </w:tc>
        <w:tc>
          <w:tcPr>
            <w:tcW w:w="13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b w:val="1"/>
                <w:bCs w:val="1"/>
                <w:color w:val="auto"/>
              </w:rPr>
              <w:t>Due beyond 5</w:t>
            </w:r>
          </w:p>
        </w:tc>
        <w:tc>
          <w:tcPr>
            <w:tcW w:w="1020" w:type="dxa"/>
            <w:vAlign w:val="bottom"/>
            <w:vMerge w:val="restart"/>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8"/>
        </w:trPr>
        <w:tc>
          <w:tcPr>
            <w:tcW w:w="6040" w:type="dxa"/>
            <w:vAlign w:val="bottom"/>
            <w:shd w:val="clear" w:color="auto" w:fill="DBDBDB"/>
          </w:tcPr>
          <w:p>
            <w:pPr>
              <w:spacing w:after="0"/>
              <w:rPr>
                <w:sz w:val="18"/>
                <w:szCs w:val="18"/>
                <w:color w:val="auto"/>
              </w:rPr>
            </w:pPr>
          </w:p>
        </w:tc>
        <w:tc>
          <w:tcPr>
            <w:tcW w:w="1260" w:type="dxa"/>
            <w:vAlign w:val="bottom"/>
            <w:tcBorders>
              <w:bottom w:val="single" w:sz="8" w:color="auto"/>
            </w:tcBorders>
            <w:vMerge w:val="continue"/>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and 5 years</w:t>
            </w:r>
          </w:p>
        </w:tc>
        <w:tc>
          <w:tcPr>
            <w:tcW w:w="1360" w:type="dxa"/>
            <w:vAlign w:val="bottom"/>
            <w:tcBorders>
              <w:bottom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02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Trade receivables and trade receivables - related parties - (Restated)</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320,658</w:t>
            </w:r>
          </w:p>
        </w:tc>
        <w:tc>
          <w:tcPr>
            <w:tcW w:w="12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320,658</w:t>
            </w:r>
          </w:p>
        </w:tc>
        <w:tc>
          <w:tcPr>
            <w:tcW w:w="0" w:type="dxa"/>
            <w:vAlign w:val="bottom"/>
          </w:tcPr>
          <w:p>
            <w:pPr>
              <w:spacing w:after="0"/>
              <w:rPr>
                <w:sz w:val="1"/>
                <w:szCs w:val="1"/>
                <w:color w:val="auto"/>
              </w:rPr>
            </w:pP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Accrued income - related parties</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49,060</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49,060</w:t>
            </w:r>
          </w:p>
        </w:tc>
        <w:tc>
          <w:tcPr>
            <w:tcW w:w="0" w:type="dxa"/>
            <w:vAlign w:val="bottom"/>
          </w:tcPr>
          <w:p>
            <w:pPr>
              <w:spacing w:after="0"/>
              <w:rPr>
                <w:sz w:val="1"/>
                <w:szCs w:val="1"/>
                <w:color w:val="auto"/>
              </w:rPr>
            </w:pP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current receivables - (Restated)</w:t>
            </w:r>
          </w:p>
        </w:tc>
        <w:tc>
          <w:tcPr>
            <w:tcW w:w="126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10,840</w:t>
            </w:r>
          </w:p>
        </w:tc>
        <w:tc>
          <w:tcPr>
            <w:tcW w:w="12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DBDBDB"/>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10,840</w:t>
            </w:r>
          </w:p>
        </w:tc>
        <w:tc>
          <w:tcPr>
            <w:tcW w:w="0" w:type="dxa"/>
            <w:vAlign w:val="bottom"/>
          </w:tcPr>
          <w:p>
            <w:pPr>
              <w:spacing w:after="0"/>
              <w:rPr>
                <w:sz w:val="1"/>
                <w:szCs w:val="1"/>
                <w:color w:val="auto"/>
              </w:rPr>
            </w:pP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receivables - (Restated)</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6,819</w:t>
            </w:r>
          </w:p>
        </w:tc>
        <w:tc>
          <w:tcPr>
            <w:tcW w:w="136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6,819</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6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 (Restated)</w:t>
            </w:r>
          </w:p>
        </w:tc>
        <w:tc>
          <w:tcPr>
            <w:tcW w:w="30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380,558</w:t>
            </w:r>
          </w:p>
        </w:tc>
        <w:tc>
          <w:tcPr>
            <w:tcW w:w="40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6,819</w:t>
            </w:r>
          </w:p>
        </w:tc>
        <w:tc>
          <w:tcPr>
            <w:tcW w:w="44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387,377</w:t>
            </w:r>
          </w:p>
        </w:tc>
      </w:tr>
      <w:tr>
        <w:trPr>
          <w:trHeight w:val="157"/>
        </w:trPr>
        <w:tc>
          <w:tcPr>
            <w:tcW w:w="6040" w:type="dxa"/>
            <w:vAlign w:val="bottom"/>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Financial liabilities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and non-current liabilities to credit institutions - (Restated)</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1,327,102</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1,327,102</w:t>
            </w: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Trade payables and trade payables - related parties</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1,032,579</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1,032,579</w:t>
            </w: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Accrued expenses and accrued expenses - related parties - (Restated)</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352,854</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352,854</w:t>
            </w: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Current and non-current liabilities related to repurchase commitments - (Restated)</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86,347</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86,347</w:t>
            </w: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current liabilities and other current liabilities - related parties - (Restated)</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55,911</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55,911</w:t>
            </w:r>
          </w:p>
        </w:tc>
      </w:tr>
      <w:tr>
        <w:trPr>
          <w:trHeight w:val="150"/>
        </w:trPr>
        <w:tc>
          <w:tcPr>
            <w:tcW w:w="604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Interest-bearing current liabilities and interest-bearing current liabilities - related parties -</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8"/>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(Restated)</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38,996</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38,996</w:t>
            </w:r>
          </w:p>
        </w:tc>
      </w:tr>
      <w:tr>
        <w:trPr>
          <w:trHeight w:val="197"/>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Advance payments from customers</w:t>
            </w:r>
          </w:p>
        </w:tc>
        <w:tc>
          <w:tcPr>
            <w:tcW w:w="3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35,717</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35,717</w:t>
            </w: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liabilities - (Restated)</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91,056</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91,056</w:t>
            </w:r>
          </w:p>
        </w:tc>
      </w:tr>
      <w:tr>
        <w:trPr>
          <w:trHeight w:val="150"/>
        </w:trPr>
        <w:tc>
          <w:tcPr>
            <w:tcW w:w="604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Other non-current interest-bearing liabilities and other non-current interest-bearing liabilities -</w:t>
            </w:r>
          </w:p>
        </w:tc>
        <w:tc>
          <w:tcPr>
            <w:tcW w:w="3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r>
      <w:tr>
        <w:trPr>
          <w:trHeight w:val="208"/>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related parties - (Restated)</w:t>
            </w:r>
          </w:p>
        </w:tc>
        <w:tc>
          <w:tcPr>
            <w:tcW w:w="30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64,185</w:t>
            </w: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10,784</w:t>
            </w:r>
          </w:p>
        </w:tc>
        <w:tc>
          <w:tcPr>
            <w:tcW w:w="3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74,969</w:t>
            </w:r>
          </w:p>
        </w:tc>
      </w:tr>
      <w:tr>
        <w:trPr>
          <w:trHeight w:val="197"/>
        </w:trPr>
        <w:tc>
          <w:tcPr>
            <w:tcW w:w="60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Current and non-current refund liabilities - (Restated)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20,991</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22,693</w:t>
            </w:r>
          </w:p>
        </w:tc>
      </w:tr>
      <w:tr>
        <w:trPr>
          <w:trHeight w:val="188"/>
        </w:trPr>
        <w:tc>
          <w:tcPr>
            <w:tcW w:w="60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 (Restated)</w:t>
            </w:r>
          </w:p>
        </w:tc>
        <w:tc>
          <w:tcPr>
            <w:tcW w:w="300" w:type="dxa"/>
            <w:vAlign w:val="bottom"/>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2,950,497</w:t>
            </w:r>
          </w:p>
        </w:tc>
        <w:tc>
          <w:tcPr>
            <w:tcW w:w="400" w:type="dxa"/>
            <w:vAlign w:val="bottom"/>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156,943</w:t>
            </w:r>
          </w:p>
        </w:tc>
        <w:tc>
          <w:tcPr>
            <w:tcW w:w="440" w:type="dxa"/>
            <w:vAlign w:val="bottom"/>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10,784</w:t>
            </w:r>
          </w:p>
        </w:tc>
        <w:tc>
          <w:tcPr>
            <w:tcW w:w="340" w:type="dxa"/>
            <w:vAlign w:val="bottom"/>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3,118,224</w:t>
            </w:r>
          </w:p>
        </w:tc>
      </w:tr>
    </w:tbl>
    <w:p>
      <w:pPr>
        <w:spacing w:after="0" w:line="15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Maturities are not provided for the Group's derivative liabilities related to the Earn-out rights and the Class C Shares that were assumed as part of the merger with GGI on June 23, 2022. The derivative liability related to the Earn-out rights can only be equity settled and therefore will never have a cash flow impact on the Group. The derivative liabilities related to the Class C Shares can be either cash or equity settled, depending on certain circumstances that may occur in the future. However, the timing of those circumstances are uncertain</w:t>
      </w: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and any cash flow impacts cannot be forecasted in a useful manner. Refer to </w:t>
      </w:r>
      <w:r>
        <w:rPr>
          <w:rFonts w:ascii="Times New Roman" w:cs="Times New Roman" w:eastAsia="Times New Roman" w:hAnsi="Times New Roman"/>
          <w:sz w:val="15"/>
          <w:szCs w:val="15"/>
          <w:i w:val="1"/>
          <w:iCs w:val="1"/>
          <w:color w:val="auto"/>
        </w:rPr>
        <w:t>Note 1 - Overview and basis of preparation</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more details on the financial liabilities related to the Class C Shares and the Earn-out rights.</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Polestar's material financial instruments measured at FVTPL are its derivative financial liabilities for the Earn-out rights and Class C Shares. For the year ended December 31, 2023 and 2022, respectively, Polestar recognized $465,168 and $937,158, in gains for these financial instruments measured at FVTPL.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18 - Reverse recapitalization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As previously outlined in </w:t>
      </w:r>
      <w:r>
        <w:rPr>
          <w:rFonts w:ascii="Times New Roman" w:cs="Times New Roman" w:eastAsia="Times New Roman" w:hAnsi="Times New Roman"/>
          <w:sz w:val="15"/>
          <w:szCs w:val="15"/>
          <w:i w:val="1"/>
          <w:iCs w:val="1"/>
          <w:color w:val="auto"/>
        </w:rPr>
        <w:t>Note 1 - Overview and basis of preparation</w:t>
      </w:r>
      <w:r>
        <w:rPr>
          <w:rFonts w:ascii="Times New Roman" w:cs="Times New Roman" w:eastAsia="Times New Roman" w:hAnsi="Times New Roman"/>
          <w:sz w:val="15"/>
          <w:szCs w:val="15"/>
          <w:color w:val="auto"/>
        </w:rPr>
        <w:t>, Polestar underwent a reverse recapitalization through the merger with GGI and related arrangements. Under</w:t>
      </w:r>
    </w:p>
    <w:p>
      <w:pPr>
        <w:spacing w:after="0" w:line="222" w:lineRule="auto"/>
        <w:rPr>
          <w:sz w:val="20"/>
          <w:szCs w:val="20"/>
          <w:color w:val="auto"/>
        </w:rPr>
      </w:pPr>
      <w:r>
        <w:rPr>
          <w:rFonts w:ascii="Times New Roman" w:cs="Times New Roman" w:eastAsia="Times New Roman" w:hAnsi="Times New Roman"/>
          <w:sz w:val="15"/>
          <w:szCs w:val="15"/>
          <w:color w:val="auto"/>
        </w:rPr>
        <w:t>this type of transaction structure, Polestar Group is the accounting acquirer and accounting predecessor while GGI is treated as the acquired entity for financial reporting purposes.</w:t>
      </w:r>
    </w:p>
    <w:p>
      <w:pPr>
        <w:spacing w:after="0"/>
        <w:rPr>
          <w:sz w:val="20"/>
          <w:szCs w:val="20"/>
          <w:color w:val="auto"/>
        </w:rPr>
      </w:pPr>
      <w:r>
        <w:rPr>
          <w:rFonts w:ascii="Times New Roman" w:cs="Times New Roman" w:eastAsia="Times New Roman" w:hAnsi="Times New Roman"/>
          <w:sz w:val="15"/>
          <w:szCs w:val="15"/>
          <w:color w:val="auto"/>
        </w:rPr>
        <w:t>The Group was deemed to be the accounting acquirer based on an evaluation of the following facts and circumstances:</w:t>
      </w:r>
    </w:p>
    <w:p>
      <w:pPr>
        <w:spacing w:after="0" w:line="55" w:lineRule="exact"/>
        <w:rPr>
          <w:sz w:val="20"/>
          <w:szCs w:val="20"/>
          <w:color w:val="auto"/>
        </w:rPr>
      </w:pPr>
    </w:p>
    <w:p>
      <w:pPr>
        <w:ind w:left="840" w:hanging="281"/>
        <w:spacing w:after="0"/>
        <w:tabs>
          <w:tab w:leader="none" w:pos="8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Shareholders of the Former Parent retained the largest voting interest in the Group with over 99% of the voting interests;</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of the Group comprises four members nominated by the Former Parent, as compared to one member nominated by certain investors in GGI;</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Former Parent has the ability to appoint the remaining members of the Board as deemed necessary;</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Former Parent’s senior management is the senior management of the Group;</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Former Parent’s operations comprise substantially all of the ongoing operations of the Group following the merger with GGI; and</w:t>
      </w:r>
    </w:p>
    <w:p>
      <w:pPr>
        <w:spacing w:after="0" w:line="70" w:lineRule="exact"/>
        <w:rPr>
          <w:rFonts w:ascii="Times New Roman" w:cs="Times New Roman" w:eastAsia="Times New Roman" w:hAnsi="Times New Roman"/>
          <w:sz w:val="15"/>
          <w:szCs w:val="15"/>
          <w:color w:val="auto"/>
        </w:rPr>
      </w:pPr>
    </w:p>
    <w:p>
      <w:pPr>
        <w:ind w:left="840" w:right="20" w:hanging="281"/>
        <w:spacing w:after="0" w:line="243" w:lineRule="auto"/>
        <w:tabs>
          <w:tab w:leader="none" w:pos="836"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was the larger entity by substantive operations and employee base while GGI lacked operating activities and maintained net assets principally comprised of cash.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 xml:space="preserve">GGI did not meet the definition of a business in accordance with IFRS 3, </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xml:space="preserve"> ("IFRS 3"), and the merger with GGI was instead accounted for within the scope of IFRS 2, </w:t>
      </w:r>
      <w:r>
        <w:rPr>
          <w:rFonts w:ascii="Times New Roman" w:cs="Times New Roman" w:eastAsia="Times New Roman" w:hAnsi="Times New Roman"/>
          <w:sz w:val="15"/>
          <w:szCs w:val="15"/>
          <w:i w:val="1"/>
          <w:iCs w:val="1"/>
          <w:color w:val="auto"/>
        </w:rPr>
        <w:t>Share-based payment</w:t>
      </w:r>
      <w:r>
        <w:rPr>
          <w:rFonts w:ascii="Times New Roman" w:cs="Times New Roman" w:eastAsia="Times New Roman" w:hAnsi="Times New Roman"/>
          <w:sz w:val="15"/>
          <w:szCs w:val="15"/>
          <w:color w:val="auto"/>
        </w:rPr>
        <w:t xml:space="preserve"> (“IFRS 2”), as a share-based payment transaction in exchange for a public listing service. Under IFRS 2, the Group recorded a one-time share-based</w:t>
      </w: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expense of $372,318 at the Closing of the BCA that was calculated based on the excess of the fair value of the Group issued to public investors via Class A Shares in Parent utilizing the publicly traded share price at the Closing of $11.23 over the fair value of the identifiable net assets of GGI that were acquired. The amount of GGI’s identifiable net assets of acquired at Closing,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579,146</w:t>
            </w:r>
          </w:p>
        </w:tc>
      </w:tr>
      <w:tr>
        <w:trPr>
          <w:trHeight w:val="197"/>
        </w:trPr>
        <w:tc>
          <w:tcPr>
            <w:tcW w:w="20" w:type="dxa"/>
            <w:vAlign w:val="bottom"/>
          </w:tcPr>
          <w:p>
            <w:pPr>
              <w:spacing w:after="0"/>
              <w:rPr>
                <w:sz w:val="17"/>
                <w:szCs w:val="17"/>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5"/>
                <w:szCs w:val="15"/>
                <w:color w:val="auto"/>
              </w:rPr>
              <w:t>Prepaid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6,050</w:t>
            </w:r>
          </w:p>
        </w:tc>
      </w:tr>
      <w:tr>
        <w:trPr>
          <w:trHeight w:val="197"/>
        </w:trPr>
        <w:tc>
          <w:tcPr>
            <w:tcW w:w="20" w:type="dxa"/>
            <w:vAlign w:val="bottom"/>
          </w:tcPr>
          <w:p>
            <w:pPr>
              <w:spacing w:after="0"/>
              <w:rPr>
                <w:sz w:val="17"/>
                <w:szCs w:val="17"/>
                <w:color w:val="auto"/>
              </w:rPr>
            </w:pPr>
          </w:p>
        </w:tc>
        <w:tc>
          <w:tcPr>
            <w:tcW w:w="9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Public warrant liability</w:t>
            </w:r>
          </w:p>
        </w:tc>
        <w:tc>
          <w:tcPr>
            <w:tcW w:w="1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(40,320)</w:t>
            </w:r>
          </w:p>
        </w:tc>
      </w:tr>
      <w:tr>
        <w:trPr>
          <w:trHeight w:val="197"/>
        </w:trPr>
        <w:tc>
          <w:tcPr>
            <w:tcW w:w="20" w:type="dxa"/>
            <w:vAlign w:val="bottom"/>
          </w:tcPr>
          <w:p>
            <w:pPr>
              <w:spacing w:after="0"/>
              <w:rPr>
                <w:sz w:val="17"/>
                <w:szCs w:val="17"/>
                <w:color w:val="auto"/>
              </w:rPr>
            </w:pPr>
          </w:p>
        </w:tc>
        <w:tc>
          <w:tcPr>
            <w:tcW w:w="98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Private warrant liability</w:t>
            </w:r>
          </w:p>
        </w:tc>
        <w:tc>
          <w:tcPr>
            <w:tcW w:w="1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(22,770)</w:t>
            </w:r>
          </w:p>
        </w:tc>
      </w:tr>
      <w:tr>
        <w:trPr>
          <w:trHeight w:val="188"/>
        </w:trPr>
        <w:tc>
          <w:tcPr>
            <w:tcW w:w="20" w:type="dxa"/>
            <w:vAlign w:val="bottom"/>
          </w:tcPr>
          <w:p>
            <w:pPr>
              <w:spacing w:after="0"/>
              <w:rPr>
                <w:sz w:val="16"/>
                <w:szCs w:val="16"/>
                <w:color w:val="auto"/>
              </w:rPr>
            </w:pPr>
          </w:p>
        </w:tc>
        <w:tc>
          <w:tcPr>
            <w:tcW w:w="9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GGI identifiable net assets at fair value</w:t>
            </w:r>
          </w:p>
        </w:tc>
        <w:tc>
          <w:tcPr>
            <w:tcW w:w="140" w:type="dxa"/>
            <w:vAlign w:val="bottom"/>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522,106</w:t>
            </w:r>
          </w:p>
        </w:tc>
      </w:tr>
      <w:tr>
        <w:trPr>
          <w:trHeight w:val="327"/>
        </w:trPr>
        <w:tc>
          <w:tcPr>
            <w:tcW w:w="9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net assets of GGI are stated at fair value, with no goodwill or other intangible assets recorded. The IFRS 2 Listing expense was calculated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97"/>
        </w:trPr>
        <w:tc>
          <w:tcPr>
            <w:tcW w:w="20" w:type="dxa"/>
            <w:vAlign w:val="bottom"/>
            <w:shd w:val="clear" w:color="auto" w:fill="DBDBDB"/>
          </w:tcPr>
          <w:p>
            <w:pPr>
              <w:spacing w:after="0"/>
              <w:rPr>
                <w:sz w:val="17"/>
                <w:szCs w:val="17"/>
                <w:color w:val="auto"/>
              </w:rPr>
            </w:pPr>
          </w:p>
        </w:tc>
        <w:tc>
          <w:tcPr>
            <w:tcW w:w="9840" w:type="dxa"/>
            <w:vAlign w:val="bottom"/>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Fair value of Polestar</w:t>
            </w:r>
            <w:r>
              <w:rPr>
                <w:rFonts w:ascii="Times New Roman" w:cs="Times New Roman" w:eastAsia="Times New Roman" w:hAnsi="Times New Roman"/>
                <w:sz w:val="20"/>
                <w:szCs w:val="20"/>
                <w:color w:val="auto"/>
                <w:vertAlign w:val="superscript"/>
              </w:rPr>
              <w:t>1</w:t>
            </w:r>
          </w:p>
        </w:tc>
        <w:tc>
          <w:tcPr>
            <w:tcW w:w="1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22,183,823</w:t>
            </w:r>
          </w:p>
        </w:tc>
      </w:tr>
      <w:tr>
        <w:trPr>
          <w:trHeight w:val="197"/>
        </w:trPr>
        <w:tc>
          <w:tcPr>
            <w:tcW w:w="20" w:type="dxa"/>
            <w:vAlign w:val="bottom"/>
          </w:tcPr>
          <w:p>
            <w:pPr>
              <w:spacing w:after="0"/>
              <w:rPr>
                <w:sz w:val="17"/>
                <w:szCs w:val="17"/>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5"/>
                <w:szCs w:val="15"/>
                <w:color w:val="auto"/>
              </w:rPr>
              <w:t>Equity interest in Polestar issued to GGI shareholders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197"/>
        </w:trPr>
        <w:tc>
          <w:tcPr>
            <w:tcW w:w="20" w:type="dxa"/>
            <w:vAlign w:val="bottom"/>
            <w:shd w:val="clear" w:color="auto" w:fill="DBDBDB"/>
          </w:tcPr>
          <w:p>
            <w:pPr>
              <w:spacing w:after="0"/>
              <w:rPr>
                <w:sz w:val="17"/>
                <w:szCs w:val="17"/>
                <w:color w:val="auto"/>
              </w:rPr>
            </w:pPr>
          </w:p>
        </w:tc>
        <w:tc>
          <w:tcPr>
            <w:tcW w:w="9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Equity interest in Polestar issued to Former Parent shareholders</w:t>
            </w:r>
          </w:p>
        </w:tc>
        <w:tc>
          <w:tcPr>
            <w:tcW w:w="1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94.9 %</w:t>
            </w:r>
          </w:p>
        </w:tc>
      </w:tr>
      <w:tr>
        <w:trPr>
          <w:trHeight w:val="197"/>
        </w:trPr>
        <w:tc>
          <w:tcPr>
            <w:tcW w:w="20" w:type="dxa"/>
            <w:vAlign w:val="bottom"/>
          </w:tcPr>
          <w:p>
            <w:pPr>
              <w:spacing w:after="0"/>
              <w:rPr>
                <w:sz w:val="17"/>
                <w:szCs w:val="17"/>
                <w:color w:val="auto"/>
              </w:rPr>
            </w:pPr>
          </w:p>
        </w:tc>
        <w:tc>
          <w:tcPr>
            <w:tcW w:w="984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Deemed cost of shares issued by Polestar</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1,131,375</w:t>
            </w:r>
          </w:p>
        </w:tc>
      </w:tr>
      <w:tr>
        <w:trPr>
          <w:trHeight w:val="197"/>
        </w:trPr>
        <w:tc>
          <w:tcPr>
            <w:tcW w:w="20" w:type="dxa"/>
            <w:vAlign w:val="bottom"/>
            <w:shd w:val="clear" w:color="auto" w:fill="DBDBDB"/>
          </w:tcPr>
          <w:p>
            <w:pPr>
              <w:spacing w:after="0"/>
              <w:rPr>
                <w:sz w:val="17"/>
                <w:szCs w:val="17"/>
                <w:color w:val="auto"/>
              </w:rPr>
            </w:pPr>
          </w:p>
        </w:tc>
        <w:tc>
          <w:tcPr>
            <w:tcW w:w="9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GGI identifiable net assets at fair value</w:t>
            </w:r>
          </w:p>
        </w:tc>
        <w:tc>
          <w:tcPr>
            <w:tcW w:w="1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(522,106)</w:t>
            </w:r>
          </w:p>
        </w:tc>
      </w:tr>
      <w:tr>
        <w:trPr>
          <w:trHeight w:val="197"/>
        </w:trPr>
        <w:tc>
          <w:tcPr>
            <w:tcW w:w="20" w:type="dxa"/>
            <w:vAlign w:val="bottom"/>
            <w:tcBorders>
              <w:bottom w:val="single" w:sz="8" w:color="DBDBDB"/>
            </w:tcBorders>
          </w:tcPr>
          <w:p>
            <w:pPr>
              <w:spacing w:after="0"/>
              <w:rPr>
                <w:sz w:val="17"/>
                <w:szCs w:val="17"/>
                <w:color w:val="auto"/>
              </w:rPr>
            </w:pPr>
          </w:p>
        </w:tc>
        <w:tc>
          <w:tcPr>
            <w:tcW w:w="98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Sponsor and third-party PIPE Cash</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(236,951)</w:t>
            </w:r>
          </w:p>
        </w:tc>
      </w:tr>
      <w:tr>
        <w:trPr>
          <w:trHeight w:val="188"/>
        </w:trPr>
        <w:tc>
          <w:tcPr>
            <w:tcW w:w="20" w:type="dxa"/>
            <w:vAlign w:val="bottom"/>
            <w:shd w:val="clear" w:color="auto" w:fill="DBDBDB"/>
          </w:tcPr>
          <w:p>
            <w:pPr>
              <w:spacing w:after="0"/>
              <w:rPr>
                <w:sz w:val="16"/>
                <w:szCs w:val="16"/>
                <w:color w:val="auto"/>
              </w:rPr>
            </w:pPr>
          </w:p>
        </w:tc>
        <w:tc>
          <w:tcPr>
            <w:tcW w:w="9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IFRS 2 Listing Expense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372,318</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The deemed cost of the shares issued by Polestar was estimated based on the fair value of Polestar at Closing, less an adjustment in respect to the fair value of the earn-out rights (discussed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Class C Shares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the Closing of the BCA, Public Warrants and Private Warrants in GGI that were issued and are outstanding immediately prior to the Closing were exchanged for Class C-1 Shares and Class C-2 Shares in Parent. Class C-1 Shares have the following terms:</w:t>
      </w:r>
    </w:p>
    <w:p>
      <w:pPr>
        <w:spacing w:after="0" w:line="27" w:lineRule="exact"/>
        <w:rPr>
          <w:sz w:val="20"/>
          <w:szCs w:val="20"/>
          <w:color w:val="auto"/>
        </w:rPr>
      </w:pPr>
    </w:p>
    <w:p>
      <w:pPr>
        <w:ind w:left="840" w:hanging="281"/>
        <w:spacing w:after="0" w:line="246" w:lineRule="auto"/>
        <w:tabs>
          <w:tab w:leader="none" w:pos="83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whole Class C-1 Share entitles the holder to purchase one Class A Share in Parent at an exercise price of $11.50, subject to adjustments for split-ups and dividends. The Class C-1 Shares may also be exercised on a cashless basis by the holder</w:t>
      </w:r>
    </w:p>
    <w:p>
      <w:pPr>
        <w:spacing w:after="0" w:line="51"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whole Class C-1 Share is exercisable 30 days after the Closing of the BCA and expires on the earlier of:</w:t>
      </w:r>
    </w:p>
    <w:p>
      <w:pPr>
        <w:spacing w:after="0" w:line="70"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June 23, 2027,</w:t>
      </w:r>
    </w:p>
    <w:p>
      <w:pPr>
        <w:spacing w:after="0" w:line="70"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the Class C-1 Shares are redeemed by the Group, or</w:t>
      </w:r>
    </w:p>
    <w:p>
      <w:pPr>
        <w:spacing w:after="0" w:line="82"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liquidation of the Group.</w:t>
      </w:r>
    </w:p>
    <w:p>
      <w:pPr>
        <w:spacing w:after="0" w:line="70" w:lineRule="exact"/>
        <w:rPr>
          <w:rFonts w:ascii="Times New Roman" w:cs="Times New Roman" w:eastAsia="Times New Roman" w:hAnsi="Times New Roman"/>
          <w:sz w:val="15"/>
          <w:szCs w:val="15"/>
          <w:color w:val="auto"/>
        </w:rPr>
      </w:pPr>
    </w:p>
    <w:p>
      <w:pPr>
        <w:jc w:val="both"/>
        <w:ind w:left="840" w:right="20" w:hanging="281"/>
        <w:spacing w:after="0" w:line="230" w:lineRule="auto"/>
        <w:tabs>
          <w:tab w:leader="none" w:pos="83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may (1) redeem the outstanding whole Class C-1 Shares at a price of $0.01 per Class C-1 Share or (2) convert the outstanding whole Class C-1 Shares in Class A Shares in Parent on a cashless basis any time while the warrants are exercisable upon a minimum of 30 days prior written notice of redemption if, and only if, the last sales price of the Class A Shares in Parent equals or exceeds $18 per share (as adjusted for split-ups, dividends, and the like) on each of 20 trading days within any 30 trading day period ending on the third business day prior to the date on which redemption notice is given.</w:t>
      </w:r>
    </w:p>
    <w:p>
      <w:pPr>
        <w:spacing w:after="0" w:line="44" w:lineRule="exact"/>
        <w:rPr>
          <w:rFonts w:ascii="Times New Roman" w:cs="Times New Roman" w:eastAsia="Times New Roman" w:hAnsi="Times New Roman"/>
          <w:sz w:val="15"/>
          <w:szCs w:val="15"/>
          <w:color w:val="auto"/>
        </w:rPr>
      </w:pPr>
    </w:p>
    <w:p>
      <w:pPr>
        <w:ind w:left="840" w:right="20" w:hanging="281"/>
        <w:spacing w:after="0" w:line="251" w:lineRule="auto"/>
        <w:tabs>
          <w:tab w:leader="none" w:pos="83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may require the conversion of all of the outstanding Class C-1 Shares into Class A Shares in Parent on a cashless basis beginning on October 24, 2022, provided:</w:t>
      </w:r>
    </w:p>
    <w:p>
      <w:pPr>
        <w:spacing w:after="0" w:line="224" w:lineRule="exact"/>
        <w:rPr>
          <w:rFonts w:ascii="Times New Roman" w:cs="Times New Roman" w:eastAsia="Times New Roman" w:hAnsi="Times New Roman"/>
          <w:sz w:val="15"/>
          <w:szCs w:val="15"/>
          <w:color w:val="auto"/>
        </w:rPr>
      </w:pPr>
    </w:p>
    <w:p>
      <w:pPr>
        <w:ind w:left="1100" w:hanging="274"/>
        <w:spacing w:after="0" w:line="246" w:lineRule="auto"/>
        <w:tabs>
          <w:tab w:leader="none" w:pos="1097"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last reported price of the Class A Shares in Parent was at least $10.00 per share (as adjusted for split-ups, dividends, and the like) on the trading day prior to the date on which redemption notice is given,</w:t>
      </w:r>
    </w:p>
    <w:p>
      <w:pPr>
        <w:spacing w:after="0" w:line="51"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C-2 Shares are converted on the same basis as the outstanding Class C-1 Shares, and</w:t>
      </w:r>
    </w:p>
    <w:p>
      <w:pPr>
        <w:spacing w:after="0" w:line="70" w:lineRule="exact"/>
        <w:rPr>
          <w:rFonts w:ascii="Times New Roman" w:cs="Times New Roman" w:eastAsia="Times New Roman" w:hAnsi="Times New Roman"/>
          <w:sz w:val="15"/>
          <w:szCs w:val="15"/>
          <w:color w:val="auto"/>
        </w:rPr>
      </w:pPr>
    </w:p>
    <w:p>
      <w:pPr>
        <w:ind w:left="1100" w:hanging="274"/>
        <w:spacing w:after="0" w:line="246" w:lineRule="auto"/>
        <w:tabs>
          <w:tab w:leader="none" w:pos="1097"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an effective registration statement covering the Class A Shares in Parent arising upon conversion of the Class C Shares is available for 30 days prior to the date the Class C-1 Shares are redeemed by the Group.</w:t>
      </w:r>
    </w:p>
    <w:p>
      <w:pPr>
        <w:spacing w:after="0" w:line="51" w:lineRule="exact"/>
        <w:rPr>
          <w:rFonts w:ascii="Times New Roman" w:cs="Times New Roman" w:eastAsia="Times New Roman" w:hAnsi="Times New Roman"/>
          <w:sz w:val="15"/>
          <w:szCs w:val="15"/>
          <w:color w:val="auto"/>
        </w:rPr>
      </w:pPr>
    </w:p>
    <w:p>
      <w:pPr>
        <w:ind w:left="840" w:hanging="281"/>
        <w:spacing w:after="0" w:line="246" w:lineRule="auto"/>
        <w:tabs>
          <w:tab w:leader="none" w:pos="83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C-1 Shares may be exercised, on a cash or cashless basis at any time after a notice of redemption shall have been given by the Group and prior to the date the Class C-1 Shares are redeemed by the Group.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Class C-2 Shares are identical to the Class C-1 Shares, except that the Class C-2 Shares:</w:t>
      </w:r>
    </w:p>
    <w:p>
      <w:pPr>
        <w:spacing w:after="0" w:line="71" w:lineRule="exact"/>
        <w:rPr>
          <w:sz w:val="20"/>
          <w:szCs w:val="20"/>
          <w:color w:val="auto"/>
        </w:rPr>
      </w:pPr>
    </w:p>
    <w:p>
      <w:pPr>
        <w:ind w:left="840" w:hanging="281"/>
        <w:spacing w:after="0"/>
        <w:tabs>
          <w:tab w:leader="none" w:pos="8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not redeemable by the Group as long as they are held by certain GGI investors and their permitted transferees;</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automatically convert to Class C-1 Shares if they are transferred to individuals other than certain GGI investors and their permitted transferees;</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converted to Class C-1 Shares at any time by the holder upon notification to the Group; and</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exercisable on a cashless basis by the holder.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The Group applied the provisions of IAS 32</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IFRS 9 in accounting for the Class C Shares. Under IAS 32 and IFRS 9, the Class C Shares failed to meet the definition of equity because they could result in the issuance of a variable number of Class A Shares in the Parent in the case of a cashless basis exercise. Additionally, in the case of a redemption or</w:t>
      </w:r>
    </w:p>
    <w:p>
      <w:pPr>
        <w:jc w:val="both"/>
        <w:spacing w:after="0"/>
        <w:rPr>
          <w:sz w:val="20"/>
          <w:szCs w:val="20"/>
          <w:color w:val="auto"/>
        </w:rPr>
      </w:pPr>
      <w:r>
        <w:rPr>
          <w:rFonts w:ascii="Times New Roman" w:cs="Times New Roman" w:eastAsia="Times New Roman" w:hAnsi="Times New Roman"/>
          <w:sz w:val="15"/>
          <w:szCs w:val="15"/>
          <w:color w:val="auto"/>
        </w:rPr>
        <w:t>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recognized in the Consolidated Statement of Loss and Comprehensive Loss at each reporting date.</w:t>
      </w:r>
    </w:p>
    <w:p>
      <w:pPr>
        <w:spacing w:after="0" w:line="19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 xml:space="preserve">The Class C-1 Shares are publicly traded on the Nasdaq (i.e., Level 1 input) and the closing share price of the GGI Public Warrants on June 23, 2022 was used to measure their fair value upon initial recognition. The Class C-2 Shares are not publicly traded and require a valuation approach leveraging Level 2 inputs. Refer to </w:t>
      </w:r>
      <w:r>
        <w:rPr>
          <w:rFonts w:ascii="Times New Roman" w:cs="Times New Roman" w:eastAsia="Times New Roman" w:hAnsi="Times New Roman"/>
          <w:sz w:val="15"/>
          <w:szCs w:val="15"/>
          <w:i w:val="1"/>
          <w:iCs w:val="1"/>
          <w:color w:val="auto"/>
        </w:rPr>
        <w:t>Note 1 - Overview and basis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preparation </w:t>
      </w:r>
      <w:r>
        <w:rPr>
          <w:rFonts w:ascii="Times New Roman" w:cs="Times New Roman" w:eastAsia="Times New Roman" w:hAnsi="Times New Roman"/>
          <w:sz w:val="15"/>
          <w:szCs w:val="15"/>
          <w:color w:val="auto"/>
        </w:rPr>
        <w:t>for further details on the valuation methodology utilized to determine the fair value of the Class C-2 Shares upon initial recognition and subsequently thereafter. On</w:t>
      </w:r>
    </w:p>
    <w:p>
      <w:pPr>
        <w:jc w:val="both"/>
        <w:spacing w:after="0" w:line="232" w:lineRule="auto"/>
        <w:rPr>
          <w:sz w:val="20"/>
          <w:szCs w:val="20"/>
          <w:color w:val="auto"/>
        </w:rPr>
      </w:pPr>
      <w:r>
        <w:rPr>
          <w:rFonts w:ascii="Times New Roman" w:cs="Times New Roman" w:eastAsia="Times New Roman" w:hAnsi="Times New Roman"/>
          <w:sz w:val="15"/>
          <w:szCs w:val="15"/>
          <w:color w:val="auto"/>
        </w:rPr>
        <w:t>March 22, 2023, 4,500,000 Class C-2 Shares with a fair value of $3,285 were converted to 4,500,000 Class C-1 Shares with the same fair value following the election by the respective holders of the Class C-2 Shares and approval from the Board of Directors.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Pr>
          <w:p>
            <w:pPr>
              <w:spacing w:after="0"/>
              <w:rPr>
                <w:sz w:val="17"/>
                <w:szCs w:val="17"/>
                <w:color w:val="auto"/>
              </w:rPr>
            </w:pPr>
          </w:p>
        </w:tc>
        <w:tc>
          <w:tcPr>
            <w:tcW w:w="314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540" w:type="dxa"/>
            <w:vAlign w:val="bottom"/>
            <w:tcBorders>
              <w:bottom w:val="single" w:sz="8" w:color="auto"/>
            </w:tcBorders>
            <w:gridSpan w:val="2"/>
            <w:shd w:val="clear" w:color="auto" w:fill="DBDBDB"/>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220" w:type="dxa"/>
            <w:vAlign w:val="bottom"/>
            <w:tcBorders>
              <w:bottom w:val="single" w:sz="8" w:color="auto"/>
            </w:tcBorders>
            <w:gridSpan w:val="2"/>
            <w:shd w:val="clear" w:color="auto" w:fill="DBDBDB"/>
          </w:tcPr>
          <w:p>
            <w:pPr>
              <w:ind w:left="48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14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spacing w:after="0"/>
              <w:rPr>
                <w:sz w:val="17"/>
                <w:szCs w:val="17"/>
                <w:color w:val="auto"/>
              </w:rPr>
            </w:pPr>
          </w:p>
        </w:tc>
        <w:tc>
          <w:tcPr>
            <w:tcW w:w="280" w:type="dxa"/>
            <w:vAlign w:val="bottom"/>
          </w:tcPr>
          <w:p>
            <w:pPr>
              <w:spacing w:after="0"/>
              <w:rPr>
                <w:sz w:val="17"/>
                <w:szCs w:val="17"/>
                <w:color w:val="auto"/>
              </w:rPr>
            </w:pPr>
          </w:p>
        </w:tc>
      </w:tr>
      <w:tr>
        <w:trPr>
          <w:trHeight w:val="188"/>
        </w:trPr>
        <w:tc>
          <w:tcPr>
            <w:tcW w:w="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Liability Fair Value</w:t>
            </w:r>
          </w:p>
        </w:tc>
        <w:tc>
          <w:tcPr>
            <w:tcW w:w="1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220" w:type="dxa"/>
            <w:vAlign w:val="bottom"/>
          </w:tcPr>
          <w:p>
            <w:pPr>
              <w:spacing w:after="0"/>
              <w:rPr>
                <w:sz w:val="16"/>
                <w:szCs w:val="16"/>
                <w:color w:val="auto"/>
              </w:rPr>
            </w:pPr>
          </w:p>
        </w:tc>
        <w:tc>
          <w:tcPr>
            <w:tcW w:w="1740" w:type="dxa"/>
            <w:vAlign w:val="bottom"/>
            <w:gridSpan w:val="3"/>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Liability Fair Value</w:t>
            </w:r>
          </w:p>
        </w:tc>
        <w:tc>
          <w:tcPr>
            <w:tcW w:w="1840" w:type="dxa"/>
            <w:vAlign w:val="bottom"/>
            <w:gridSpan w:val="3"/>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28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3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Class C-1 Shares</w:t>
            </w: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4,920</w:t>
            </w: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20,499,965</w:t>
            </w: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17,920</w:t>
            </w:r>
          </w:p>
        </w:tc>
        <w:tc>
          <w:tcPr>
            <w:tcW w:w="8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15,999,965</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1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Class C-2 Shares</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1,080</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4,500,000</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10,080</w:t>
            </w: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9,000,000</w:t>
            </w:r>
          </w:p>
        </w:tc>
        <w:tc>
          <w:tcPr>
            <w:tcW w:w="280" w:type="dxa"/>
            <w:vAlign w:val="bottom"/>
          </w:tcPr>
          <w:p>
            <w:pPr>
              <w:spacing w:after="0"/>
              <w:rPr>
                <w:sz w:val="17"/>
                <w:szCs w:val="17"/>
                <w:color w:val="auto"/>
              </w:rPr>
            </w:pPr>
          </w:p>
        </w:tc>
      </w:tr>
      <w:tr>
        <w:trPr>
          <w:trHeight w:val="188"/>
        </w:trPr>
        <w:tc>
          <w:tcPr>
            <w:tcW w:w="280" w:type="dxa"/>
            <w:vAlign w:val="bottom"/>
          </w:tcPr>
          <w:p>
            <w:pPr>
              <w:spacing w:after="0"/>
              <w:rPr>
                <w:sz w:val="16"/>
                <w:szCs w:val="16"/>
                <w:color w:val="auto"/>
              </w:rPr>
            </w:pPr>
          </w:p>
        </w:tc>
        <w:tc>
          <w:tcPr>
            <w:tcW w:w="3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78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6,000</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24,999,965</w:t>
            </w: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bottom w:val="single" w:sz="8" w:color="auto"/>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34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28,000</w:t>
            </w:r>
          </w:p>
        </w:tc>
        <w:tc>
          <w:tcPr>
            <w:tcW w:w="88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24,999,965</w:t>
            </w:r>
          </w:p>
        </w:tc>
        <w:tc>
          <w:tcPr>
            <w:tcW w:w="28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gridSpan w:val="3"/>
          </w:tcPr>
          <w:p>
            <w:pPr>
              <w:spacing w:after="0"/>
              <w:rPr>
                <w:sz w:val="16"/>
                <w:szCs w:val="16"/>
                <w:color w:val="auto"/>
              </w:rPr>
            </w:pPr>
          </w:p>
        </w:tc>
      </w:tr>
      <w:tr>
        <w:trPr>
          <w:trHeight w:val="197"/>
        </w:trPr>
        <w:tc>
          <w:tcPr>
            <w:tcW w:w="280" w:type="dxa"/>
            <w:vAlign w:val="bottom"/>
            <w:shd w:val="clear" w:color="auto" w:fill="DBDBDB"/>
          </w:tcPr>
          <w:p>
            <w:pPr>
              <w:spacing w:after="0"/>
              <w:rPr>
                <w:sz w:val="17"/>
                <w:szCs w:val="17"/>
                <w:color w:val="auto"/>
              </w:rPr>
            </w:pPr>
          </w:p>
        </w:tc>
        <w:tc>
          <w:tcPr>
            <w:tcW w:w="31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24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Class C-1 Shares</w:t>
            </w: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2022</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Class C-1 Shares issued</w:t>
            </w: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40,320</w:t>
            </w:r>
          </w:p>
        </w:tc>
      </w:tr>
      <w:tr>
        <w:trPr>
          <w:trHeight w:val="197"/>
        </w:trPr>
        <w:tc>
          <w:tcPr>
            <w:tcW w:w="342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200" w:type="dxa"/>
            <w:vAlign w:val="bottom"/>
            <w:tcBorders>
              <w:bottom w:val="single" w:sz="8" w:color="DBDBDB"/>
            </w:tcBorders>
          </w:tcPr>
          <w:p>
            <w:pPr>
              <w:spacing w:after="0"/>
              <w:rPr>
                <w:sz w:val="17"/>
                <w:szCs w:val="17"/>
                <w:color w:val="auto"/>
              </w:rPr>
            </w:pPr>
          </w:p>
        </w:tc>
        <w:tc>
          <w:tcPr>
            <w:tcW w:w="178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spacing w:after="0"/>
              <w:rPr>
                <w:sz w:val="17"/>
                <w:szCs w:val="17"/>
                <w:color w:val="auto"/>
              </w:rPr>
            </w:pPr>
          </w:p>
        </w:tc>
        <w:tc>
          <w:tcPr>
            <w:tcW w:w="8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(22,400)</w:t>
            </w:r>
          </w:p>
        </w:tc>
      </w:tr>
      <w:tr>
        <w:trPr>
          <w:trHeight w:val="188"/>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200" w:type="dxa"/>
            <w:vAlign w:val="bottom"/>
            <w:shd w:val="clear" w:color="auto" w:fill="DBDBDB"/>
          </w:tcPr>
          <w:p>
            <w:pPr>
              <w:spacing w:after="0"/>
              <w:rPr>
                <w:sz w:val="16"/>
                <w:szCs w:val="16"/>
                <w:color w:val="auto"/>
              </w:rPr>
            </w:pPr>
          </w:p>
        </w:tc>
        <w:tc>
          <w:tcPr>
            <w:tcW w:w="17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17,920</w:t>
            </w: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Class C-2 Shares converted to Class C-1 Shares</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3,285</w:t>
            </w:r>
          </w:p>
        </w:tc>
      </w:tr>
      <w:tr>
        <w:trPr>
          <w:trHeight w:val="197"/>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(16,285)</w:t>
            </w: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4,920</w:t>
            </w:r>
          </w:p>
        </w:tc>
      </w:tr>
      <w:tr>
        <w:trPr>
          <w:trHeight w:val="188"/>
        </w:trPr>
        <w:tc>
          <w:tcPr>
            <w:tcW w:w="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gridSpan w:val="3"/>
          </w:tcPr>
          <w:p>
            <w:pPr>
              <w:spacing w:after="0"/>
              <w:rPr>
                <w:sz w:val="16"/>
                <w:szCs w:val="16"/>
                <w:color w:val="auto"/>
              </w:rPr>
            </w:pPr>
          </w:p>
        </w:tc>
      </w:tr>
      <w:tr>
        <w:trPr>
          <w:trHeight w:val="197"/>
        </w:trPr>
        <w:tc>
          <w:tcPr>
            <w:tcW w:w="280" w:type="dxa"/>
            <w:vAlign w:val="bottom"/>
            <w:shd w:val="clear" w:color="auto" w:fill="DBDBDB"/>
          </w:tcPr>
          <w:p>
            <w:pPr>
              <w:spacing w:after="0"/>
              <w:rPr>
                <w:sz w:val="17"/>
                <w:szCs w:val="17"/>
                <w:color w:val="auto"/>
              </w:rPr>
            </w:pPr>
          </w:p>
        </w:tc>
        <w:tc>
          <w:tcPr>
            <w:tcW w:w="31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24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Class C-2 Shares</w:t>
            </w: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2022</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7"/>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Class C-2 Shares issued</w:t>
            </w: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22,770</w:t>
            </w:r>
          </w:p>
        </w:tc>
      </w:tr>
      <w:tr>
        <w:trPr>
          <w:trHeight w:val="197"/>
        </w:trPr>
        <w:tc>
          <w:tcPr>
            <w:tcW w:w="342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200" w:type="dxa"/>
            <w:vAlign w:val="bottom"/>
            <w:tcBorders>
              <w:bottom w:val="single" w:sz="8" w:color="DBDBDB"/>
            </w:tcBorders>
          </w:tcPr>
          <w:p>
            <w:pPr>
              <w:spacing w:after="0"/>
              <w:rPr>
                <w:sz w:val="17"/>
                <w:szCs w:val="17"/>
                <w:color w:val="auto"/>
              </w:rPr>
            </w:pPr>
          </w:p>
        </w:tc>
        <w:tc>
          <w:tcPr>
            <w:tcW w:w="178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spacing w:after="0"/>
              <w:rPr>
                <w:sz w:val="17"/>
                <w:szCs w:val="17"/>
                <w:color w:val="auto"/>
              </w:rPr>
            </w:pPr>
          </w:p>
        </w:tc>
        <w:tc>
          <w:tcPr>
            <w:tcW w:w="8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(12,690)</w:t>
            </w:r>
          </w:p>
        </w:tc>
      </w:tr>
      <w:tr>
        <w:trPr>
          <w:trHeight w:val="188"/>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200" w:type="dxa"/>
            <w:vAlign w:val="bottom"/>
            <w:shd w:val="clear" w:color="auto" w:fill="DBDBDB"/>
          </w:tcPr>
          <w:p>
            <w:pPr>
              <w:spacing w:after="0"/>
              <w:rPr>
                <w:sz w:val="16"/>
                <w:szCs w:val="16"/>
                <w:color w:val="auto"/>
              </w:rPr>
            </w:pPr>
          </w:p>
        </w:tc>
        <w:tc>
          <w:tcPr>
            <w:tcW w:w="17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10,080</w:t>
            </w: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Class C-2 Shares converted to Class C-1 Shares</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(3,285)</w:t>
            </w:r>
          </w:p>
        </w:tc>
      </w:tr>
      <w:tr>
        <w:trPr>
          <w:trHeight w:val="197"/>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(5,715)</w:t>
            </w: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1,080</w:t>
            </w:r>
          </w:p>
        </w:tc>
      </w:tr>
      <w:tr>
        <w:trPr>
          <w:trHeight w:val="327"/>
        </w:trPr>
        <w:tc>
          <w:tcPr>
            <w:tcW w:w="3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fair value change for Class C Shares are as follows:</w:t>
            </w: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4"/>
        </w:trPr>
        <w:tc>
          <w:tcPr>
            <w:tcW w:w="2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60" w:type="dxa"/>
            <w:vAlign w:val="bottom"/>
            <w:gridSpan w:val="5"/>
          </w:tcPr>
          <w:p>
            <w:pPr>
              <w:spacing w:after="0"/>
              <w:rPr>
                <w:sz w:val="9"/>
                <w:szCs w:val="9"/>
                <w:color w:val="auto"/>
              </w:rPr>
            </w:pPr>
          </w:p>
        </w:tc>
      </w:tr>
      <w:tr>
        <w:trPr>
          <w:trHeight w:val="197"/>
        </w:trPr>
        <w:tc>
          <w:tcPr>
            <w:tcW w:w="280" w:type="dxa"/>
            <w:vAlign w:val="bottom"/>
            <w:shd w:val="clear" w:color="auto" w:fill="DBDBDB"/>
          </w:tcPr>
          <w:p>
            <w:pPr>
              <w:spacing w:after="0"/>
              <w:rPr>
                <w:sz w:val="17"/>
                <w:szCs w:val="17"/>
                <w:color w:val="auto"/>
              </w:rPr>
            </w:pPr>
          </w:p>
        </w:tc>
        <w:tc>
          <w:tcPr>
            <w:tcW w:w="31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3460" w:type="dxa"/>
            <w:vAlign w:val="bottom"/>
            <w:tcBorders>
              <w:bottom w:val="single" w:sz="8" w:color="auto"/>
            </w:tcBorders>
            <w:gridSpan w:val="5"/>
            <w:shd w:val="clear" w:color="auto" w:fill="DBDBDB"/>
          </w:tcPr>
          <w:p>
            <w:pPr>
              <w:ind w:left="50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280" w:type="dxa"/>
            <w:vAlign w:val="bottom"/>
            <w:tcBorders>
              <w:bottom w:val="single" w:sz="8" w:color="DBDBDB"/>
            </w:tcBorders>
          </w:tcPr>
          <w:p>
            <w:pPr>
              <w:spacing w:after="0"/>
              <w:rPr>
                <w:sz w:val="16"/>
                <w:szCs w:val="16"/>
                <w:color w:val="auto"/>
              </w:rPr>
            </w:pPr>
          </w:p>
        </w:tc>
        <w:tc>
          <w:tcPr>
            <w:tcW w:w="3140" w:type="dxa"/>
            <w:vAlign w:val="bottom"/>
            <w:tcBorders>
              <w:bottom w:val="single" w:sz="8" w:color="DBDBDB"/>
            </w:tcBorders>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1780" w:type="dxa"/>
            <w:vAlign w:val="bottom"/>
            <w:tcBorders>
              <w:bottom w:val="single" w:sz="8" w:color="DBDBDB"/>
            </w:tcBorders>
          </w:tcPr>
          <w:p>
            <w:pPr>
              <w:spacing w:after="0"/>
              <w:rPr>
                <w:sz w:val="16"/>
                <w:szCs w:val="16"/>
                <w:color w:val="auto"/>
              </w:rPr>
            </w:pPr>
          </w:p>
        </w:tc>
        <w:tc>
          <w:tcPr>
            <w:tcW w:w="176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280" w:type="dxa"/>
            <w:vAlign w:val="bottom"/>
            <w:tcBorders>
              <w:bottom w:val="single" w:sz="8" w:color="auto"/>
            </w:tcBorders>
          </w:tcPr>
          <w:p>
            <w:pPr>
              <w:spacing w:after="0"/>
              <w:rPr>
                <w:sz w:val="16"/>
                <w:szCs w:val="16"/>
                <w:color w:val="auto"/>
              </w:rPr>
            </w:pPr>
          </w:p>
        </w:tc>
      </w:tr>
      <w:tr>
        <w:trPr>
          <w:trHeight w:val="188"/>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Fair value change - Class C-1 Shares</w:t>
            </w:r>
          </w:p>
        </w:tc>
        <w:tc>
          <w:tcPr>
            <w:tcW w:w="200" w:type="dxa"/>
            <w:vAlign w:val="bottom"/>
            <w:shd w:val="clear" w:color="auto" w:fill="DBDBDB"/>
          </w:tcPr>
          <w:p>
            <w:pPr>
              <w:spacing w:after="0"/>
              <w:rPr>
                <w:sz w:val="16"/>
                <w:szCs w:val="16"/>
                <w:color w:val="auto"/>
              </w:rPr>
            </w:pPr>
          </w:p>
        </w:tc>
        <w:tc>
          <w:tcPr>
            <w:tcW w:w="17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color w:val="auto"/>
              </w:rPr>
              <w:t>13,000</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22,400</w:t>
            </w:r>
          </w:p>
        </w:tc>
        <w:tc>
          <w:tcPr>
            <w:tcW w:w="1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342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5"/>
                <w:szCs w:val="15"/>
                <w:color w:val="auto"/>
              </w:rPr>
              <w:t>Fair value change - Class C-2 Shares</w:t>
            </w:r>
          </w:p>
        </w:tc>
        <w:tc>
          <w:tcPr>
            <w:tcW w:w="200" w:type="dxa"/>
            <w:vAlign w:val="bottom"/>
            <w:tcBorders>
              <w:bottom w:val="single" w:sz="8" w:color="DBDBDB"/>
            </w:tcBorders>
          </w:tcPr>
          <w:p>
            <w:pPr>
              <w:spacing w:after="0"/>
              <w:rPr>
                <w:sz w:val="17"/>
                <w:szCs w:val="17"/>
                <w:color w:val="auto"/>
              </w:rPr>
            </w:pPr>
          </w:p>
        </w:tc>
        <w:tc>
          <w:tcPr>
            <w:tcW w:w="178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9,000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12,690</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34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change - Class C Shares</w:t>
            </w:r>
          </w:p>
        </w:tc>
        <w:tc>
          <w:tcPr>
            <w:tcW w:w="200" w:type="dxa"/>
            <w:vAlign w:val="bottom"/>
            <w:shd w:val="clear" w:color="auto" w:fill="DBDBDB"/>
          </w:tcPr>
          <w:p>
            <w:pPr>
              <w:spacing w:after="0"/>
              <w:rPr>
                <w:sz w:val="16"/>
                <w:szCs w:val="16"/>
                <w:color w:val="auto"/>
              </w:rPr>
            </w:pPr>
          </w:p>
        </w:tc>
        <w:tc>
          <w:tcPr>
            <w:tcW w:w="17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40" w:type="dxa"/>
            <w:vAlign w:val="bottom"/>
            <w:tcBorders>
              <w:bottom w:val="single" w:sz="8" w:color="auto"/>
            </w:tcBorders>
            <w:shd w:val="clear" w:color="auto" w:fill="DBDBDB"/>
          </w:tcPr>
          <w:p>
            <w:pPr>
              <w:ind w:left="480"/>
              <w:spacing w:after="0"/>
              <w:rPr>
                <w:sz w:val="20"/>
                <w:szCs w:val="20"/>
                <w:color w:val="auto"/>
              </w:rPr>
            </w:pPr>
            <w:r>
              <w:rPr>
                <w:rFonts w:ascii="Times New Roman" w:cs="Times New Roman" w:eastAsia="Times New Roman" w:hAnsi="Times New Roman"/>
                <w:sz w:val="15"/>
                <w:szCs w:val="15"/>
                <w:b w:val="1"/>
                <w:bCs w:val="1"/>
                <w:color w:val="auto"/>
              </w:rPr>
              <w:t>22,000 $</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35,090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Earn-out rights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On the Closing of the BCA, the Former Parent (or the shareholders of the Former Parent if the Former Parent is dissolved or liquidated) was issued a contingent right to receive earn-outs of up to 24,078,638 Class A Shares and 134,098,971 Class B Shares in Parent, issuable in five tranches that each comprise 4,815,728 Class A Shares and 26,819,794 Class B Shares in Parent. Each tranche is issuable once the daily volume weighted average price of Class A Shares in Parent meets specific price hurdles for 20 trading days out of any 30 day</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trading period beginning after December 23, 2022 and ending on December 23, 2028. The daily volume weighted average price of Class A Shares in Parent that is required to trigger each tranche is as follows:</w:t>
      </w:r>
    </w:p>
    <w:p>
      <w:pPr>
        <w:spacing w:after="0" w:line="44" w:lineRule="exact"/>
        <w:rPr>
          <w:sz w:val="20"/>
          <w:szCs w:val="20"/>
          <w:color w:val="auto"/>
        </w:rPr>
      </w:pPr>
    </w:p>
    <w:p>
      <w:pPr>
        <w:ind w:left="840" w:hanging="281"/>
        <w:spacing w:after="0"/>
        <w:tabs>
          <w:tab w:leader="none" w:pos="8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Tranche 1 — $13 per share</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Tranche 2 — $15.50 per share</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Tranche 3 — $18 per share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840" w:hanging="281"/>
        <w:spacing w:after="0"/>
        <w:tabs>
          <w:tab w:leader="none" w:pos="8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Tranche 4 — $20.50 per share</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Tranche 5 — $23 per share</w:t>
      </w:r>
    </w:p>
    <w:p>
      <w:pPr>
        <w:spacing w:after="0" w:line="8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If the daily volume weighted average price of Class A Shares in Parent triggers a higher price tranche prior to triggering a lower price tranche, all tranches below the tranche triggered are also triggered for (e.g., if tranche 5 is triggered, tranches 1 through 4 are also triggered). Additionally, in the event there is a change of control of the Group (i.e., there is a change in greater than 50% equity ownership of the Group) all five tranches are automatically triggered for issuance. The Former Parent’s contingent right to the earn-out tranches that are</w:t>
      </w:r>
    </w:p>
    <w:p>
      <w:pPr>
        <w:spacing w:after="0"/>
        <w:rPr>
          <w:sz w:val="20"/>
          <w:szCs w:val="20"/>
          <w:color w:val="auto"/>
        </w:rPr>
      </w:pPr>
      <w:r>
        <w:rPr>
          <w:rFonts w:ascii="Times New Roman" w:cs="Times New Roman" w:eastAsia="Times New Roman" w:hAnsi="Times New Roman"/>
          <w:sz w:val="15"/>
          <w:szCs w:val="15"/>
          <w:color w:val="auto"/>
        </w:rPr>
        <w:t>not triggered for issuance by December 23, 2028 will expire immediately.</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Group applied the provisions of IAS 32 and IFRS 9 in accounting for the contingent earn-out rights of the Former Parent. Under IAS 32 and IFRS 9, the contingent earn-out rights failed to meet the definition of equity because it could result in the issuance of a variable number of Class A Shares and Class B Shares in Parent and the triggering events are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subject to price hurdles (i.e., a market condition) that are outside of the control of the Group. Instead, it meets definition of a derivative liability that is carried at fair value with subsequent changes in fair value recognized in the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The contingent earn-out rights require a valuation approach leveraging Level 3 inputs. Refer to </w:t>
      </w:r>
      <w:r>
        <w:rPr>
          <w:rFonts w:ascii="Times New Roman" w:cs="Times New Roman" w:eastAsia="Times New Roman" w:hAnsi="Times New Roman"/>
          <w:sz w:val="15"/>
          <w:szCs w:val="15"/>
          <w:i w:val="1"/>
          <w:iCs w:val="1"/>
          <w:color w:val="auto"/>
        </w:rPr>
        <w:t>Note 1 - Overview and basis of preparation</w:t>
      </w:r>
      <w:r>
        <w:rPr>
          <w:rFonts w:ascii="Times New Roman" w:cs="Times New Roman" w:eastAsia="Times New Roman" w:hAnsi="Times New Roman"/>
          <w:sz w:val="15"/>
          <w:szCs w:val="15"/>
          <w:color w:val="auto"/>
        </w:rPr>
        <w:t xml:space="preserve"> for further details on the valuation methodology utilized to determine the fair value of the earn-out.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748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Earn-out Rights</w:t>
            </w:r>
          </w:p>
        </w:tc>
      </w:tr>
      <w:tr>
        <w:trPr>
          <w:trHeight w:val="188"/>
        </w:trPr>
        <w:tc>
          <w:tcPr>
            <w:tcW w:w="2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January 1, 2022</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20" w:type="dxa"/>
            <w:vAlign w:val="bottom"/>
          </w:tcPr>
          <w:p>
            <w:pPr>
              <w:spacing w:after="0"/>
              <w:rPr>
                <w:sz w:val="17"/>
                <w:szCs w:val="17"/>
                <w:color w:val="auto"/>
              </w:rPr>
            </w:pPr>
          </w:p>
        </w:tc>
        <w:tc>
          <w:tcPr>
            <w:tcW w:w="74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Earn-out rights issued</w:t>
            </w: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1,500,638</w:t>
            </w:r>
          </w:p>
        </w:tc>
      </w:tr>
      <w:tr>
        <w:trPr>
          <w:trHeight w:val="197"/>
        </w:trPr>
        <w:tc>
          <w:tcPr>
            <w:tcW w:w="20" w:type="dxa"/>
            <w:vAlign w:val="bottom"/>
          </w:tcPr>
          <w:p>
            <w:pPr>
              <w:spacing w:after="0"/>
              <w:rPr>
                <w:sz w:val="17"/>
                <w:szCs w:val="17"/>
                <w:color w:val="auto"/>
              </w:rPr>
            </w:pPr>
          </w:p>
        </w:tc>
        <w:tc>
          <w:tcPr>
            <w:tcW w:w="74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144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5"/>
                <w:szCs w:val="15"/>
                <w:color w:val="auto"/>
              </w:rPr>
              <w:t>(902,068)</w:t>
            </w:r>
          </w:p>
        </w:tc>
      </w:tr>
      <w:tr>
        <w:trPr>
          <w:trHeight w:val="188"/>
        </w:trPr>
        <w:tc>
          <w:tcPr>
            <w:tcW w:w="20" w:type="dxa"/>
            <w:vAlign w:val="bottom"/>
          </w:tcPr>
          <w:p>
            <w:pPr>
              <w:spacing w:after="0"/>
              <w:rPr>
                <w:sz w:val="16"/>
                <w:szCs w:val="16"/>
                <w:color w:val="auto"/>
              </w:rPr>
            </w:pPr>
          </w:p>
        </w:tc>
        <w:tc>
          <w:tcPr>
            <w:tcW w:w="74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14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shd w:val="clear" w:color="auto" w:fill="DBDBDB"/>
          </w:tcPr>
          <w:p>
            <w:pPr>
              <w:ind w:left="540"/>
              <w:spacing w:after="0"/>
              <w:rPr>
                <w:sz w:val="20"/>
                <w:szCs w:val="20"/>
                <w:color w:val="auto"/>
              </w:rPr>
            </w:pPr>
            <w:r>
              <w:rPr>
                <w:rFonts w:ascii="Times New Roman" w:cs="Times New Roman" w:eastAsia="Times New Roman" w:hAnsi="Times New Roman"/>
                <w:sz w:val="15"/>
                <w:szCs w:val="15"/>
                <w:b w:val="1"/>
                <w:bCs w:val="1"/>
                <w:color w:val="auto"/>
              </w:rPr>
              <w:t>598,570</w:t>
            </w:r>
          </w:p>
        </w:tc>
      </w:tr>
      <w:tr>
        <w:trPr>
          <w:trHeight w:val="188"/>
        </w:trPr>
        <w:tc>
          <w:tcPr>
            <w:tcW w:w="20" w:type="dxa"/>
            <w:vAlign w:val="bottom"/>
          </w:tcPr>
          <w:p>
            <w:pPr>
              <w:spacing w:after="0"/>
              <w:rPr>
                <w:sz w:val="16"/>
                <w:szCs w:val="16"/>
                <w:color w:val="auto"/>
              </w:rPr>
            </w:pPr>
          </w:p>
        </w:tc>
        <w:tc>
          <w:tcPr>
            <w:tcW w:w="74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144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5"/>
                <w:szCs w:val="15"/>
                <w:color w:val="auto"/>
              </w:rPr>
              <w:t>(443,168)</w:t>
            </w:r>
          </w:p>
        </w:tc>
      </w:tr>
      <w:tr>
        <w:trPr>
          <w:trHeight w:val="188"/>
        </w:trPr>
        <w:tc>
          <w:tcPr>
            <w:tcW w:w="20" w:type="dxa"/>
            <w:vAlign w:val="bottom"/>
          </w:tcPr>
          <w:p>
            <w:pPr>
              <w:spacing w:after="0"/>
              <w:rPr>
                <w:sz w:val="16"/>
                <w:szCs w:val="16"/>
                <w:color w:val="auto"/>
              </w:rPr>
            </w:pPr>
          </w:p>
        </w:tc>
        <w:tc>
          <w:tcPr>
            <w:tcW w:w="74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4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shd w:val="clear" w:color="auto" w:fill="DBDBDB"/>
          </w:tcPr>
          <w:p>
            <w:pPr>
              <w:ind w:left="540"/>
              <w:spacing w:after="0"/>
              <w:rPr>
                <w:sz w:val="20"/>
                <w:szCs w:val="20"/>
                <w:color w:val="auto"/>
              </w:rPr>
            </w:pPr>
            <w:r>
              <w:rPr>
                <w:rFonts w:ascii="Times New Roman" w:cs="Times New Roman" w:eastAsia="Times New Roman" w:hAnsi="Times New Roman"/>
                <w:sz w:val="15"/>
                <w:szCs w:val="15"/>
                <w:b w:val="1"/>
                <w:bCs w:val="1"/>
                <w:color w:val="auto"/>
              </w:rPr>
              <w:t>155,402</w:t>
            </w:r>
          </w:p>
        </w:tc>
      </w:tr>
      <w:tr>
        <w:trPr>
          <w:trHeight w:val="339"/>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fair value change of earn-out rights are as follows:</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93"/>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3740" w:type="dxa"/>
            <w:vAlign w:val="bottom"/>
            <w:gridSpan w:val="4"/>
          </w:tcPr>
          <w:p>
            <w:pPr>
              <w:spacing w:after="0"/>
              <w:rPr>
                <w:sz w:val="8"/>
                <w:szCs w:val="8"/>
                <w:color w:val="auto"/>
              </w:rPr>
            </w:pPr>
          </w:p>
        </w:tc>
      </w:tr>
      <w:tr>
        <w:trPr>
          <w:trHeight w:val="197"/>
        </w:trPr>
        <w:tc>
          <w:tcPr>
            <w:tcW w:w="20" w:type="dxa"/>
            <w:vAlign w:val="bottom"/>
            <w:shd w:val="clear" w:color="auto" w:fill="DBDBDB"/>
          </w:tcPr>
          <w:p>
            <w:pPr>
              <w:spacing w:after="0"/>
              <w:rPr>
                <w:sz w:val="17"/>
                <w:szCs w:val="17"/>
                <w:color w:val="auto"/>
              </w:rPr>
            </w:pPr>
          </w:p>
        </w:tc>
        <w:tc>
          <w:tcPr>
            <w:tcW w:w="7480" w:type="dxa"/>
            <w:vAlign w:val="bottom"/>
            <w:shd w:val="clear" w:color="auto" w:fill="DBDBDB"/>
          </w:tcPr>
          <w:p>
            <w:pPr>
              <w:spacing w:after="0"/>
              <w:rPr>
                <w:sz w:val="17"/>
                <w:szCs w:val="17"/>
                <w:color w:val="auto"/>
              </w:rPr>
            </w:pPr>
          </w:p>
        </w:tc>
        <w:tc>
          <w:tcPr>
            <w:tcW w:w="3740" w:type="dxa"/>
            <w:vAlign w:val="bottom"/>
            <w:tcBorders>
              <w:bottom w:val="single" w:sz="8" w:color="auto"/>
            </w:tcBorders>
            <w:gridSpan w:val="4"/>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20" w:type="dxa"/>
            <w:vAlign w:val="bottom"/>
            <w:tcBorders>
              <w:bottom w:val="single" w:sz="8" w:color="DBDBDB"/>
            </w:tcBorders>
          </w:tcPr>
          <w:p>
            <w:pPr>
              <w:spacing w:after="0"/>
              <w:rPr>
                <w:sz w:val="16"/>
                <w:szCs w:val="16"/>
                <w:color w:val="auto"/>
              </w:rPr>
            </w:pPr>
          </w:p>
        </w:tc>
        <w:tc>
          <w:tcPr>
            <w:tcW w:w="7480" w:type="dxa"/>
            <w:vAlign w:val="bottom"/>
            <w:tcBorders>
              <w:bottom w:val="single" w:sz="8" w:color="DBDBDB"/>
            </w:tcBorders>
          </w:tcPr>
          <w:p>
            <w:pPr>
              <w:spacing w:after="0"/>
              <w:rPr>
                <w:sz w:val="16"/>
                <w:szCs w:val="16"/>
                <w:color w:val="auto"/>
              </w:rPr>
            </w:pPr>
          </w:p>
        </w:tc>
        <w:tc>
          <w:tcPr>
            <w:tcW w:w="14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8"/>
        </w:trPr>
        <w:tc>
          <w:tcPr>
            <w:tcW w:w="20" w:type="dxa"/>
            <w:vAlign w:val="bottom"/>
            <w:shd w:val="clear" w:color="auto" w:fill="DBDBDB"/>
          </w:tcPr>
          <w:p>
            <w:pPr>
              <w:spacing w:after="0"/>
              <w:rPr>
                <w:sz w:val="16"/>
                <w:szCs w:val="16"/>
                <w:color w:val="auto"/>
              </w:rPr>
            </w:pPr>
          </w:p>
        </w:tc>
        <w:tc>
          <w:tcPr>
            <w:tcW w:w="74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1440" w:type="dxa"/>
            <w:vAlign w:val="bottom"/>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color w:val="auto"/>
              </w:rPr>
              <w:t>443,168</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8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Volvo Cars Preference Subscription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the Closing of the BCA and pursuant to the Volvo Cars Preference Subscription Agreement, Volvo Cars agreed to subscribe for Preference Shares in the Parent in exchange for a</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cash payment of $588,826. The cash proceeds were used to pay down outstanding payables owed to VCC. Each Preference Share in the Parent automatically converted into Class A Shares in the Parent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Parent (i.e., Class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As such, the initial carrying value of the Volvo Cars Preference Subscription Shares was equity classified and accounted for as a capital contribution from Volvo Cars.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Parent entity restructuring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terms and conditions of the BCA, the Former Parent was separated from the Group and 100% of the ownership interests in the Group's subsidiaries were transferred to</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 Parent in exchange for the issuance of 294,877,349 Class A Shares in the Parent, the issuance of 1,642,233,575 Class B Shares in the Parent, and the Earn-out rights. When the Group was separated from the Former Parent, the intercompany relationship between the Former Parent and the Group was severed. This resulted in the realization of accumulated gains in equity of $1,512 in the Former Parent, which were historically eliminated upon consolidation. The $1,512 adjustment to equity does not reflect cash consideration</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transferred, but rather, the non-cash impact of separating intercompany interests and changing parent entities.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19 - Trade receivables</w:t>
      </w:r>
    </w:p>
    <w:p>
      <w:pPr>
        <w:spacing w:after="0" w:line="75"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aging analysis of the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76200</wp:posOffset>
            </wp:positionV>
            <wp:extent cx="3969385" cy="3530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57">
                      <a:extLst>
                        <a:ext uri="{28A0092B-C50C-407E-A947-70E740481C1C}"/>
                      </a:extLst>
                    </a:blip>
                    <a:srcRect/>
                    <a:stretch>
                      <a:fillRect/>
                    </a:stretch>
                  </pic:blipFill>
                  <pic:spPr bwMode="auto">
                    <a:xfrm>
                      <a:off x="0" y="0"/>
                      <a:ext cx="3969385" cy="35306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vMerge w:val="restart"/>
            <w:shd w:val="clear" w:color="auto" w:fill="DBDBDB"/>
          </w:tcPr>
          <w:p>
            <w:pPr>
              <w:ind w:left="5220"/>
              <w:spacing w:after="0"/>
              <w:rPr>
                <w:sz w:val="20"/>
                <w:szCs w:val="20"/>
                <w:color w:val="auto"/>
              </w:rPr>
            </w:pPr>
            <w:r>
              <w:rPr>
                <w:rFonts w:ascii="Times New Roman" w:cs="Times New Roman" w:eastAsia="Times New Roman" w:hAnsi="Times New Roman"/>
                <w:sz w:val="15"/>
                <w:szCs w:val="15"/>
                <w:b w:val="1"/>
                <w:bCs w:val="1"/>
                <w:color w:val="auto"/>
              </w:rPr>
              <w:t>Not overdue</w:t>
            </w:r>
          </w:p>
        </w:tc>
        <w:tc>
          <w:tcPr>
            <w:tcW w:w="1480" w:type="dxa"/>
            <w:vAlign w:val="bottom"/>
            <w:vMerge w:val="restart"/>
            <w:shd w:val="clear" w:color="auto" w:fill="DBDBDB"/>
          </w:tcPr>
          <w:p>
            <w:pPr>
              <w:ind w:left="140"/>
              <w:spacing w:after="0"/>
              <w:rPr>
                <w:sz w:val="20"/>
                <w:szCs w:val="20"/>
                <w:color w:val="auto"/>
              </w:rPr>
            </w:pPr>
            <w:r>
              <w:rPr>
                <w:rFonts w:ascii="Times New Roman" w:cs="Times New Roman" w:eastAsia="Times New Roman" w:hAnsi="Times New Roman"/>
                <w:sz w:val="15"/>
                <w:szCs w:val="15"/>
                <w:b w:val="1"/>
                <w:bCs w:val="1"/>
                <w:color w:val="auto"/>
              </w:rPr>
              <w:t>1-30 days overdue</w:t>
            </w:r>
          </w:p>
        </w:tc>
        <w:tc>
          <w:tcPr>
            <w:tcW w:w="1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30-90 days</w:t>
            </w:r>
          </w:p>
        </w:tc>
        <w:tc>
          <w:tcPr>
            <w:tcW w:w="1560" w:type="dxa"/>
            <w:vAlign w:val="bottom"/>
            <w:vMerge w:val="restart"/>
            <w:shd w:val="clear" w:color="auto" w:fill="DBDBDB"/>
          </w:tcPr>
          <w:p>
            <w:pPr>
              <w:ind w:left="160"/>
              <w:spacing w:after="0"/>
              <w:rPr>
                <w:sz w:val="20"/>
                <w:szCs w:val="20"/>
                <w:color w:val="auto"/>
              </w:rPr>
            </w:pPr>
            <w:r>
              <w:rPr>
                <w:rFonts w:ascii="Times New Roman" w:cs="Times New Roman" w:eastAsia="Times New Roman" w:hAnsi="Times New Roman"/>
                <w:sz w:val="15"/>
                <w:szCs w:val="15"/>
                <w:b w:val="1"/>
                <w:bCs w:val="1"/>
                <w:color w:val="auto"/>
              </w:rPr>
              <w:t>&gt;90 days overdue</w:t>
            </w:r>
          </w:p>
        </w:tc>
        <w:tc>
          <w:tcPr>
            <w:tcW w:w="1040" w:type="dxa"/>
            <w:vAlign w:val="bottom"/>
            <w:vMerge w:val="restart"/>
            <w:shd w:val="clear" w:color="auto" w:fill="DBDBDB"/>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8"/>
        </w:trPr>
        <w:tc>
          <w:tcPr>
            <w:tcW w:w="6140" w:type="dxa"/>
            <w:vAlign w:val="bottom"/>
            <w:vMerge w:val="continue"/>
            <w:shd w:val="clear" w:color="auto" w:fill="DBDBDB"/>
          </w:tcPr>
          <w:p>
            <w:pPr>
              <w:spacing w:after="0"/>
              <w:rPr>
                <w:sz w:val="18"/>
                <w:szCs w:val="18"/>
                <w:color w:val="auto"/>
              </w:rPr>
            </w:pPr>
          </w:p>
        </w:tc>
        <w:tc>
          <w:tcPr>
            <w:tcW w:w="1480" w:type="dxa"/>
            <w:vAlign w:val="bottom"/>
            <w:vMerge w:val="continue"/>
            <w:shd w:val="clear" w:color="auto" w:fill="DBDBDB"/>
          </w:tcPr>
          <w:p>
            <w:pPr>
              <w:spacing w:after="0"/>
              <w:rPr>
                <w:sz w:val="18"/>
                <w:szCs w:val="18"/>
                <w:color w:val="auto"/>
              </w:rPr>
            </w:pPr>
          </w:p>
        </w:tc>
        <w:tc>
          <w:tcPr>
            <w:tcW w:w="1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overdue</w:t>
            </w:r>
          </w:p>
        </w:tc>
        <w:tc>
          <w:tcPr>
            <w:tcW w:w="1560" w:type="dxa"/>
            <w:vAlign w:val="bottom"/>
            <w:vMerge w:val="continue"/>
            <w:shd w:val="clear" w:color="auto" w:fill="DBDBDB"/>
          </w:tcPr>
          <w:p>
            <w:pPr>
              <w:spacing w:after="0"/>
              <w:rPr>
                <w:sz w:val="18"/>
                <w:szCs w:val="18"/>
                <w:color w:val="auto"/>
              </w:rPr>
            </w:pPr>
          </w:p>
        </w:tc>
        <w:tc>
          <w:tcPr>
            <w:tcW w:w="10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5"/>
          <w:szCs w:val="15"/>
          <w:b w:val="1"/>
          <w:bCs w:val="1"/>
          <w:color w:val="auto"/>
        </w:rPr>
        <w:t>2023</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Gross trade receivables, external - (Restated)</w:t>
            </w:r>
          </w:p>
        </w:tc>
        <w:tc>
          <w:tcPr>
            <w:tcW w:w="3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63,427</w:t>
            </w: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49,670</w:t>
            </w:r>
          </w:p>
        </w:tc>
        <w:tc>
          <w:tcPr>
            <w:tcW w:w="44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7,842</w:t>
            </w:r>
          </w:p>
        </w:tc>
        <w:tc>
          <w:tcPr>
            <w:tcW w:w="50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5,777</w:t>
            </w: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126,716</w:t>
            </w:r>
          </w:p>
        </w:tc>
      </w:tr>
      <w:tr>
        <w:trPr>
          <w:trHeight w:val="197"/>
        </w:trPr>
        <w:tc>
          <w:tcPr>
            <w:tcW w:w="50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Trade receivables - related parties</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52,313</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7,474</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1,204</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61,026</w:t>
            </w:r>
          </w:p>
        </w:tc>
      </w:tr>
      <w:tr>
        <w:trPr>
          <w:trHeight w:val="188"/>
        </w:trPr>
        <w:tc>
          <w:tcPr>
            <w:tcW w:w="5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Net trade receivables - (Restated)</w:t>
            </w:r>
          </w:p>
        </w:tc>
        <w:tc>
          <w:tcPr>
            <w:tcW w:w="38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115,740</w:t>
            </w: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57,144</w:t>
            </w:r>
          </w:p>
        </w:tc>
        <w:tc>
          <w:tcPr>
            <w:tcW w:w="440" w:type="dxa"/>
            <w:vAlign w:val="bottom"/>
            <w:tcBorders>
              <w:bottom w:val="single" w:sz="8" w:color="auto"/>
            </w:tcBorders>
            <w:shd w:val="clear" w:color="auto" w:fill="DBDBDB"/>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9,046</w:t>
            </w:r>
          </w:p>
        </w:tc>
        <w:tc>
          <w:tcPr>
            <w:tcW w:w="50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5,812</w:t>
            </w:r>
          </w:p>
        </w:tc>
        <w:tc>
          <w:tcPr>
            <w:tcW w:w="3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187,742</w:t>
            </w:r>
          </w:p>
        </w:tc>
      </w:tr>
      <w:tr>
        <w:trPr>
          <w:trHeight w:val="177"/>
        </w:trPr>
        <w:tc>
          <w:tcPr>
            <w:tcW w:w="5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7"/>
        </w:trPr>
        <w:tc>
          <w:tcPr>
            <w:tcW w:w="5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Gross trade receivables, external - (Restated)</w:t>
            </w:r>
          </w:p>
        </w:tc>
        <w:tc>
          <w:tcPr>
            <w:tcW w:w="3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126,044</w:t>
            </w: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93,371</w:t>
            </w:r>
          </w:p>
        </w:tc>
        <w:tc>
          <w:tcPr>
            <w:tcW w:w="44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19,034</w:t>
            </w:r>
          </w:p>
        </w:tc>
        <w:tc>
          <w:tcPr>
            <w:tcW w:w="50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2,983</w:t>
            </w: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241,432</w:t>
            </w:r>
          </w:p>
        </w:tc>
      </w:tr>
      <w:tr>
        <w:trPr>
          <w:trHeight w:val="197"/>
        </w:trPr>
        <w:tc>
          <w:tcPr>
            <w:tcW w:w="500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Trade receivables - related parties</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65,522</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12,786</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398</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79,225</w:t>
            </w:r>
          </w:p>
        </w:tc>
      </w:tr>
      <w:tr>
        <w:trPr>
          <w:trHeight w:val="188"/>
        </w:trPr>
        <w:tc>
          <w:tcPr>
            <w:tcW w:w="50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Net trade receivables - (Restated)</w:t>
            </w:r>
          </w:p>
        </w:tc>
        <w:tc>
          <w:tcPr>
            <w:tcW w:w="38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191,566</w:t>
            </w: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106,157</w:t>
            </w:r>
          </w:p>
        </w:tc>
        <w:tc>
          <w:tcPr>
            <w:tcW w:w="440" w:type="dxa"/>
            <w:vAlign w:val="bottom"/>
            <w:tcBorders>
              <w:bottom w:val="single" w:sz="8" w:color="auto"/>
            </w:tcBorders>
            <w:shd w:val="clear" w:color="auto" w:fill="DBDBDB"/>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19,553</w:t>
            </w:r>
          </w:p>
        </w:tc>
        <w:tc>
          <w:tcPr>
            <w:tcW w:w="50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3,381</w:t>
            </w:r>
          </w:p>
        </w:tc>
        <w:tc>
          <w:tcPr>
            <w:tcW w:w="3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320,657</w:t>
            </w:r>
          </w:p>
        </w:tc>
      </w:tr>
    </w:tbl>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Management determines that a receivable is written off once reasonable means of collection have been unsuccessful and the Group has no reasonable expectations of recovering the entire contractual cash flows, or a portion thereof. As of December 31, 2023 and 2022, the Group has written off a de minimis amount of receivables.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Further information on credit risks for Trade receivables is included in </w:t>
      </w:r>
      <w:r>
        <w:rPr>
          <w:rFonts w:ascii="Times New Roman" w:cs="Times New Roman" w:eastAsia="Times New Roman" w:hAnsi="Times New Roman"/>
          <w:sz w:val="15"/>
          <w:szCs w:val="15"/>
          <w:i w:val="1"/>
          <w:iCs w:val="1"/>
          <w:color w:val="auto"/>
        </w:rPr>
        <w:t>Note 3 - Financial risk management</w:t>
      </w:r>
      <w:r>
        <w:rPr>
          <w:rFonts w:ascii="Times New Roman" w:cs="Times New Roman" w:eastAsia="Times New Roman" w:hAnsi="Times New Roman"/>
          <w:sz w:val="15"/>
          <w:szCs w:val="15"/>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Note 20 - Inventories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8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Group’s inventory primarily consisted of vehicles as follows: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93"/>
        </w:trPr>
        <w:tc>
          <w:tcPr>
            <w:tcW w:w="5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20" w:type="dxa"/>
            <w:vAlign w:val="bottom"/>
            <w:gridSpan w:val="3"/>
          </w:tcPr>
          <w:p>
            <w:pPr>
              <w:spacing w:after="0"/>
              <w:rPr>
                <w:sz w:val="8"/>
                <w:szCs w:val="8"/>
                <w:color w:val="auto"/>
              </w:rPr>
            </w:pPr>
          </w:p>
        </w:tc>
      </w:tr>
      <w:tr>
        <w:trPr>
          <w:trHeight w:val="197"/>
        </w:trPr>
        <w:tc>
          <w:tcPr>
            <w:tcW w:w="520" w:type="dxa"/>
            <w:vAlign w:val="bottom"/>
          </w:tcPr>
          <w:p>
            <w:pPr>
              <w:spacing w:after="0"/>
              <w:rPr>
                <w:sz w:val="17"/>
                <w:szCs w:val="17"/>
                <w:color w:val="auto"/>
              </w:rPr>
            </w:pPr>
          </w:p>
        </w:tc>
        <w:tc>
          <w:tcPr>
            <w:tcW w:w="794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gridSpan w:val="3"/>
            <w:shd w:val="clear" w:color="auto" w:fill="DBDBDB"/>
          </w:tcPr>
          <w:p>
            <w:pPr>
              <w:ind w:left="240"/>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5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520" w:type="dxa"/>
            <w:vAlign w:val="bottom"/>
          </w:tcPr>
          <w:p>
            <w:pPr>
              <w:spacing w:after="0"/>
              <w:rPr>
                <w:sz w:val="17"/>
                <w:szCs w:val="17"/>
                <w:color w:val="auto"/>
              </w:rPr>
            </w:pPr>
          </w:p>
        </w:tc>
        <w:tc>
          <w:tcPr>
            <w:tcW w:w="7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Work in progress</w:t>
            </w:r>
          </w:p>
        </w:tc>
        <w:tc>
          <w:tcPr>
            <w:tcW w:w="2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1,387</w:t>
            </w:r>
          </w:p>
        </w:tc>
      </w:tr>
      <w:tr>
        <w:trPr>
          <w:trHeight w:val="197"/>
        </w:trPr>
        <w:tc>
          <w:tcPr>
            <w:tcW w:w="5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5"/>
                <w:szCs w:val="15"/>
                <w:color w:val="auto"/>
              </w:rPr>
              <w:t>Finished goods and goods for resale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1,070,897</w:t>
            </w:r>
          </w:p>
        </w:tc>
        <w:tc>
          <w:tcPr>
            <w:tcW w:w="2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664,789</w:t>
            </w:r>
          </w:p>
        </w:tc>
      </w:tr>
      <w:tr>
        <w:trPr>
          <w:trHeight w:val="197"/>
        </w:trPr>
        <w:tc>
          <w:tcPr>
            <w:tcW w:w="520" w:type="dxa"/>
            <w:vAlign w:val="bottom"/>
          </w:tcPr>
          <w:p>
            <w:pPr>
              <w:spacing w:after="0"/>
              <w:rPr>
                <w:sz w:val="17"/>
                <w:szCs w:val="17"/>
                <w:color w:val="auto"/>
              </w:rPr>
            </w:pPr>
          </w:p>
        </w:tc>
        <w:tc>
          <w:tcPr>
            <w:tcW w:w="7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Provision for impairment</w:t>
            </w:r>
          </w:p>
        </w:tc>
        <w:tc>
          <w:tcPr>
            <w:tcW w:w="26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5"/>
                <w:szCs w:val="15"/>
                <w:color w:val="auto"/>
              </w:rPr>
              <w:t>(143,243)</w:t>
            </w:r>
          </w:p>
        </w:tc>
        <w:tc>
          <w:tcPr>
            <w:tcW w:w="2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(36,022)</w:t>
            </w:r>
          </w:p>
        </w:tc>
      </w:tr>
      <w:tr>
        <w:trPr>
          <w:trHeight w:val="188"/>
        </w:trPr>
        <w:tc>
          <w:tcPr>
            <w:tcW w:w="5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927,686</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630,154</w:t>
            </w:r>
          </w:p>
        </w:tc>
      </w:tr>
    </w:tbl>
    <w:p>
      <w:pPr>
        <w:spacing w:after="0" w:line="14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Inventory costs recognized during the years ended December 31, 2023, 2022 and 2021 amounted to $2,183,847, $2,174,192 and $1,226,746, respectively, and were included in Cost of sales in the Consolidated Statement of Loss and Comprehensive Loss.</w:t>
      </w:r>
    </w:p>
    <w:p>
      <w:pPr>
        <w:spacing w:after="0" w:line="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As of December 31, 2023, 2022, and 2021 write-downs of Inventories to net realizable value amounted to $146,550, $14,830 and $30,782 respectively. The write down was recognized as an expense during the years ended December 31, 2023, 2022, and 2021 and was included in Cost of sales in the Consolidated Statement of Loss and Comprehensive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Inventories can be pledged as security for liabilities. Refer to </w:t>
      </w:r>
      <w:r>
        <w:rPr>
          <w:rFonts w:ascii="Times New Roman" w:cs="Times New Roman" w:eastAsia="Times New Roman" w:hAnsi="Times New Roman"/>
          <w:sz w:val="15"/>
          <w:szCs w:val="15"/>
          <w:i w:val="1"/>
          <w:iCs w:val="1"/>
          <w:color w:val="auto"/>
        </w:rPr>
        <w:t>Note 25 - Liabilities to credit institutions</w:t>
      </w:r>
      <w:r>
        <w:rPr>
          <w:rFonts w:ascii="Times New Roman" w:cs="Times New Roman" w:eastAsia="Times New Roman" w:hAnsi="Times New Roman"/>
          <w:sz w:val="15"/>
          <w:szCs w:val="15"/>
          <w:color w:val="auto"/>
        </w:rPr>
        <w:t xml:space="preserve"> for further details.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21 - Other current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current assets for the Group were as follows:</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79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120" w:type="dxa"/>
            <w:vAlign w:val="bottom"/>
            <w:tcBorders>
              <w:bottom w:val="single" w:sz="8" w:color="auto"/>
            </w:tcBorders>
            <w:gridSpan w:val="3"/>
            <w:shd w:val="clear" w:color="auto" w:fill="DBDBDB"/>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79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940" w:type="dxa"/>
            <w:vAlign w:val="bottom"/>
          </w:tcPr>
          <w:p>
            <w:pPr>
              <w:spacing w:after="0"/>
              <w:rPr>
                <w:sz w:val="20"/>
                <w:szCs w:val="20"/>
                <w:color w:val="auto"/>
              </w:rPr>
            </w:pPr>
            <w:r>
              <w:rPr>
                <w:rFonts w:ascii="Times New Roman" w:cs="Times New Roman" w:eastAsia="Times New Roman" w:hAnsi="Times New Roman"/>
                <w:sz w:val="15"/>
                <w:szCs w:val="15"/>
                <w:color w:val="auto"/>
              </w:rPr>
              <w:t>Value added tax receivables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121,306</w:t>
            </w:r>
          </w:p>
        </w:tc>
        <w:tc>
          <w:tcPr>
            <w:tcW w:w="180" w:type="dxa"/>
            <w:vAlign w:val="bottom"/>
          </w:tcPr>
          <w:p>
            <w:pPr>
              <w:spacing w:after="0"/>
              <w:rPr>
                <w:sz w:val="16"/>
                <w:szCs w:val="16"/>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62,970</w:t>
            </w:r>
          </w:p>
        </w:tc>
      </w:tr>
      <w:tr>
        <w:trPr>
          <w:trHeight w:val="197"/>
        </w:trPr>
        <w:tc>
          <w:tcPr>
            <w:tcW w:w="7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Prepaid expenses and accrued income</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35,856</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31,444</w:t>
            </w:r>
          </w:p>
        </w:tc>
      </w:tr>
      <w:tr>
        <w:trPr>
          <w:trHeight w:val="197"/>
        </w:trPr>
        <w:tc>
          <w:tcPr>
            <w:tcW w:w="7940" w:type="dxa"/>
            <w:vAlign w:val="bottom"/>
          </w:tcPr>
          <w:p>
            <w:pPr>
              <w:spacing w:after="0"/>
              <w:rPr>
                <w:sz w:val="20"/>
                <w:szCs w:val="20"/>
                <w:color w:val="auto"/>
              </w:rPr>
            </w:pPr>
            <w:r>
              <w:rPr>
                <w:rFonts w:ascii="Times New Roman" w:cs="Times New Roman" w:eastAsia="Times New Roman" w:hAnsi="Times New Roman"/>
                <w:sz w:val="15"/>
                <w:szCs w:val="15"/>
                <w:color w:val="auto"/>
              </w:rPr>
              <w:t>Advances to suppliers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16,452</w:t>
            </w: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3,337</w:t>
            </w:r>
          </w:p>
        </w:tc>
      </w:tr>
      <w:tr>
        <w:trPr>
          <w:trHeight w:val="197"/>
        </w:trPr>
        <w:tc>
          <w:tcPr>
            <w:tcW w:w="7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30,614</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11,996</w:t>
            </w:r>
          </w:p>
        </w:tc>
      </w:tr>
      <w:tr>
        <w:trPr>
          <w:trHeight w:val="197"/>
        </w:trPr>
        <w:tc>
          <w:tcPr>
            <w:tcW w:w="79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Insurance recovery assets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214,228</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109,747</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prepaid expenses and accrued income consisted primarily of prepaid insurance expenses, and other current receivables consisted primarily of accruals for</w:t>
      </w:r>
    </w:p>
    <w:p>
      <w:pPr>
        <w:spacing w:after="0" w:line="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future value added tax ("VAT") receivables where Polestar recognizes an asset for a future VAT receivable when it sells a vehicle under a repurchase commitment. As of December 31, 2022, prepaid expenses and accrued income consisted primarily of prepaid insurance and accrued income related to carbon credits.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22 - Equity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Changes in the Group's equity during the years ended December 31, 2023, 2022, and 2021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380" w:type="dxa"/>
            <w:vAlign w:val="bottom"/>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Class A Shares</w:t>
            </w:r>
          </w:p>
        </w:tc>
        <w:tc>
          <w:tcPr>
            <w:tcW w:w="1360" w:type="dxa"/>
            <w:vAlign w:val="bottom"/>
            <w:vMerge w:val="restart"/>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Class B Shares</w:t>
            </w:r>
          </w:p>
        </w:tc>
        <w:tc>
          <w:tcPr>
            <w:tcW w:w="1260" w:type="dxa"/>
            <w:vAlign w:val="bottom"/>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Other contributed</w:t>
            </w:r>
          </w:p>
        </w:tc>
        <w:tc>
          <w:tcPr>
            <w:tcW w:w="0" w:type="dxa"/>
            <w:vAlign w:val="bottom"/>
          </w:tcPr>
          <w:p>
            <w:pPr>
              <w:spacing w:after="0"/>
              <w:rPr>
                <w:sz w:val="1"/>
                <w:szCs w:val="1"/>
                <w:color w:val="auto"/>
              </w:rPr>
            </w:pPr>
          </w:p>
        </w:tc>
      </w:tr>
      <w:tr>
        <w:trPr>
          <w:trHeight w:val="208"/>
        </w:trPr>
        <w:tc>
          <w:tcPr>
            <w:tcW w:w="47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380" w:type="dxa"/>
            <w:vAlign w:val="bottom"/>
            <w:tcBorders>
              <w:bottom w:val="single" w:sz="8" w:color="auto"/>
            </w:tcBorders>
            <w:vMerge w:val="continue"/>
            <w:shd w:val="clear" w:color="auto" w:fill="DBDBDB"/>
          </w:tcPr>
          <w:p>
            <w:pPr>
              <w:spacing w:after="0"/>
              <w:rPr>
                <w:sz w:val="18"/>
                <w:szCs w:val="18"/>
                <w:color w:val="auto"/>
              </w:rPr>
            </w:pPr>
          </w:p>
        </w:tc>
        <w:tc>
          <w:tcPr>
            <w:tcW w:w="1360" w:type="dxa"/>
            <w:vAlign w:val="bottom"/>
            <w:tcBorders>
              <w:bottom w:val="single" w:sz="8" w:color="auto"/>
            </w:tcBorders>
            <w:vMerge w:val="continue"/>
            <w:shd w:val="clear" w:color="auto" w:fill="DBDBDB"/>
          </w:tcPr>
          <w:p>
            <w:pPr>
              <w:spacing w:after="0"/>
              <w:rPr>
                <w:sz w:val="18"/>
                <w:szCs w:val="18"/>
                <w:color w:val="auto"/>
              </w:rPr>
            </w:pPr>
          </w:p>
        </w:tc>
        <w:tc>
          <w:tcPr>
            <w:tcW w:w="1260" w:type="dxa"/>
            <w:vAlign w:val="bottom"/>
            <w:tcBorders>
              <w:bottom w:val="single" w:sz="8" w:color="auto"/>
            </w:tcBorders>
            <w:vMerge w:val="continue"/>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0" w:type="dxa"/>
            <w:vAlign w:val="bottom"/>
          </w:tcPr>
          <w:p>
            <w:pPr>
              <w:spacing w:after="0"/>
              <w:rPr>
                <w:sz w:val="1"/>
                <w:szCs w:val="1"/>
                <w:color w:val="auto"/>
              </w:rPr>
            </w:pPr>
          </w:p>
        </w:tc>
      </w:tr>
      <w:tr>
        <w:trPr>
          <w:trHeight w:val="177"/>
        </w:trPr>
        <w:tc>
          <w:tcPr>
            <w:tcW w:w="4760" w:type="dxa"/>
            <w:vAlign w:val="bottom"/>
          </w:tcPr>
          <w:p>
            <w:pPr>
              <w:ind w:left="1860"/>
              <w:spacing w:after="0"/>
              <w:rPr>
                <w:sz w:val="20"/>
                <w:szCs w:val="20"/>
                <w:color w:val="auto"/>
              </w:rPr>
            </w:pPr>
            <w:r>
              <w:rPr>
                <w:rFonts w:ascii="Times New Roman" w:cs="Times New Roman" w:eastAsia="Times New Roman" w:hAnsi="Times New Roman"/>
                <w:sz w:val="15"/>
                <w:szCs w:val="15"/>
                <w:i w:val="1"/>
                <w:iCs w:val="1"/>
                <w:color w:val="auto"/>
              </w:rPr>
              <w:t>Pre-closing of the merger with GGI</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January 1, 2021</w:t>
            </w:r>
          </w:p>
        </w:tc>
        <w:tc>
          <w:tcPr>
            <w:tcW w:w="2560" w:type="dxa"/>
            <w:vAlign w:val="bottom"/>
            <w:gridSpan w:val="2"/>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214,371,808</w:t>
            </w:r>
          </w:p>
        </w:tc>
        <w:tc>
          <w:tcPr>
            <w:tcW w:w="136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(1,318,752)</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Issuance during the year</w:t>
            </w:r>
          </w:p>
        </w:tc>
        <w:tc>
          <w:tcPr>
            <w:tcW w:w="1180" w:type="dxa"/>
            <w:vAlign w:val="bottom"/>
          </w:tcPr>
          <w:p>
            <w:pPr>
              <w:spacing w:after="0"/>
              <w:rPr>
                <w:sz w:val="17"/>
                <w:szCs w:val="17"/>
                <w:color w:val="auto"/>
              </w:rPr>
            </w:pP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18,032,787</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(547,157)</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5"/>
        </w:trPr>
        <w:tc>
          <w:tcPr>
            <w:tcW w:w="4760" w:type="dxa"/>
            <w:vAlign w:val="bottom"/>
          </w:tcPr>
          <w:p>
            <w:pPr>
              <w:spacing w:after="0"/>
              <w:rPr>
                <w:sz w:val="24"/>
                <w:szCs w:val="24"/>
                <w:color w:val="auto"/>
              </w:rPr>
            </w:pPr>
          </w:p>
        </w:tc>
        <w:tc>
          <w:tcPr>
            <w:tcW w:w="2560" w:type="dxa"/>
            <w:vAlign w:val="bottom"/>
            <w:gridSpan w:val="2"/>
          </w:tcPr>
          <w:p>
            <w:pPr>
              <w:jc w:val="right"/>
              <w:ind w:right="1483"/>
              <w:spacing w:after="0"/>
              <w:rPr>
                <w:sz w:val="20"/>
                <w:szCs w:val="20"/>
                <w:color w:val="auto"/>
              </w:rPr>
            </w:pPr>
            <w:r>
              <w:rPr>
                <w:rFonts w:ascii="Times New Roman" w:cs="Times New Roman" w:eastAsia="Times New Roman" w:hAnsi="Times New Roman"/>
                <w:sz w:val="15"/>
                <w:szCs w:val="15"/>
                <w:color w:val="auto"/>
              </w:rPr>
              <w:t>F-52</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7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Conversion from Class A to Class B</w:t>
            </w:r>
          </w:p>
        </w:tc>
        <w:tc>
          <w:tcPr>
            <w:tcW w:w="1500" w:type="dxa"/>
            <w:vAlign w:val="bottom"/>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color w:val="auto"/>
              </w:rPr>
              <w:t>(17,345,079)</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17,345,079</w:t>
            </w: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59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Issuance of Convertible Notes</w:t>
            </w:r>
          </w:p>
        </w:tc>
        <w:tc>
          <w:tcPr>
            <w:tcW w:w="15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(35,231)</w:t>
            </w:r>
          </w:p>
        </w:tc>
      </w:tr>
      <w:tr>
        <w:trPr>
          <w:trHeight w:val="188"/>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5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197,026,729</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35,377,866</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(1,865,909)</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(35,231)</w:t>
            </w: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Issuance during the period</w:t>
            </w: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June 23, 2022</w:t>
            </w:r>
          </w:p>
        </w:tc>
        <w:tc>
          <w:tcPr>
            <w:tcW w:w="15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197,026,729</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35,377,866</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(1,865,909)</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(35,231)</w:t>
            </w:r>
          </w:p>
        </w:tc>
      </w:tr>
      <w:tr>
        <w:trPr>
          <w:trHeight w:val="177"/>
        </w:trPr>
        <w:tc>
          <w:tcPr>
            <w:tcW w:w="5940" w:type="dxa"/>
            <w:vAlign w:val="bottom"/>
          </w:tcPr>
          <w:p>
            <w:pPr>
              <w:ind w:left="1980"/>
              <w:spacing w:after="0"/>
              <w:rPr>
                <w:sz w:val="20"/>
                <w:szCs w:val="20"/>
                <w:color w:val="auto"/>
              </w:rPr>
            </w:pPr>
            <w:r>
              <w:rPr>
                <w:rFonts w:ascii="Times New Roman" w:cs="Times New Roman" w:eastAsia="Times New Roman" w:hAnsi="Times New Roman"/>
                <w:sz w:val="15"/>
                <w:szCs w:val="15"/>
                <w:i w:val="1"/>
                <w:iCs w:val="1"/>
                <w:color w:val="auto"/>
              </w:rPr>
              <w:t>Closing of the merger with GGI</w:t>
            </w: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7"/>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Removal of Polestar Automotive Holding Limited from the Group</w:t>
            </w:r>
          </w:p>
        </w:tc>
        <w:tc>
          <w:tcPr>
            <w:tcW w:w="15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197"/>
        </w:trPr>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Exchange of Class A for Class B (1:8.335)</w:t>
            </w:r>
          </w:p>
        </w:tc>
        <w:tc>
          <w:tcPr>
            <w:tcW w:w="1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(197,026,729)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1,642,233,575</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1,565,447</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(1,565,447)</w:t>
            </w:r>
          </w:p>
        </w:tc>
      </w:tr>
      <w:tr>
        <w:trPr>
          <w:trHeight w:val="197"/>
        </w:trPr>
        <w:tc>
          <w:tcPr>
            <w:tcW w:w="59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Exchange of Class B for Class A (1:8.335)</w:t>
            </w:r>
          </w:p>
        </w:tc>
        <w:tc>
          <w:tcPr>
            <w:tcW w:w="150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294,877,349</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(35,377,866)</w:t>
            </w: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281,090</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(281,090)</w:t>
            </w:r>
          </w:p>
        </w:tc>
      </w:tr>
      <w:tr>
        <w:trPr>
          <w:trHeight w:val="197"/>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Reclassification of GBP Redeemable Preferred Shares</w:t>
            </w: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7"/>
        </w:trPr>
        <w:tc>
          <w:tcPr>
            <w:tcW w:w="5940" w:type="dxa"/>
            <w:vAlign w:val="bottom"/>
            <w:shd w:val="clear" w:color="auto" w:fill="DBDBDB"/>
          </w:tcPr>
          <w:p>
            <w:pPr>
              <w:spacing w:after="0" w:line="197" w:lineRule="exact"/>
              <w:rPr>
                <w:sz w:val="20"/>
                <w:szCs w:val="20"/>
                <w:color w:val="auto"/>
              </w:rPr>
            </w:pPr>
            <w:r>
              <w:rPr>
                <w:rFonts w:ascii="Times New Roman" w:cs="Times New Roman" w:eastAsia="Times New Roman" w:hAnsi="Times New Roman"/>
                <w:sz w:val="15"/>
                <w:szCs w:val="15"/>
                <w:color w:val="auto"/>
              </w:rPr>
              <w:t>Issuance of Volvo Cars Preference Shares</w:t>
            </w:r>
            <w:r>
              <w:rPr>
                <w:rFonts w:ascii="Times New Roman" w:cs="Times New Roman" w:eastAsia="Times New Roman" w:hAnsi="Times New Roman"/>
                <w:sz w:val="20"/>
                <w:szCs w:val="20"/>
                <w:color w:val="auto"/>
                <w:vertAlign w:val="superscript"/>
              </w:rPr>
              <w:t>1</w:t>
            </w:r>
          </w:p>
        </w:tc>
        <w:tc>
          <w:tcPr>
            <w:tcW w:w="150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58,882,610</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(588,237)</w:t>
            </w:r>
          </w:p>
        </w:tc>
      </w:tr>
      <w:tr>
        <w:trPr>
          <w:trHeight w:val="197"/>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Issuance to Convertible Note holders</w:t>
            </w: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4,306,466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97"/>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Issuance to PIPE investors</w:t>
            </w:r>
          </w:p>
        </w:tc>
        <w:tc>
          <w:tcPr>
            <w:tcW w:w="150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26,540,835</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(249,735)</w:t>
            </w:r>
          </w:p>
        </w:tc>
      </w:tr>
      <w:tr>
        <w:trPr>
          <w:trHeight w:val="197"/>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Issuance to GGI shareholders</w:t>
            </w: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82,193,962</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(521,285)</w:t>
            </w:r>
          </w:p>
        </w:tc>
      </w:tr>
      <w:tr>
        <w:trPr>
          <w:trHeight w:val="197"/>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150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(372,318)</w:t>
            </w:r>
          </w:p>
        </w:tc>
      </w:tr>
      <w:tr>
        <w:trPr>
          <w:trHeight w:val="197"/>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Transaction costs</w:t>
            </w: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38,903</w:t>
            </w:r>
          </w:p>
        </w:tc>
      </w:tr>
      <w:tr>
        <w:trPr>
          <w:trHeight w:val="197"/>
        </w:trPr>
        <w:tc>
          <w:tcPr>
            <w:tcW w:w="5940" w:type="dxa"/>
            <w:vAlign w:val="bottom"/>
            <w:shd w:val="clear" w:color="auto" w:fill="DBDBDB"/>
          </w:tcPr>
          <w:p>
            <w:pPr>
              <w:ind w:left="1840"/>
              <w:spacing w:after="0"/>
              <w:rPr>
                <w:sz w:val="20"/>
                <w:szCs w:val="20"/>
                <w:color w:val="auto"/>
              </w:rPr>
            </w:pPr>
            <w:r>
              <w:rPr>
                <w:rFonts w:ascii="Times New Roman" w:cs="Times New Roman" w:eastAsia="Times New Roman" w:hAnsi="Times New Roman"/>
                <w:sz w:val="15"/>
                <w:szCs w:val="15"/>
                <w:i w:val="1"/>
                <w:iCs w:val="1"/>
                <w:color w:val="auto"/>
              </w:rPr>
              <w:t>Post-closing of the merger with GGI</w:t>
            </w:r>
          </w:p>
        </w:tc>
        <w:tc>
          <w:tcPr>
            <w:tcW w:w="15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197"/>
        </w:trPr>
        <w:tc>
          <w:tcPr>
            <w:tcW w:w="59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Equity-settled share-based payment</w:t>
            </w:r>
          </w:p>
        </w:tc>
        <w:tc>
          <w:tcPr>
            <w:tcW w:w="15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876,451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(9,900)</w:t>
            </w:r>
          </w:p>
        </w:tc>
      </w:tr>
      <w:tr>
        <w:trPr>
          <w:trHeight w:val="188"/>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5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467,677,673</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1,642,233,575</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(21,165)</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(3,584,232)</w:t>
            </w: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Equity-settled share-based payment</w:t>
            </w: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299,075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(5,390)</w:t>
            </w:r>
          </w:p>
        </w:tc>
      </w:tr>
      <w:tr>
        <w:trPr>
          <w:trHeight w:val="382"/>
        </w:trPr>
        <w:tc>
          <w:tcPr>
            <w:tcW w:w="59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Related party capital contribution</w:t>
            </w:r>
            <w:r>
              <w:rPr>
                <w:rFonts w:ascii="Times New Roman" w:cs="Times New Roman" w:eastAsia="Times New Roman" w:hAnsi="Times New Roman"/>
                <w:sz w:val="20"/>
                <w:szCs w:val="20"/>
                <w:color w:val="auto"/>
                <w:vertAlign w:val="superscript"/>
              </w:rPr>
              <w:t>2</w:t>
            </w:r>
          </w:p>
        </w:tc>
        <w:tc>
          <w:tcPr>
            <w:tcW w:w="150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bottom w:val="single" w:sz="8" w:color="auto"/>
            </w:tcBorders>
            <w:shd w:val="clear" w:color="auto" w:fill="DBDBDB"/>
          </w:tcPr>
          <w:p>
            <w:pPr>
              <w:spacing w:after="0"/>
              <w:rPr>
                <w:sz w:val="24"/>
                <w:szCs w:val="2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DBDBDB"/>
          </w:tcPr>
          <w:p>
            <w:pPr>
              <w:spacing w:after="0"/>
              <w:rPr>
                <w:sz w:val="24"/>
                <w:szCs w:val="24"/>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(25,565)</w:t>
            </w: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5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467,976,748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1,642,233,575</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(21,168)</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(3,615,187)</w:t>
            </w:r>
          </w:p>
        </w:tc>
      </w:tr>
    </w:tbl>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 The Volvo Cars Preference Shares subsequently converted into Class A shares following the merger with GGI on June 23, 2022.</w:t>
      </w:r>
    </w:p>
    <w:p>
      <w:pPr>
        <w:spacing w:after="0"/>
        <w:rPr>
          <w:sz w:val="20"/>
          <w:szCs w:val="20"/>
          <w:color w:val="auto"/>
        </w:rPr>
      </w:pPr>
      <w:r>
        <w:rPr>
          <w:rFonts w:ascii="Times New Roman" w:cs="Times New Roman" w:eastAsia="Times New Roman" w:hAnsi="Times New Roman"/>
          <w:sz w:val="12"/>
          <w:szCs w:val="12"/>
          <w:color w:val="auto"/>
        </w:rPr>
        <w:t xml:space="preserve">2 - Refer to the </w:t>
      </w:r>
      <w:r>
        <w:rPr>
          <w:rFonts w:ascii="Times New Roman" w:cs="Times New Roman" w:eastAsia="Times New Roman" w:hAnsi="Times New Roman"/>
          <w:sz w:val="12"/>
          <w:szCs w:val="12"/>
          <w:i w:val="1"/>
          <w:iCs w:val="1"/>
          <w:color w:val="auto"/>
        </w:rPr>
        <w:t>Other financing instruments</w:t>
      </w:r>
      <w:r>
        <w:rPr>
          <w:rFonts w:ascii="Times New Roman" w:cs="Times New Roman" w:eastAsia="Times New Roman" w:hAnsi="Times New Roman"/>
          <w:sz w:val="12"/>
          <w:szCs w:val="12"/>
          <w:color w:val="auto"/>
        </w:rPr>
        <w:t xml:space="preserve"> section of </w:t>
      </w:r>
      <w:r>
        <w:rPr>
          <w:rFonts w:ascii="Times New Roman" w:cs="Times New Roman" w:eastAsia="Times New Roman" w:hAnsi="Times New Roman"/>
          <w:sz w:val="12"/>
          <w:szCs w:val="12"/>
          <w:i w:val="1"/>
          <w:iCs w:val="1"/>
          <w:color w:val="auto"/>
        </w:rPr>
        <w:t>Note 27 - Related party transactions</w:t>
      </w:r>
      <w:r>
        <w:rPr>
          <w:rFonts w:ascii="Times New Roman" w:cs="Times New Roman" w:eastAsia="Times New Roman" w:hAnsi="Times New Roman"/>
          <w:sz w:val="12"/>
          <w:szCs w:val="12"/>
          <w:color w:val="auto"/>
        </w:rPr>
        <w:t xml:space="preserve"> for more details.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Pre-closing of the merger with GGI</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March 2021, the Group distributed 18,032,787 shares of newly authorized Class B Shares at $30.50 (in ones) per share for gross proceeds of $550,000 with related issuance costs</w:t>
      </w:r>
    </w:p>
    <w:p>
      <w:pPr>
        <w:spacing w:after="0" w:line="6"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5"/>
          <w:szCs w:val="15"/>
          <w:color w:val="auto"/>
        </w:rPr>
        <w:t>of $2,843. Of the 18,032,787 shares issued, 4,262,295 were issued to Geely. In July 2021, 17,345,079 Class A Shares were converted to Class B Shares. As of December 31, 2021, 197,026,729 Class A Shares and 197,026,729 Class B Shares were outstanding, respectively. Each common share was valued at $8.04 (in ones). Both Class A and B Shares were issued with no par value.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Closing of the merger with GGI</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Between January 1, 2022, and prior to the Closing of the merger with GGI, there were no events impacting the Group’s equity other than the issuance of 50,000 British Pound Sterling (“GBP”) Redeemable Preferred Shares in the Parent with a par value of GBP 1.00, equivalent to $65, to the Former Parent. This issuance was part of Parent’s incorporation</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 the United Kingdom as a subsidiary of the Former Parent in preparation for the Closing of the merger with GGI. These shares were subsequently reclassified to Share capital when the Former Parent was separated from the Group at Closing.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connection with the Closing of the merger with GGI and the removal of the Former Parent (Polestar Automotive Holding Limited) from the Group:</w:t>
      </w:r>
    </w:p>
    <w:p>
      <w:pPr>
        <w:spacing w:after="0" w:line="82" w:lineRule="exact"/>
        <w:rPr>
          <w:sz w:val="20"/>
          <w:szCs w:val="20"/>
          <w:color w:val="auto"/>
        </w:rPr>
      </w:pPr>
    </w:p>
    <w:p>
      <w:pPr>
        <w:ind w:left="840" w:hanging="281"/>
        <w:spacing w:after="0"/>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197,026,729 Class A Shares were exchanged at a ratio of 1:8.335 for 1,642,233,575 Class B Shares;</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35,377,866 Class B Shares were exchanged at a ratio of 1:8.335 for 294,877,349 Class A Shares;</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4,306,466 Class A Shares were issued to holders of the Convertible Notes;</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26,540,835 Class A Shares were issued to the PIPE investors;</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82,193,962 Class A Shares were issued to the former shareholders of GGI; and</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58,882,610 Preference Shares were issued to Volvo Cars which subsequently converted into 58,882,610 Class A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1 - Significant accounting policies and judgements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more details on the merger with GGI.</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Post-closing of the merger with GGI</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Following the merger with GGI, 174,075 and 501,451 Class A Shares were issued to employees of the Group as of December 31, 2023 and 2022 under the Omnibus Plan,</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respectively. 125,000 and 375,000 Class A Shares were issued in exchange for marketing services as of December 31, 2023, and 2022, respectively. Refer to </w:t>
      </w:r>
      <w:r>
        <w:rPr>
          <w:rFonts w:ascii="Times New Roman" w:cs="Times New Roman" w:eastAsia="Times New Roman" w:hAnsi="Times New Roman"/>
          <w:sz w:val="15"/>
          <w:szCs w:val="15"/>
          <w:i w:val="1"/>
          <w:iCs w:val="1"/>
          <w:color w:val="auto"/>
        </w:rPr>
        <w:t>Note 8 - Share-based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payment </w:t>
      </w:r>
      <w:r>
        <w:rPr>
          <w:rFonts w:ascii="Times New Roman" w:cs="Times New Roman" w:eastAsia="Times New Roman" w:hAnsi="Times New Roman"/>
          <w:sz w:val="15"/>
          <w:szCs w:val="15"/>
          <w:color w:val="auto"/>
        </w:rPr>
        <w:t>for additional details. As of December 31, 2023, there were an additional 4,532,023,252 Class A Shares and 135,133,164 Class B Shares with par values of $0.01 authorized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issuance. No additional Class C Shares or Redeemable Preferred Shares were authorized for issuance.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instruments of Parent were issued and outstanding as of December 31, 2023:</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840" w:hanging="281"/>
        <w:spacing w:after="0"/>
        <w:tabs>
          <w:tab w:leader="none" w:pos="8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467,976,748 Class A Shares with a par value of $0.01, of which 220,918,695 were owned by related parties;</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1,642,233,575 Class B Shares with a par value of $0.01, of which all were owned by related parties;</w:t>
      </w:r>
    </w:p>
    <w:p>
      <w:pPr>
        <w:spacing w:after="0" w:line="82"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20,499,965 Class C-1 Shares with a par value of $0.10;</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4,500,000 Class C-2 Shares with a par value of $0.10; and</w:t>
      </w:r>
    </w:p>
    <w:p>
      <w:pPr>
        <w:spacing w:after="0" w:line="70"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50,000 GBP Redeemable Preferred Shares with a par value of GBP 1.00.</w:t>
      </w:r>
    </w:p>
    <w:p>
      <w:pPr>
        <w:spacing w:after="0" w:line="8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Holders of Class A Shares in Parent are entitled to one vote per share and holders of Class B Shares in the Parent are entitled to ten votes per share. Holders of Class C Shares in Parent are entitled to one vote per share for certain matters, but have no voting rights with respect to general matters voted on by holders of Class A Shares and Class B Shares in the Parent. Additionally, holders of GBP Redeemable Preferred Shares in the Parent have no voting rights. Any dividends or other distributions paid by the Parent shall only be issued to</w:t>
      </w: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holders of outstanding Class A Shares and Class B Shares in the Parent. Holders of Class C Shares and GBP Redeemable Preferred Shares in the Parent are not entitled to participate in any dividends or other distributions. Refer to </w:t>
      </w:r>
      <w:r>
        <w:rPr>
          <w:rFonts w:ascii="Times New Roman" w:cs="Times New Roman" w:eastAsia="Times New Roman" w:hAnsi="Times New Roman"/>
          <w:sz w:val="15"/>
          <w:szCs w:val="15"/>
          <w:i w:val="1"/>
          <w:iCs w:val="1"/>
          <w:color w:val="auto"/>
        </w:rPr>
        <w:t>Note 18 - Reverse recapitalization</w:t>
      </w:r>
      <w:r>
        <w:rPr>
          <w:rFonts w:ascii="Times New Roman" w:cs="Times New Roman" w:eastAsia="Times New Roman" w:hAnsi="Times New Roman"/>
          <w:sz w:val="15"/>
          <w:szCs w:val="15"/>
          <w:color w:val="auto"/>
        </w:rPr>
        <w:t xml:space="preserve"> for additional information on the Class C Shares which are accounted for as derivative financial liabilities in accordance with IAS 32 and IFRS 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Convertible Notes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 July 2021, Geely and two other third-parties invested $35,231 in non-interest-bearing Convertible Notes. Of the $35,231, $9,531 was held by Geely. The Convertible notes were accounted for as equity upon issuance and classified within Other contributed capital. The Convertible Notes were not eligible to receive a coupon or dividend for the first 24 months</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after issuance and were to convert to common shares upon (1) an issuance of equity securities in an amount greater than $50,000 to any entity that owned more than 35% voting power in the Former Group, (2) the occurrence of any initial public offering, combination with a special purpose acquisition company, or direct listing, (3) a liquidation of the Former Group, or (4) the non-occurrence of any of the preceding events by the 24-month anniversary of the issuance of the Convertible Notes. The second conversion event was satisfied on</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June 23, 2022 in connection with the merger with GGI and the Convertible Notes were converted into 4,306,466 Class A Shares in the Parent, resulting in a reclassification of par value within equity from Other contributed capital to Share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Currency translation reserve</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Accumulated deficit</w:t>
      </w:r>
    </w:p>
    <w:p>
      <w:pPr>
        <w:spacing w:after="0" w:line="8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Accumulated deficit comprises Net loss for the year and preceding years less any profits distributed. Accumulated deficit also includes the effects of business combinations under common control within Polestar Group.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23 - Current and non-current provisions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Changes in the Group’s current and non-current provisions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4760" w:type="dxa"/>
            <w:vAlign w:val="bottom"/>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Warranties</w:t>
            </w:r>
          </w:p>
        </w:tc>
        <w:tc>
          <w:tcPr>
            <w:tcW w:w="122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 benefits</w:t>
            </w:r>
          </w:p>
        </w:tc>
        <w:tc>
          <w:tcPr>
            <w:tcW w:w="2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28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right w:val="single" w:sz="8" w:color="DBDBDB"/>
            </w:tcBorders>
            <w:shd w:val="clear" w:color="auto" w:fill="DBDBDB"/>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r>
      <w:tr>
        <w:trPr>
          <w:trHeight w:val="188"/>
        </w:trPr>
        <w:tc>
          <w:tcPr>
            <w:tcW w:w="18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January 1, 2022 - (Restated)</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56,795</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7,628</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9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4,570</w:t>
            </w:r>
          </w:p>
        </w:tc>
        <w:tc>
          <w:tcPr>
            <w:tcW w:w="26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68,993</w:t>
            </w:r>
          </w:p>
        </w:tc>
        <w:tc>
          <w:tcPr>
            <w:tcW w:w="180" w:type="dxa"/>
            <w:vAlign w:val="bottom"/>
          </w:tcPr>
          <w:p>
            <w:pPr>
              <w:spacing w:after="0"/>
              <w:rPr>
                <w:sz w:val="16"/>
                <w:szCs w:val="16"/>
                <w:color w:val="auto"/>
              </w:rPr>
            </w:pPr>
          </w:p>
        </w:tc>
      </w:tr>
      <w:tr>
        <w:trPr>
          <w:trHeight w:val="197"/>
        </w:trPr>
        <w:tc>
          <w:tcPr>
            <w:tcW w:w="180" w:type="dxa"/>
            <w:vAlign w:val="bottom"/>
          </w:tcPr>
          <w:p>
            <w:pPr>
              <w:spacing w:after="0"/>
              <w:rPr>
                <w:sz w:val="17"/>
                <w:szCs w:val="17"/>
                <w:color w:val="auto"/>
              </w:rPr>
            </w:pPr>
          </w:p>
        </w:tc>
        <w:tc>
          <w:tcPr>
            <w:tcW w:w="4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Additions - (Restated)</w:t>
            </w:r>
          </w:p>
        </w:tc>
        <w:tc>
          <w:tcPr>
            <w:tcW w:w="2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106,680</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14,590</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8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9,270</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130,540</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Utilization - (Restated)</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(7,978)</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(9,354)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(37,463)</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Reversals - (Restated)</w:t>
            </w:r>
          </w:p>
        </w:tc>
        <w:tc>
          <w:tcPr>
            <w:tcW w:w="2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(10,823)</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8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(11,032)</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Unwinding of discount and effect in changes due to discount rate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(3,892)</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(3,892)</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Calculated translational difference - (Restated)</w:t>
            </w:r>
          </w:p>
        </w:tc>
        <w:tc>
          <w:tcPr>
            <w:tcW w:w="2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(5,100)</w:t>
            </w:r>
          </w:p>
        </w:tc>
        <w:tc>
          <w:tcPr>
            <w:tcW w:w="4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2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(6,136)</w:t>
            </w:r>
          </w:p>
        </w:tc>
        <w:tc>
          <w:tcPr>
            <w:tcW w:w="180" w:type="dxa"/>
            <w:vAlign w:val="bottom"/>
          </w:tcPr>
          <w:p>
            <w:pPr>
              <w:spacing w:after="0"/>
              <w:rPr>
                <w:sz w:val="17"/>
                <w:szCs w:val="17"/>
                <w:color w:val="auto"/>
              </w:rPr>
            </w:pPr>
          </w:p>
        </w:tc>
      </w:tr>
      <w:tr>
        <w:trPr>
          <w:trHeight w:val="188"/>
        </w:trPr>
        <w:tc>
          <w:tcPr>
            <w:tcW w:w="180" w:type="dxa"/>
            <w:vAlign w:val="bottom"/>
          </w:tcPr>
          <w:p>
            <w:pPr>
              <w:spacing w:after="0"/>
              <w:rPr>
                <w:sz w:val="16"/>
                <w:szCs w:val="16"/>
                <w:color w:val="auto"/>
              </w:rPr>
            </w:pPr>
          </w:p>
        </w:tc>
        <w:tc>
          <w:tcPr>
            <w:tcW w:w="47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123,529</w:t>
            </w:r>
          </w:p>
        </w:tc>
        <w:tc>
          <w:tcPr>
            <w:tcW w:w="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13,418</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 $</w:t>
            </w:r>
          </w:p>
        </w:tc>
        <w:tc>
          <w:tcPr>
            <w:tcW w:w="9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4,063</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141,010</w:t>
            </w:r>
          </w:p>
        </w:tc>
        <w:tc>
          <w:tcPr>
            <w:tcW w:w="180" w:type="dxa"/>
            <w:vAlign w:val="bottom"/>
          </w:tcPr>
          <w:p>
            <w:pPr>
              <w:spacing w:after="0"/>
              <w:rPr>
                <w:sz w:val="16"/>
                <w:szCs w:val="16"/>
                <w:color w:val="auto"/>
              </w:rPr>
            </w:pPr>
          </w:p>
        </w:tc>
      </w:tr>
      <w:tr>
        <w:trPr>
          <w:trHeight w:val="188"/>
        </w:trPr>
        <w:tc>
          <w:tcPr>
            <w:tcW w:w="180" w:type="dxa"/>
            <w:vAlign w:val="bottom"/>
          </w:tcPr>
          <w:p>
            <w:pPr>
              <w:spacing w:after="0"/>
              <w:rPr>
                <w:sz w:val="16"/>
                <w:szCs w:val="16"/>
                <w:color w:val="auto"/>
              </w:rPr>
            </w:pPr>
          </w:p>
        </w:tc>
        <w:tc>
          <w:tcPr>
            <w:tcW w:w="476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current - (Restated)</w:t>
            </w:r>
          </w:p>
        </w:tc>
        <w:tc>
          <w:tcPr>
            <w:tcW w:w="2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53,595</w:t>
            </w:r>
          </w:p>
        </w:tc>
        <w:tc>
          <w:tcPr>
            <w:tcW w:w="4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13,322</w:t>
            </w:r>
          </w:p>
        </w:tc>
        <w:tc>
          <w:tcPr>
            <w:tcW w:w="2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6"/>
                <w:szCs w:val="16"/>
                <w:color w:val="auto"/>
              </w:rPr>
            </w:pPr>
          </w:p>
        </w:tc>
        <w:tc>
          <w:tcPr>
            <w:tcW w:w="98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2,121</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69,038</w:t>
            </w:r>
          </w:p>
        </w:tc>
        <w:tc>
          <w:tcPr>
            <w:tcW w:w="180" w:type="dxa"/>
            <w:vAlign w:val="bottom"/>
          </w:tcPr>
          <w:p>
            <w:pPr>
              <w:spacing w:after="0"/>
              <w:rPr>
                <w:sz w:val="16"/>
                <w:szCs w:val="16"/>
                <w:color w:val="auto"/>
              </w:rPr>
            </w:pPr>
          </w:p>
        </w:tc>
      </w:tr>
      <w:tr>
        <w:trPr>
          <w:trHeight w:val="197"/>
        </w:trPr>
        <w:tc>
          <w:tcPr>
            <w:tcW w:w="180" w:type="dxa"/>
            <w:vAlign w:val="bottom"/>
          </w:tcPr>
          <w:p>
            <w:pPr>
              <w:spacing w:after="0"/>
              <w:rPr>
                <w:sz w:val="17"/>
                <w:szCs w:val="17"/>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non-current - (Restated)</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69,934</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1,942</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71,972</w:t>
            </w:r>
          </w:p>
        </w:tc>
        <w:tc>
          <w:tcPr>
            <w:tcW w:w="180" w:type="dxa"/>
            <w:vAlign w:val="bottom"/>
          </w:tcPr>
          <w:p>
            <w:pPr>
              <w:spacing w:after="0"/>
              <w:rPr>
                <w:sz w:val="17"/>
                <w:szCs w:val="17"/>
                <w:color w:val="auto"/>
              </w:rPr>
            </w:pPr>
          </w:p>
        </w:tc>
      </w:tr>
      <w:tr>
        <w:trPr>
          <w:trHeight w:val="232"/>
        </w:trPr>
        <w:tc>
          <w:tcPr>
            <w:tcW w:w="180" w:type="dxa"/>
            <w:vAlign w:val="bottom"/>
          </w:tcPr>
          <w:p>
            <w:pPr>
              <w:spacing w:after="0"/>
              <w:rPr>
                <w:sz w:val="20"/>
                <w:szCs w:val="20"/>
                <w:color w:val="auto"/>
              </w:rPr>
            </w:pPr>
          </w:p>
        </w:tc>
        <w:tc>
          <w:tcPr>
            <w:tcW w:w="47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80" w:type="dxa"/>
            <w:vAlign w:val="bottom"/>
            <w:tcBorders>
              <w:right w:val="single" w:sz="8" w:color="auto"/>
            </w:tcBorders>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80" w:type="dxa"/>
            <w:vAlign w:val="bottom"/>
          </w:tcPr>
          <w:p>
            <w:pPr>
              <w:spacing w:after="0"/>
              <w:rPr>
                <w:sz w:val="20"/>
                <w:szCs w:val="20"/>
                <w:color w:val="auto"/>
              </w:rPr>
            </w:pPr>
          </w:p>
        </w:tc>
      </w:tr>
      <w:tr>
        <w:trPr>
          <w:trHeight w:val="197"/>
        </w:trPr>
        <w:tc>
          <w:tcPr>
            <w:tcW w:w="1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January 1, 2023 - (Restated)</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123,529</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13,418</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4,063</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141,010</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Additions - (Restated)</w:t>
            </w:r>
          </w:p>
        </w:tc>
        <w:tc>
          <w:tcPr>
            <w:tcW w:w="2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91,240</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2,832</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35,676</w:t>
            </w:r>
          </w:p>
        </w:tc>
        <w:tc>
          <w:tcPr>
            <w:tcW w:w="280" w:type="dxa"/>
            <w:vAlign w:val="bottom"/>
            <w:shd w:val="clear" w:color="auto" w:fill="DBDBDB"/>
          </w:tcPr>
          <w:p>
            <w:pPr>
              <w:spacing w:after="0"/>
              <w:rPr>
                <w:sz w:val="17"/>
                <w:szCs w:val="17"/>
                <w:color w:val="auto"/>
              </w:rPr>
            </w:pPr>
          </w:p>
        </w:tc>
        <w:tc>
          <w:tcPr>
            <w:tcW w:w="98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19,702</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149,450</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Utilization</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(44,995)</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(11,704)</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(13,053)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(69,752)</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Reversals - (Restated)</w:t>
            </w:r>
          </w:p>
        </w:tc>
        <w:tc>
          <w:tcPr>
            <w:tcW w:w="2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(17,091)</w:t>
            </w:r>
          </w:p>
        </w:tc>
        <w:tc>
          <w:tcPr>
            <w:tcW w:w="4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(1,825)</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98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(2,242)</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(21,158)</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Unwinding of discount and effect in changes due to discount rate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(10,975)</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spacing w:after="0"/>
              <w:rPr>
                <w:sz w:val="17"/>
                <w:szCs w:val="17"/>
                <w:color w:val="auto"/>
              </w:rPr>
            </w:pPr>
          </w:p>
        </w:tc>
        <w:tc>
          <w:tcPr>
            <w:tcW w:w="9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(10,975)</w:t>
            </w:r>
          </w:p>
        </w:tc>
        <w:tc>
          <w:tcPr>
            <w:tcW w:w="18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47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Calculated translational difference - (Restated)</w:t>
            </w:r>
          </w:p>
        </w:tc>
        <w:tc>
          <w:tcPr>
            <w:tcW w:w="2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2,985</w:t>
            </w:r>
          </w:p>
        </w:tc>
        <w:tc>
          <w:tcPr>
            <w:tcW w:w="4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292</w:t>
            </w:r>
          </w:p>
        </w:tc>
        <w:tc>
          <w:tcPr>
            <w:tcW w:w="2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3,778</w:t>
            </w:r>
          </w:p>
        </w:tc>
        <w:tc>
          <w:tcPr>
            <w:tcW w:w="180" w:type="dxa"/>
            <w:vAlign w:val="bottom"/>
          </w:tcPr>
          <w:p>
            <w:pPr>
              <w:spacing w:after="0"/>
              <w:rPr>
                <w:sz w:val="17"/>
                <w:szCs w:val="17"/>
                <w:color w:val="auto"/>
              </w:rPr>
            </w:pPr>
          </w:p>
        </w:tc>
      </w:tr>
      <w:tr>
        <w:trPr>
          <w:trHeight w:val="188"/>
        </w:trPr>
        <w:tc>
          <w:tcPr>
            <w:tcW w:w="18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144,693</w:t>
            </w:r>
          </w:p>
        </w:tc>
        <w:tc>
          <w:tcPr>
            <w:tcW w:w="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3,222</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35,676</w:t>
            </w: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8,762</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192,353</w:t>
            </w:r>
          </w:p>
        </w:tc>
        <w:tc>
          <w:tcPr>
            <w:tcW w:w="180" w:type="dxa"/>
            <w:vAlign w:val="bottom"/>
          </w:tcPr>
          <w:p>
            <w:pPr>
              <w:spacing w:after="0"/>
              <w:rPr>
                <w:sz w:val="16"/>
                <w:szCs w:val="16"/>
                <w:color w:val="auto"/>
              </w:rPr>
            </w:pPr>
          </w:p>
        </w:tc>
      </w:tr>
      <w:tr>
        <w:trPr>
          <w:trHeight w:val="639"/>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F-54</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4"/>
        </w:trPr>
        <w:tc>
          <w:tcPr>
            <w:tcW w:w="180" w:type="dxa"/>
            <w:vAlign w:val="bottom"/>
            <w:tcBorders>
              <w:bottom w:val="single" w:sz="8" w:color="9A9A9A"/>
            </w:tcBorders>
          </w:tcPr>
          <w:p>
            <w:pPr>
              <w:spacing w:after="0"/>
              <w:rPr>
                <w:sz w:val="7"/>
                <w:szCs w:val="7"/>
                <w:color w:val="auto"/>
              </w:rPr>
            </w:pPr>
          </w:p>
        </w:tc>
        <w:tc>
          <w:tcPr>
            <w:tcW w:w="47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6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6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4760" w:type="dxa"/>
            <w:vAlign w:val="bottom"/>
            <w:tcBorders>
              <w:top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current - (Restated)</w:t>
            </w:r>
          </w:p>
        </w:tc>
        <w:tc>
          <w:tcPr>
            <w:tcW w:w="1640" w:type="dxa"/>
            <w:vAlign w:val="bottom"/>
            <w:tcBorders>
              <w:top w:val="single" w:sz="8" w:color="auto"/>
            </w:tcBorders>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color w:val="auto"/>
              </w:rPr>
              <w:t>44,582</w:t>
            </w:r>
          </w:p>
        </w:tc>
        <w:tc>
          <w:tcPr>
            <w:tcW w:w="1180" w:type="dxa"/>
            <w:vAlign w:val="bottom"/>
            <w:tcBorders>
              <w:top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color w:val="auto"/>
              </w:rPr>
              <w:t>2,139</w:t>
            </w:r>
          </w:p>
        </w:tc>
        <w:tc>
          <w:tcPr>
            <w:tcW w:w="1260" w:type="dxa"/>
            <w:vAlign w:val="bottom"/>
            <w:tcBorders>
              <w:top w:val="single" w:sz="8" w:color="auto"/>
            </w:tcBorders>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color w:val="auto"/>
              </w:rPr>
              <w:t>35,676</w:t>
            </w:r>
          </w:p>
        </w:tc>
        <w:tc>
          <w:tcPr>
            <w:tcW w:w="860" w:type="dxa"/>
            <w:vAlign w:val="bottom"/>
            <w:tcBorders>
              <w:top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6,348</w:t>
            </w:r>
          </w:p>
        </w:tc>
        <w:tc>
          <w:tcPr>
            <w:tcW w:w="1200" w:type="dxa"/>
            <w:vAlign w:val="bottom"/>
            <w:tcBorders>
              <w:top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88,745</w:t>
            </w:r>
          </w:p>
        </w:tc>
      </w:tr>
      <w:tr>
        <w:trPr>
          <w:trHeight w:val="197"/>
        </w:trPr>
        <w:tc>
          <w:tcPr>
            <w:tcW w:w="47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non-current - (Restated)</w:t>
            </w:r>
          </w:p>
        </w:tc>
        <w:tc>
          <w:tcPr>
            <w:tcW w:w="164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100,111</w:t>
            </w:r>
          </w:p>
        </w:tc>
        <w:tc>
          <w:tcPr>
            <w:tcW w:w="11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1,083</w:t>
            </w:r>
          </w:p>
        </w:tc>
        <w:tc>
          <w:tcPr>
            <w:tcW w:w="126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2,414</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103,608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GGI litigation</w:t>
      </w:r>
    </w:p>
    <w:p>
      <w:pPr>
        <w:spacing w:after="0" w:line="7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 xml:space="preserve">Per the terms of the BCA governing the merger with GGI discussed in </w:t>
      </w:r>
      <w:r>
        <w:rPr>
          <w:rFonts w:ascii="Times New Roman" w:cs="Times New Roman" w:eastAsia="Times New Roman" w:hAnsi="Times New Roman"/>
          <w:sz w:val="15"/>
          <w:szCs w:val="15"/>
          <w:i w:val="1"/>
          <w:iCs w:val="1"/>
          <w:color w:val="auto"/>
        </w:rPr>
        <w:t>Note 1 - Overview and basis of preparation</w:t>
      </w:r>
      <w:r>
        <w:rPr>
          <w:rFonts w:ascii="Times New Roman" w:cs="Times New Roman" w:eastAsia="Times New Roman" w:hAnsi="Times New Roman"/>
          <w:sz w:val="15"/>
          <w:szCs w:val="15"/>
          <w:color w:val="auto"/>
        </w:rPr>
        <w:t>, Polestar is obligated to indemnify directors, officers, and employees of GGI for six years following the Closing of the merger. In August 2023, former public stakeholders of GGI filed a legal claim against certain directors, officers, and</w:t>
      </w:r>
    </w:p>
    <w:p>
      <w:pPr>
        <w:jc w:val="both"/>
        <w:spacing w:after="0" w:line="214" w:lineRule="auto"/>
        <w:rPr>
          <w:sz w:val="20"/>
          <w:szCs w:val="20"/>
          <w:color w:val="auto"/>
        </w:rPr>
      </w:pPr>
      <w:r>
        <w:rPr>
          <w:rFonts w:ascii="Times New Roman" w:cs="Times New Roman" w:eastAsia="Times New Roman" w:hAnsi="Times New Roman"/>
          <w:sz w:val="15"/>
          <w:szCs w:val="15"/>
          <w:color w:val="auto"/>
        </w:rPr>
        <w:t>employees of GGI; alleging certain misconduct by these individuals with respect to their duties to GGI's stakeholders during and prior to GGI's merger with Polestar. As of December 31, 2023, Polestar maintains a provision for $35,676 relating to its indemnification obligation towards the defendants. Polestar's directors and officers insurance policy applies to the legal claim and provides coverage for up to $10,000 of costs after $5,000 has been paid by Polestar. As of December 31, 2023, the full $10,000 has been recognized and included in</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Other current assets on the Consolidated Statement of Financial Position as a virtually certain offsetting recovery. As the outcome of the litigation includes inherent uncertainty, the direct result of the litigation may not be known until late 2025 when trial is scheduled. Polestar’s estimates of its obligation could change in the future if new facts and circumstances arise as the legal proceedings continue to develop.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Note 24 - Other current and non-current liabilities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current liabilities for the Group were as follows: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gridSpan w:val="4"/>
          </w:tcPr>
          <w:p>
            <w:pPr>
              <w:spacing w:after="0"/>
              <w:rPr>
                <w:sz w:val="8"/>
                <w:szCs w:val="8"/>
                <w:color w:val="auto"/>
              </w:rPr>
            </w:pPr>
          </w:p>
        </w:tc>
        <w:tc>
          <w:tcPr>
            <w:tcW w:w="5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gridSpan w:val="4"/>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1080" w:type="dxa"/>
            <w:vAlign w:val="bottom"/>
            <w:tcBorders>
              <w:bottom w:val="single" w:sz="8" w:color="auto"/>
            </w:tcBorders>
            <w:gridSpan w:val="3"/>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180" w:type="dxa"/>
            <w:vAlign w:val="bottom"/>
            <w:tcBorders>
              <w:bottom w:val="single" w:sz="8" w:color="auto"/>
            </w:tcBorders>
            <w:gridSpan w:val="3"/>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expenses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125,384</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157,892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Liabilities related to assets under construction</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111,120</w:t>
            </w:r>
          </w:p>
        </w:tc>
        <w:tc>
          <w:tcPr>
            <w:tcW w:w="4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14,266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VAT liabilities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88,520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78,942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Liabilities related to repurchase commitments</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58,482</w:t>
            </w:r>
          </w:p>
        </w:tc>
        <w:tc>
          <w:tcPr>
            <w:tcW w:w="4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73,241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Refund liabilities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48,132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17,961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Personnel related liabilities</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37,518</w:t>
            </w:r>
          </w:p>
        </w:tc>
        <w:tc>
          <w:tcPr>
            <w:tcW w:w="4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28,816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interest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10,501</w:t>
            </w:r>
          </w:p>
        </w:tc>
        <w:tc>
          <w:tcPr>
            <w:tcW w:w="40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8,644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489,747</w:t>
            </w:r>
          </w:p>
        </w:tc>
        <w:tc>
          <w:tcPr>
            <w:tcW w:w="4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382,375</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non-current liabilities for the Group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00" w:type="dxa"/>
            <w:vAlign w:val="bottom"/>
            <w:shd w:val="clear" w:color="auto" w:fill="DBDBDB"/>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2380" w:type="dxa"/>
            <w:vAlign w:val="bottom"/>
            <w:tcBorders>
              <w:bottom w:val="single" w:sz="8" w:color="auto"/>
            </w:tcBorders>
            <w:gridSpan w:val="5"/>
            <w:shd w:val="clear" w:color="auto" w:fill="DBDBDB"/>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97"/>
        </w:trPr>
        <w:tc>
          <w:tcPr>
            <w:tcW w:w="84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Liabilities related to repurchase commitments</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61,182</w:t>
            </w:r>
          </w:p>
        </w:tc>
        <w:tc>
          <w:tcPr>
            <w:tcW w:w="16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color w:val="auto"/>
              </w:rPr>
              <w:t>13,106</w:t>
            </w:r>
          </w:p>
        </w:tc>
        <w:tc>
          <w:tcPr>
            <w:tcW w:w="0" w:type="dxa"/>
            <w:vAlign w:val="bottom"/>
          </w:tcPr>
          <w:p>
            <w:pPr>
              <w:spacing w:after="0"/>
              <w:rPr>
                <w:sz w:val="1"/>
                <w:szCs w:val="1"/>
                <w:color w:val="auto"/>
              </w:rPr>
            </w:pPr>
          </w:p>
        </w:tc>
      </w:tr>
      <w:tr>
        <w:trPr>
          <w:trHeight w:val="197"/>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Liabilities related to assets under construction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53,024</w:t>
            </w: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76,386</w:t>
            </w:r>
          </w:p>
        </w:tc>
        <w:tc>
          <w:tcPr>
            <w:tcW w:w="0" w:type="dxa"/>
            <w:vAlign w:val="bottom"/>
          </w:tcPr>
          <w:p>
            <w:pPr>
              <w:spacing w:after="0"/>
              <w:rPr>
                <w:sz w:val="1"/>
                <w:szCs w:val="1"/>
                <w:color w:val="auto"/>
              </w:rPr>
            </w:pPr>
          </w:p>
        </w:tc>
      </w:tr>
      <w:tr>
        <w:trPr>
          <w:trHeight w:val="197"/>
        </w:trPr>
        <w:tc>
          <w:tcPr>
            <w:tcW w:w="84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Refund liabilities</w:t>
            </w:r>
          </w:p>
        </w:tc>
        <w:tc>
          <w:tcPr>
            <w:tcW w:w="2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1,251</w:t>
            </w:r>
          </w:p>
        </w:tc>
        <w:tc>
          <w:tcPr>
            <w:tcW w:w="16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color w:val="auto"/>
              </w:rPr>
              <w:t>1,702</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11,966</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14,753</w:t>
            </w:r>
          </w:p>
        </w:tc>
        <w:tc>
          <w:tcPr>
            <w:tcW w:w="0" w:type="dxa"/>
            <w:vAlign w:val="bottom"/>
          </w:tcPr>
          <w:p>
            <w:pPr>
              <w:spacing w:after="0"/>
              <w:rPr>
                <w:sz w:val="1"/>
                <w:szCs w:val="1"/>
                <w:color w:val="auto"/>
              </w:rPr>
            </w:pPr>
          </w:p>
        </w:tc>
      </w:tr>
      <w:tr>
        <w:trPr>
          <w:trHeight w:val="188"/>
        </w:trPr>
        <w:tc>
          <w:tcPr>
            <w:tcW w:w="84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127,423</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105,947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Accrued expenses were mainly related to marketing and product development; personnel related liabilities consisted of wages, salaries, and other benefits payable.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25 - Liabilities to credit institutions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carrying amount of Polestar Group’s Liabilities to credit institutions as of December 31, 2023 and December 31, 2022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4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gridSpan w:val="3"/>
            <w:shd w:val="clear" w:color="auto" w:fill="DBDBDB"/>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8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6"/>
                <w:szCs w:val="16"/>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8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to credit institutions</w:t>
            </w: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8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Working capital loans from banks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1,923,755</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1,300,108</w:t>
            </w:r>
          </w:p>
        </w:tc>
      </w:tr>
      <w:tr>
        <w:trPr>
          <w:trHeight w:val="197"/>
        </w:trPr>
        <w:tc>
          <w:tcPr>
            <w:tcW w:w="8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Floorplan facilities</w:t>
            </w: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75,963</w:t>
            </w:r>
          </w:p>
        </w:tc>
        <w:tc>
          <w:tcPr>
            <w:tcW w:w="2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5,409</w:t>
            </w:r>
          </w:p>
        </w:tc>
      </w:tr>
      <w:tr>
        <w:trPr>
          <w:trHeight w:val="197"/>
        </w:trPr>
        <w:tc>
          <w:tcPr>
            <w:tcW w:w="87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Sale-leaseback facilities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26,947</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21,585</w:t>
            </w:r>
          </w:p>
        </w:tc>
      </w:tr>
      <w:tr>
        <w:trPr>
          <w:trHeight w:val="188"/>
        </w:trPr>
        <w:tc>
          <w:tcPr>
            <w:tcW w:w="8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2,026,665</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1,327,102</w:t>
            </w:r>
          </w:p>
        </w:tc>
      </w:tr>
    </w:tbl>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Since Liabilities to credit institutions are short-term with a duration of twelve months or less, the carrying amount of each contract is deemed to be a reasonable approximation of fair value. The Group’s risk management policies related to Liabilities to credit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 xml:space="preserve">institutions and other debt instruments are further detailed in </w:t>
      </w:r>
      <w:r>
        <w:rPr>
          <w:rFonts w:ascii="Times New Roman" w:cs="Times New Roman" w:eastAsia="Times New Roman" w:hAnsi="Times New Roman"/>
          <w:sz w:val="15"/>
          <w:szCs w:val="15"/>
          <w:i w:val="1"/>
          <w:iCs w:val="1"/>
          <w:color w:val="auto"/>
        </w:rPr>
        <w:t>Note 3 - Financial risk management</w:t>
      </w:r>
      <w:r>
        <w:rPr>
          <w:rFonts w:ascii="Times New Roman" w:cs="Times New Roman" w:eastAsia="Times New Roman" w:hAnsi="Times New Roman"/>
          <w:sz w:val="15"/>
          <w:szCs w:val="15"/>
          <w:color w:val="auto"/>
        </w:rPr>
        <w:t xml:space="preserve"> of the Consolidated Financial Statements, as of, and for the year ended, December 31, 2023.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had the following working capital loans outstanding as of December 31, 2023:</w:t>
      </w:r>
    </w:p>
    <w:p>
      <w:pPr>
        <w:spacing w:after="0" w:line="11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5"/>
          <w:szCs w:val="15"/>
          <w:b w:val="1"/>
          <w:bCs w:val="1"/>
          <w:color w:val="auto"/>
        </w:rPr>
        <w:t>Nominal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152005" cy="521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65">
                      <a:extLst>
                        <a:ext uri="{28A0092B-C50C-407E-A947-70E740481C1C}"/>
                      </a:extLst>
                    </a:blip>
                    <a:srcRect/>
                    <a:stretch>
                      <a:fillRect/>
                    </a:stretch>
                  </pic:blipFill>
                  <pic:spPr bwMode="auto">
                    <a:xfrm>
                      <a:off x="0" y="0"/>
                      <a:ext cx="7152005" cy="521970"/>
                    </a:xfrm>
                    <a:prstGeom prst="rect">
                      <a:avLst/>
                    </a:prstGeom>
                    <a:noFill/>
                  </pic:spPr>
                </pic:pic>
              </a:graphicData>
            </a:graphic>
          </wp:anchor>
        </w:drawing>
      </w:r>
    </w:p>
    <w:p>
      <w:pPr>
        <w:jc w:val="center"/>
        <w:ind w:left="7500"/>
        <w:spacing w:after="0" w:line="225" w:lineRule="auto"/>
        <w:rPr>
          <w:sz w:val="20"/>
          <w:szCs w:val="20"/>
          <w:color w:val="auto"/>
        </w:rPr>
      </w:pPr>
      <w:r>
        <w:rPr>
          <w:rFonts w:ascii="Times New Roman" w:cs="Times New Roman" w:eastAsia="Times New Roman" w:hAnsi="Times New Roman"/>
          <w:sz w:val="15"/>
          <w:szCs w:val="15"/>
          <w:b w:val="1"/>
          <w:bCs w:val="1"/>
          <w:color w:val="auto"/>
        </w:rPr>
        <w:t>in</w:t>
      </w:r>
    </w:p>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b w:val="1"/>
                <w:bCs w:val="1"/>
                <w:color w:val="auto"/>
                <w:w w:val="99"/>
              </w:rPr>
              <w:t>respective</w:t>
            </w:r>
          </w:p>
        </w:tc>
        <w:tc>
          <w:tcPr>
            <w:tcW w:w="100" w:type="dxa"/>
            <w:vAlign w:val="bottom"/>
          </w:tcPr>
          <w:p>
            <w:pPr>
              <w:spacing w:after="0"/>
              <w:rPr>
                <w:sz w:val="11"/>
                <w:szCs w:val="11"/>
                <w:color w:val="auto"/>
              </w:rPr>
            </w:pPr>
          </w:p>
        </w:tc>
        <w:tc>
          <w:tcPr>
            <w:tcW w:w="116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Amount in USD</w:t>
            </w: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2920" w:type="dxa"/>
            <w:vAlign w:val="bottom"/>
            <w:vMerge w:val="restart"/>
          </w:tcPr>
          <w:p>
            <w:pPr>
              <w:ind w:left="166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500" w:type="dxa"/>
            <w:vAlign w:val="bottom"/>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3460" w:type="dxa"/>
            <w:vAlign w:val="bottom"/>
            <w:vMerge w:val="restart"/>
          </w:tcPr>
          <w:p>
            <w:pPr>
              <w:ind w:left="15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9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34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Secured</w:t>
            </w:r>
            <w:r>
              <w:rPr>
                <w:rFonts w:ascii="Times New Roman" w:cs="Times New Roman" w:eastAsia="Times New Roman" w:hAnsi="Times New Roman"/>
                <w:sz w:val="20"/>
                <w:szCs w:val="20"/>
                <w:color w:val="auto"/>
                <w:vertAlign w:val="superscript"/>
              </w:rPr>
              <w:t>1</w:t>
            </w:r>
          </w:p>
        </w:tc>
        <w:tc>
          <w:tcPr>
            <w:tcW w:w="346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auto"/>
              </w:rPr>
              <w:t>3 month EURIBOR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2.30% and an</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EUR</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February 2023 - February 2024</w:t>
            </w:r>
          </w:p>
        </w:tc>
        <w:tc>
          <w:tcPr>
            <w:tcW w:w="1500" w:type="dxa"/>
            <w:vAlign w:val="bottom"/>
            <w:vMerge w:val="continue"/>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arrangement fee of 0.15%</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400,104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442,795</w:t>
            </w: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March 2023 - March 2024</w:t>
            </w:r>
          </w:p>
        </w:tc>
        <w:tc>
          <w:tcPr>
            <w:tcW w:w="150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5"/>
                <w:szCs w:val="15"/>
                <w:color w:val="auto"/>
              </w:rPr>
              <w:t>7.35% per annum, settled quarterly</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March 2023 - March 2024</w:t>
            </w:r>
          </w:p>
        </w:tc>
        <w:tc>
          <w:tcPr>
            <w:tcW w:w="1500" w:type="dxa"/>
            <w:vAlign w:val="bottom"/>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5"/>
                <w:szCs w:val="15"/>
                <w:color w:val="auto"/>
              </w:rPr>
              <w:t xml:space="preserve"> plus 0.05%, settled quarterly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36,617</w:t>
            </w: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April 2023 - April 2024</w:t>
            </w:r>
          </w:p>
        </w:tc>
        <w:tc>
          <w:tcPr>
            <w:tcW w:w="150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shd w:val="clear" w:color="auto" w:fill="DBDBDB"/>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5"/>
                <w:szCs w:val="15"/>
                <w:color w:val="auto"/>
              </w:rPr>
              <w:t xml:space="preserve"> plus 0.05%, settled quarterly</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11,430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1,610</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May 2023 - May 2024</w:t>
            </w:r>
          </w:p>
        </w:tc>
        <w:tc>
          <w:tcPr>
            <w:tcW w:w="1500" w:type="dxa"/>
            <w:vAlign w:val="bottom"/>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5"/>
                <w:szCs w:val="15"/>
                <w:color w:val="auto"/>
              </w:rPr>
              <w:t xml:space="preserve"> plus 0.45%, settled quarterly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32,533</w:t>
            </w:r>
          </w:p>
        </w:tc>
        <w:tc>
          <w:tcPr>
            <w:tcW w:w="0" w:type="dxa"/>
            <w:vAlign w:val="bottom"/>
          </w:tcPr>
          <w:p>
            <w:pPr>
              <w:spacing w:after="0"/>
              <w:rPr>
                <w:sz w:val="1"/>
                <w:szCs w:val="1"/>
                <w:color w:val="auto"/>
              </w:rPr>
            </w:pPr>
          </w:p>
        </w:tc>
      </w:tr>
      <w:tr>
        <w:trPr>
          <w:trHeight w:val="150"/>
        </w:trPr>
        <w:tc>
          <w:tcPr>
            <w:tcW w:w="920" w:type="dxa"/>
            <w:vAlign w:val="bottom"/>
            <w:shd w:val="clear" w:color="auto" w:fill="DBDBDB"/>
          </w:tcPr>
          <w:p>
            <w:pPr>
              <w:spacing w:after="0"/>
              <w:rPr>
                <w:sz w:val="13"/>
                <w:szCs w:val="13"/>
                <w:color w:val="auto"/>
              </w:rPr>
            </w:pPr>
          </w:p>
        </w:tc>
        <w:tc>
          <w:tcPr>
            <w:tcW w:w="2920" w:type="dxa"/>
            <w:vAlign w:val="bottom"/>
            <w:shd w:val="clear" w:color="auto" w:fill="DBDBDB"/>
          </w:tcPr>
          <w:p>
            <w:pPr>
              <w:spacing w:after="0"/>
              <w:rPr>
                <w:sz w:val="13"/>
                <w:szCs w:val="13"/>
                <w:color w:val="auto"/>
              </w:rPr>
            </w:pPr>
          </w:p>
        </w:tc>
        <w:tc>
          <w:tcPr>
            <w:tcW w:w="1500" w:type="dxa"/>
            <w:vAlign w:val="bottom"/>
            <w:vMerge w:val="restart"/>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shd w:val="clear" w:color="auto" w:fill="DBDBDB"/>
          </w:tcPr>
          <w:p>
            <w:pPr>
              <w:ind w:left="180"/>
              <w:spacing w:after="0" w:line="150" w:lineRule="exact"/>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7"/>
                <w:szCs w:val="17"/>
                <w:color w:val="auto"/>
                <w:vertAlign w:val="superscript"/>
              </w:rPr>
              <w:t>4</w:t>
            </w:r>
            <w:r>
              <w:rPr>
                <w:rFonts w:ascii="Times New Roman" w:cs="Times New Roman" w:eastAsia="Times New Roman" w:hAnsi="Times New Roman"/>
                <w:sz w:val="13"/>
                <w:szCs w:val="13"/>
                <w:color w:val="auto"/>
              </w:rPr>
              <w:t xml:space="preserve"> plus 1.3%,</w:t>
            </w:r>
          </w:p>
        </w:tc>
        <w:tc>
          <w:tcPr>
            <w:tcW w:w="12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June 2023 - June 2024</w:t>
            </w:r>
          </w:p>
        </w:tc>
        <w:tc>
          <w:tcPr>
            <w:tcW w:w="1500" w:type="dxa"/>
            <w:vAlign w:val="bottom"/>
            <w:vMerge w:val="continue"/>
            <w:shd w:val="clear" w:color="auto" w:fill="DBDBDB"/>
          </w:tcPr>
          <w:p>
            <w:pPr>
              <w:spacing w:after="0"/>
              <w:rPr>
                <w:sz w:val="18"/>
                <w:szCs w:val="18"/>
                <w:color w:val="auto"/>
              </w:rPr>
            </w:pPr>
          </w:p>
        </w:tc>
        <w:tc>
          <w:tcPr>
            <w:tcW w:w="346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5"/>
                <w:szCs w:val="15"/>
                <w:color w:val="auto"/>
              </w:rPr>
              <w:t>settled monthly</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310,000</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43,659</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August 2023 - August 2024</w:t>
            </w:r>
          </w:p>
        </w:tc>
        <w:tc>
          <w:tcPr>
            <w:tcW w:w="1500" w:type="dxa"/>
            <w:vAlign w:val="bottom"/>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tcPr>
          <w:p>
            <w:pPr>
              <w:ind w:left="180"/>
              <w:spacing w:after="0" w:line="197" w:lineRule="exact"/>
              <w:rPr>
                <w:sz w:val="20"/>
                <w:szCs w:val="20"/>
                <w:color w:val="auto"/>
              </w:rPr>
            </w:pPr>
            <w:r>
              <w:rPr>
                <w:rFonts w:ascii="Times New Roman" w:cs="Times New Roman" w:eastAsia="Times New Roman" w:hAnsi="Times New Roman"/>
                <w:sz w:val="15"/>
                <w:szCs w:val="15"/>
                <w:color w:val="auto"/>
              </w:rPr>
              <w:t>3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2.30%, settled quarterly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402,000</w:t>
            </w: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August 2023 - August 2024</w:t>
            </w:r>
          </w:p>
        </w:tc>
        <w:tc>
          <w:tcPr>
            <w:tcW w:w="150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Secured</w:t>
            </w:r>
            <w:r>
              <w:rPr>
                <w:rFonts w:ascii="Times New Roman" w:cs="Times New Roman" w:eastAsia="Times New Roman" w:hAnsi="Times New Roman"/>
                <w:sz w:val="20"/>
                <w:szCs w:val="20"/>
                <w:color w:val="auto"/>
                <w:vertAlign w:val="superscript"/>
              </w:rPr>
              <w:t>6</w:t>
            </w:r>
          </w:p>
        </w:tc>
        <w:tc>
          <w:tcPr>
            <w:tcW w:w="3460" w:type="dxa"/>
            <w:vAlign w:val="bottom"/>
            <w:shd w:val="clear" w:color="auto" w:fill="DBDBDB"/>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0.9%, settled quarterly</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320,000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320,000</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August 2023 - August 2024</w:t>
            </w:r>
          </w:p>
        </w:tc>
        <w:tc>
          <w:tcPr>
            <w:tcW w:w="1500" w:type="dxa"/>
            <w:vAlign w:val="bottom"/>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1.1%, settled quarterly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82,000</w:t>
            </w: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September 2023 - September 2024</w:t>
            </w:r>
          </w:p>
        </w:tc>
        <w:tc>
          <w:tcPr>
            <w:tcW w:w="150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shd w:val="clear" w:color="auto" w:fill="DBDBDB"/>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5"/>
                <w:szCs w:val="15"/>
                <w:color w:val="auto"/>
              </w:rPr>
              <w:t xml:space="preserve"> plus 0.25%, settled quarterly</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70,417</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September 2023 - September 2024</w:t>
            </w:r>
          </w:p>
        </w:tc>
        <w:tc>
          <w:tcPr>
            <w:tcW w:w="1500" w:type="dxa"/>
            <w:vAlign w:val="bottom"/>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0.65%, settled quarterly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118,000</w:t>
            </w: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September 2023 - September 2024</w:t>
            </w:r>
          </w:p>
        </w:tc>
        <w:tc>
          <w:tcPr>
            <w:tcW w:w="150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Secured</w:t>
            </w:r>
            <w:r>
              <w:rPr>
                <w:rFonts w:ascii="Times New Roman" w:cs="Times New Roman" w:eastAsia="Times New Roman" w:hAnsi="Times New Roman"/>
                <w:sz w:val="20"/>
                <w:szCs w:val="20"/>
                <w:color w:val="auto"/>
                <w:vertAlign w:val="superscript"/>
              </w:rPr>
              <w:t>6</w:t>
            </w:r>
          </w:p>
        </w:tc>
        <w:tc>
          <w:tcPr>
            <w:tcW w:w="3460" w:type="dxa"/>
            <w:vAlign w:val="bottom"/>
            <w:shd w:val="clear" w:color="auto" w:fill="DBDBDB"/>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1.11%, settled semi-annual</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October 2023 - October 2024</w:t>
            </w:r>
          </w:p>
        </w:tc>
        <w:tc>
          <w:tcPr>
            <w:tcW w:w="1500" w:type="dxa"/>
            <w:vAlign w:val="bottom"/>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5"/>
                <w:szCs w:val="15"/>
                <w:color w:val="auto"/>
              </w:rPr>
              <w:t xml:space="preserve"> plus 0.15%, settled quarterly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28,167</w:t>
            </w: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December 2023 - December 2024</w:t>
            </w:r>
          </w:p>
        </w:tc>
        <w:tc>
          <w:tcPr>
            <w:tcW w:w="150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3</w:t>
            </w:r>
          </w:p>
        </w:tc>
        <w:tc>
          <w:tcPr>
            <w:tcW w:w="3460" w:type="dxa"/>
            <w:vAlign w:val="bottom"/>
            <w:shd w:val="clear" w:color="auto" w:fill="DBDBDB"/>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5"/>
                <w:szCs w:val="15"/>
                <w:color w:val="auto"/>
              </w:rPr>
              <w:t xml:space="preserve"> plus 1.05%, settled quarterly</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92,000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12,957</w:t>
            </w:r>
          </w:p>
        </w:tc>
        <w:tc>
          <w:tcPr>
            <w:tcW w:w="0" w:type="dxa"/>
            <w:vAlign w:val="bottom"/>
          </w:tcPr>
          <w:p>
            <w:pPr>
              <w:spacing w:after="0"/>
              <w:rPr>
                <w:sz w:val="1"/>
                <w:szCs w:val="1"/>
                <w:color w:val="auto"/>
              </w:rPr>
            </w:pPr>
          </w:p>
        </w:tc>
      </w:tr>
      <w:tr>
        <w:trPr>
          <w:trHeight w:val="197"/>
        </w:trPr>
        <w:tc>
          <w:tcPr>
            <w:tcW w:w="9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tcBorders>
              <w:bottom w:val="single" w:sz="8" w:color="DBDBDB"/>
            </w:tcBorders>
          </w:tcPr>
          <w:p>
            <w:pPr>
              <w:ind w:left="340"/>
              <w:spacing w:after="0"/>
              <w:rPr>
                <w:sz w:val="20"/>
                <w:szCs w:val="20"/>
                <w:color w:val="auto"/>
              </w:rPr>
            </w:pPr>
            <w:r>
              <w:rPr>
                <w:rFonts w:ascii="Times New Roman" w:cs="Times New Roman" w:eastAsia="Times New Roman" w:hAnsi="Times New Roman"/>
                <w:sz w:val="15"/>
                <w:szCs w:val="15"/>
                <w:color w:val="auto"/>
              </w:rPr>
              <w:t>December 2023 - December 2024</w:t>
            </w:r>
          </w:p>
        </w:tc>
        <w:tc>
          <w:tcPr>
            <w:tcW w:w="1500" w:type="dxa"/>
            <w:vAlign w:val="bottom"/>
            <w:tcBorders>
              <w:bottom w:val="single" w:sz="8" w:color="DBDBDB"/>
            </w:tcBorders>
          </w:tcPr>
          <w:p>
            <w:pPr>
              <w:ind w:left="440"/>
              <w:spacing w:after="0" w:line="197" w:lineRule="exact"/>
              <w:rPr>
                <w:sz w:val="20"/>
                <w:szCs w:val="20"/>
                <w:color w:val="auto"/>
              </w:rPr>
            </w:pPr>
            <w:r>
              <w:rPr>
                <w:rFonts w:ascii="Times New Roman" w:cs="Times New Roman" w:eastAsia="Times New Roman" w:hAnsi="Times New Roman"/>
                <w:sz w:val="15"/>
                <w:szCs w:val="15"/>
                <w:color w:val="auto"/>
              </w:rPr>
              <w:t>Secured</w:t>
            </w:r>
            <w:r>
              <w:rPr>
                <w:rFonts w:ascii="Times New Roman" w:cs="Times New Roman" w:eastAsia="Times New Roman" w:hAnsi="Times New Roman"/>
                <w:sz w:val="20"/>
                <w:szCs w:val="20"/>
                <w:color w:val="auto"/>
                <w:vertAlign w:val="superscript"/>
              </w:rPr>
              <w:t>6</w:t>
            </w:r>
          </w:p>
        </w:tc>
        <w:tc>
          <w:tcPr>
            <w:tcW w:w="3460" w:type="dxa"/>
            <w:vAlign w:val="bottom"/>
            <w:tcBorders>
              <w:bottom w:val="single" w:sz="8" w:color="DBDBDB"/>
            </w:tcBorders>
          </w:tcPr>
          <w:p>
            <w:pPr>
              <w:ind w:left="180"/>
              <w:spacing w:after="0" w:line="197" w:lineRule="exact"/>
              <w:rPr>
                <w:sz w:val="20"/>
                <w:szCs w:val="20"/>
                <w:color w:val="auto"/>
              </w:rPr>
            </w:pPr>
            <w:r>
              <w:rPr>
                <w:rFonts w:ascii="Times New Roman" w:cs="Times New Roman" w:eastAsia="Times New Roman" w:hAnsi="Times New Roman"/>
                <w:sz w:val="15"/>
                <w:szCs w:val="15"/>
                <w:color w:val="auto"/>
              </w:rPr>
              <w:t>12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1.70%, settled semi-annual</w:t>
            </w:r>
          </w:p>
        </w:tc>
        <w:tc>
          <w:tcPr>
            <w:tcW w:w="12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5"/>
                <w:szCs w:val="15"/>
                <w:color w:val="auto"/>
              </w:rPr>
              <w:t>133,000</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133,000</w:t>
            </w:r>
          </w:p>
        </w:tc>
        <w:tc>
          <w:tcPr>
            <w:tcW w:w="0" w:type="dxa"/>
            <w:vAlign w:val="bottom"/>
          </w:tcPr>
          <w:p>
            <w:pPr>
              <w:spacing w:after="0"/>
              <w:rPr>
                <w:sz w:val="1"/>
                <w:szCs w:val="1"/>
                <w:color w:val="auto"/>
              </w:rPr>
            </w:pPr>
          </w:p>
        </w:tc>
      </w:tr>
      <w:tr>
        <w:trPr>
          <w:trHeight w:val="188"/>
        </w:trPr>
        <w:tc>
          <w:tcPr>
            <w:tcW w:w="92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92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34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1,923,755</w:t>
            </w:r>
          </w:p>
        </w:tc>
        <w:tc>
          <w:tcPr>
            <w:tcW w:w="0" w:type="dxa"/>
            <w:vAlign w:val="bottom"/>
          </w:tcPr>
          <w:p>
            <w:pPr>
              <w:spacing w:after="0"/>
              <w:rPr>
                <w:sz w:val="1"/>
                <w:szCs w:val="1"/>
                <w:color w:val="auto"/>
              </w:rPr>
            </w:pPr>
          </w:p>
        </w:tc>
      </w:tr>
    </w:tbl>
    <w:p>
      <w:pPr>
        <w:spacing w:after="0" w:line="5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1 - New vehicle inventory financed via this facility is pledged as security for 100% of the outstanding principal under the facility, via first-ranking English law security over vehicles and transport documents, until repaid. This facility consists of individual loans that have a repayment period of 90 days, and includes a covenant tied to the Group’s liquidity levels.</w:t>
      </w:r>
    </w:p>
    <w:p>
      <w:pPr>
        <w:spacing w:after="0" w:line="222" w:lineRule="auto"/>
        <w:rPr>
          <w:sz w:val="20"/>
          <w:szCs w:val="20"/>
          <w:color w:val="auto"/>
        </w:rPr>
      </w:pPr>
      <w:r>
        <w:rPr>
          <w:rFonts w:ascii="Times New Roman" w:cs="Times New Roman" w:eastAsia="Times New Roman" w:hAnsi="Times New Roman"/>
          <w:sz w:val="12"/>
          <w:szCs w:val="12"/>
          <w:color w:val="auto"/>
        </w:rPr>
        <w:t>2 - Euro Interbank Offered Rate ("EURIBOR").</w:t>
      </w:r>
    </w:p>
    <w:p>
      <w:pPr>
        <w:spacing w:after="0" w:line="201" w:lineRule="auto"/>
        <w:rPr>
          <w:sz w:val="20"/>
          <w:szCs w:val="20"/>
          <w:color w:val="auto"/>
        </w:rPr>
      </w:pPr>
      <w:r>
        <w:rPr>
          <w:rFonts w:ascii="Times New Roman" w:cs="Times New Roman" w:eastAsia="Times New Roman" w:hAnsi="Times New Roman"/>
          <w:sz w:val="12"/>
          <w:szCs w:val="12"/>
          <w:color w:val="auto"/>
        </w:rPr>
        <w:t>3 - Letters of keep well from both Volvo Cars and Geely.</w:t>
      </w:r>
    </w:p>
    <w:p>
      <w:pPr>
        <w:spacing w:after="0" w:line="222" w:lineRule="auto"/>
        <w:rPr>
          <w:sz w:val="20"/>
          <w:szCs w:val="20"/>
          <w:color w:val="auto"/>
        </w:rPr>
      </w:pPr>
      <w:r>
        <w:rPr>
          <w:rFonts w:ascii="Times New Roman" w:cs="Times New Roman" w:eastAsia="Times New Roman" w:hAnsi="Times New Roman"/>
          <w:sz w:val="12"/>
          <w:szCs w:val="12"/>
          <w:color w:val="auto"/>
        </w:rPr>
        <w:t>4 - People’s Bank of China (“PBOC”) Loan Prime Rate (“LPR").</w:t>
      </w:r>
    </w:p>
    <w:p>
      <w:pPr>
        <w:spacing w:after="0" w:line="221" w:lineRule="auto"/>
        <w:rPr>
          <w:sz w:val="20"/>
          <w:szCs w:val="20"/>
          <w:color w:val="auto"/>
        </w:rPr>
      </w:pPr>
      <w:r>
        <w:rPr>
          <w:rFonts w:ascii="Times New Roman" w:cs="Times New Roman" w:eastAsia="Times New Roman" w:hAnsi="Times New Roman"/>
          <w:sz w:val="12"/>
          <w:szCs w:val="12"/>
          <w:color w:val="auto"/>
        </w:rPr>
        <w:t>5 - Secured Overnight Financing Rate (“SOFR”).</w:t>
      </w:r>
    </w:p>
    <w:p>
      <w:pPr>
        <w:spacing w:after="0"/>
        <w:rPr>
          <w:sz w:val="20"/>
          <w:szCs w:val="20"/>
          <w:color w:val="auto"/>
        </w:rPr>
      </w:pPr>
      <w:r>
        <w:rPr>
          <w:rFonts w:ascii="Times New Roman" w:cs="Times New Roman" w:eastAsia="Times New Roman" w:hAnsi="Times New Roman"/>
          <w:sz w:val="12"/>
          <w:szCs w:val="12"/>
          <w:color w:val="auto"/>
        </w:rPr>
        <w:t>6 - Secured by Geely.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had the following working capital loans outstanding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DBDBDB"/>
          </w:tcPr>
          <w:p>
            <w:pPr>
              <w:spacing w:after="0"/>
              <w:rPr>
                <w:sz w:val="13"/>
                <w:szCs w:val="13"/>
                <w:color w:val="auto"/>
              </w:rPr>
            </w:pPr>
          </w:p>
        </w:tc>
        <w:tc>
          <w:tcPr>
            <w:tcW w:w="292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3440" w:type="dxa"/>
            <w:vAlign w:val="bottom"/>
            <w:shd w:val="clear" w:color="auto" w:fill="DBDBDB"/>
          </w:tcPr>
          <w:p>
            <w:pPr>
              <w:spacing w:after="0"/>
              <w:rPr>
                <w:sz w:val="13"/>
                <w:szCs w:val="13"/>
                <w:color w:val="auto"/>
              </w:rPr>
            </w:pPr>
          </w:p>
        </w:tc>
        <w:tc>
          <w:tcPr>
            <w:tcW w:w="1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amount in</w:t>
            </w:r>
          </w:p>
        </w:tc>
        <w:tc>
          <w:tcPr>
            <w:tcW w:w="1200" w:type="dxa"/>
            <w:vAlign w:val="bottom"/>
            <w:vMerge w:val="restart"/>
            <w:shd w:val="clear" w:color="auto" w:fill="DBDBDB"/>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Amount in USD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920" w:type="dxa"/>
            <w:vAlign w:val="bottom"/>
            <w:vMerge w:val="restart"/>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920" w:type="dxa"/>
            <w:vAlign w:val="bottom"/>
            <w:vMerge w:val="restart"/>
            <w:shd w:val="clear" w:color="auto" w:fill="DBDBDB"/>
          </w:tcPr>
          <w:p>
            <w:pPr>
              <w:ind w:left="16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60" w:type="dxa"/>
            <w:vAlign w:val="bottom"/>
            <w:vMerge w:val="restart"/>
            <w:shd w:val="clear" w:color="auto" w:fill="DBDBDB"/>
          </w:tcPr>
          <w:p>
            <w:pPr>
              <w:ind w:left="8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3440" w:type="dxa"/>
            <w:vAlign w:val="bottom"/>
            <w:vMerge w:val="restart"/>
            <w:shd w:val="clear" w:color="auto" w:fill="DBDBDB"/>
          </w:tcPr>
          <w:p>
            <w:pPr>
              <w:ind w:left="1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00" w:type="dxa"/>
            <w:vAlign w:val="bottom"/>
            <w:shd w:val="clear" w:color="auto" w:fill="DBDBDB"/>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respective currency</w:t>
            </w:r>
          </w:p>
        </w:tc>
        <w:tc>
          <w:tcPr>
            <w:tcW w:w="1200" w:type="dxa"/>
            <w:vAlign w:val="bottom"/>
            <w:vMerge w:val="continue"/>
            <w:shd w:val="clear" w:color="auto" w:fill="DBDBDB"/>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20" w:type="dxa"/>
            <w:vAlign w:val="bottom"/>
            <w:tcBorders>
              <w:bottom w:val="single" w:sz="8" w:color="auto"/>
            </w:tcBorders>
            <w:vMerge w:val="continue"/>
            <w:shd w:val="clear" w:color="auto" w:fill="DBDBDB"/>
          </w:tcPr>
          <w:p>
            <w:pPr>
              <w:spacing w:after="0"/>
              <w:rPr>
                <w:sz w:val="16"/>
                <w:szCs w:val="16"/>
                <w:color w:val="auto"/>
              </w:rPr>
            </w:pPr>
          </w:p>
        </w:tc>
        <w:tc>
          <w:tcPr>
            <w:tcW w:w="2920" w:type="dxa"/>
            <w:vAlign w:val="bottom"/>
            <w:tcBorders>
              <w:bottom w:val="single" w:sz="8" w:color="auto"/>
            </w:tcBorders>
            <w:vMerge w:val="continue"/>
            <w:shd w:val="clear" w:color="auto" w:fill="DBDBDB"/>
          </w:tcPr>
          <w:p>
            <w:pPr>
              <w:spacing w:after="0"/>
              <w:rPr>
                <w:sz w:val="16"/>
                <w:szCs w:val="16"/>
                <w:color w:val="auto"/>
              </w:rPr>
            </w:pPr>
          </w:p>
        </w:tc>
        <w:tc>
          <w:tcPr>
            <w:tcW w:w="1460" w:type="dxa"/>
            <w:vAlign w:val="bottom"/>
            <w:tcBorders>
              <w:bottom w:val="single" w:sz="8" w:color="auto"/>
            </w:tcBorders>
            <w:vMerge w:val="continue"/>
            <w:shd w:val="clear" w:color="auto" w:fill="DBDBDB"/>
          </w:tcPr>
          <w:p>
            <w:pPr>
              <w:spacing w:after="0"/>
              <w:rPr>
                <w:sz w:val="16"/>
                <w:szCs w:val="16"/>
                <w:color w:val="auto"/>
              </w:rPr>
            </w:pPr>
          </w:p>
        </w:tc>
        <w:tc>
          <w:tcPr>
            <w:tcW w:w="3440" w:type="dxa"/>
            <w:vAlign w:val="bottom"/>
            <w:tcBorders>
              <w:bottom w:val="single" w:sz="8" w:color="auto"/>
            </w:tcBorders>
            <w:vMerge w:val="continue"/>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(thousands)</w:t>
            </w:r>
          </w:p>
        </w:tc>
        <w:tc>
          <w:tcPr>
            <w:tcW w:w="1200" w:type="dxa"/>
            <w:vAlign w:val="bottom"/>
            <w:tcBorders>
              <w:bottom w:val="single" w:sz="8" w:color="auto"/>
            </w:tcBorders>
            <w:shd w:val="clear" w:color="auto" w:fill="DBDBDB"/>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Secured</w:t>
            </w:r>
            <w:r>
              <w:rPr>
                <w:rFonts w:ascii="Times New Roman" w:cs="Times New Roman" w:eastAsia="Times New Roman" w:hAnsi="Times New Roman"/>
                <w:sz w:val="20"/>
                <w:szCs w:val="20"/>
                <w:color w:val="auto"/>
                <w:vertAlign w:val="superscript"/>
              </w:rPr>
              <w:t>1</w:t>
            </w:r>
          </w:p>
        </w:tc>
        <w:tc>
          <w:tcPr>
            <w:tcW w:w="34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auto"/>
              </w:rPr>
              <w:t>3 month EURIBOR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2.1% and an arrangement</w:t>
            </w:r>
          </w:p>
        </w:tc>
        <w:tc>
          <w:tcPr>
            <w:tcW w:w="1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February 2022 - February 2023</w:t>
            </w:r>
          </w:p>
        </w:tc>
        <w:tc>
          <w:tcPr>
            <w:tcW w:w="1460" w:type="dxa"/>
            <w:vAlign w:val="bottom"/>
            <w:vMerge w:val="continue"/>
          </w:tcPr>
          <w:p>
            <w:pPr>
              <w:spacing w:after="0"/>
              <w:rPr>
                <w:sz w:val="18"/>
                <w:szCs w:val="18"/>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fee of 0.15%</w:t>
            </w:r>
          </w:p>
        </w:tc>
        <w:tc>
          <w:tcPr>
            <w:tcW w:w="13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270,095</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June 2022 - June 2023</w:t>
            </w:r>
          </w:p>
        </w:tc>
        <w:tc>
          <w:tcPr>
            <w:tcW w:w="14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Unsecured</w:t>
            </w:r>
          </w:p>
        </w:tc>
        <w:tc>
          <w:tcPr>
            <w:tcW w:w="3440" w:type="dxa"/>
            <w:vAlign w:val="bottom"/>
            <w:shd w:val="clear" w:color="auto" w:fill="DBDBDB"/>
          </w:tcPr>
          <w:p>
            <w:pPr>
              <w:ind w:left="220"/>
              <w:spacing w:after="0" w:line="197" w:lineRule="exact"/>
              <w:rPr>
                <w:sz w:val="20"/>
                <w:szCs w:val="20"/>
                <w:color w:val="auto"/>
              </w:rPr>
            </w:pPr>
            <w:r>
              <w:rPr>
                <w:rFonts w:ascii="Times New Roman" w:cs="Times New Roman" w:eastAsia="Times New Roman" w:hAnsi="Times New Roman"/>
                <w:sz w:val="15"/>
                <w:szCs w:val="15"/>
                <w:color w:val="auto"/>
              </w:rPr>
              <w:t>12 month LPR</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5"/>
                <w:szCs w:val="15"/>
                <w:color w:val="auto"/>
              </w:rPr>
              <w:t xml:space="preserve"> plus 1.25%, settled monthly</w:t>
            </w:r>
          </w:p>
        </w:tc>
        <w:tc>
          <w:tcPr>
            <w:tcW w:w="1300" w:type="dxa"/>
            <w:vAlign w:val="bottom"/>
            <w:shd w:val="clear" w:color="auto" w:fill="DBDBDB"/>
          </w:tcPr>
          <w:p>
            <w:pPr>
              <w:jc w:val="right"/>
              <w:ind w:right="45"/>
              <w:spacing w:after="0"/>
              <w:rPr>
                <w:sz w:val="20"/>
                <w:szCs w:val="20"/>
                <w:color w:val="auto"/>
              </w:rPr>
            </w:pPr>
            <w:r>
              <w:rPr>
                <w:rFonts w:ascii="Times New Roman" w:cs="Times New Roman" w:eastAsia="Times New Roman" w:hAnsi="Times New Roman"/>
                <w:sz w:val="15"/>
                <w:szCs w:val="15"/>
                <w:color w:val="auto"/>
              </w:rPr>
              <w:t>500,000</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72,517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CNY</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August 2022 - August 2023</w:t>
            </w:r>
          </w:p>
        </w:tc>
        <w:tc>
          <w:tcPr>
            <w:tcW w:w="14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Unsecured</w:t>
            </w:r>
          </w:p>
        </w:tc>
        <w:tc>
          <w:tcPr>
            <w:tcW w:w="3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12 month LPR plus 0.05%, settled quarterly</w:t>
            </w:r>
          </w:p>
        </w:tc>
        <w:tc>
          <w:tcPr>
            <w:tcW w:w="13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716,000</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August 2022 - August 2023</w:t>
            </w:r>
          </w:p>
        </w:tc>
        <w:tc>
          <w:tcPr>
            <w:tcW w:w="146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Unsecured</w:t>
            </w:r>
          </w:p>
        </w:tc>
        <w:tc>
          <w:tcPr>
            <w:tcW w:w="344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5"/>
                <w:szCs w:val="15"/>
                <w:color w:val="auto"/>
              </w:rPr>
              <w:t>3 month LPR plus 2.3%, settled quarterly</w:t>
            </w:r>
          </w:p>
        </w:tc>
        <w:tc>
          <w:tcPr>
            <w:tcW w:w="1300" w:type="dxa"/>
            <w:vAlign w:val="bottom"/>
            <w:shd w:val="clear" w:color="auto" w:fill="DBDBDB"/>
          </w:tcPr>
          <w:p>
            <w:pPr>
              <w:jc w:val="right"/>
              <w:ind w:right="45"/>
              <w:spacing w:after="0"/>
              <w:rPr>
                <w:sz w:val="20"/>
                <w:szCs w:val="20"/>
                <w:color w:val="auto"/>
              </w:rPr>
            </w:pPr>
            <w:r>
              <w:rPr>
                <w:rFonts w:ascii="Times New Roman" w:cs="Times New Roman" w:eastAsia="Times New Roman" w:hAnsi="Times New Roman"/>
                <w:sz w:val="15"/>
                <w:szCs w:val="15"/>
                <w:color w:val="auto"/>
              </w:rPr>
              <w:t>147,000</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147,000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September 2022 - September 2023</w:t>
            </w:r>
          </w:p>
        </w:tc>
        <w:tc>
          <w:tcPr>
            <w:tcW w:w="14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Unsecured</w:t>
            </w:r>
          </w:p>
        </w:tc>
        <w:tc>
          <w:tcPr>
            <w:tcW w:w="3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 month LPR plus 2.3%, settled quarterly</w:t>
            </w:r>
          </w:p>
        </w:tc>
        <w:tc>
          <w:tcPr>
            <w:tcW w:w="13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255,000</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2920" w:type="dxa"/>
            <w:vAlign w:val="bottom"/>
            <w:shd w:val="clear" w:color="auto" w:fill="DBDBDB"/>
          </w:tcPr>
          <w:p>
            <w:pPr>
              <w:ind w:left="340"/>
              <w:spacing w:after="0"/>
              <w:rPr>
                <w:sz w:val="20"/>
                <w:szCs w:val="20"/>
                <w:color w:val="auto"/>
              </w:rPr>
            </w:pPr>
            <w:r>
              <w:rPr>
                <w:rFonts w:ascii="Times New Roman" w:cs="Times New Roman" w:eastAsia="Times New Roman" w:hAnsi="Times New Roman"/>
                <w:sz w:val="15"/>
                <w:szCs w:val="15"/>
                <w:color w:val="auto"/>
              </w:rPr>
              <w:t>September 2022 - September 2023</w:t>
            </w:r>
          </w:p>
        </w:tc>
        <w:tc>
          <w:tcPr>
            <w:tcW w:w="146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Secured</w:t>
            </w:r>
            <w:r>
              <w:rPr>
                <w:rFonts w:ascii="Times New Roman" w:cs="Times New Roman" w:eastAsia="Times New Roman" w:hAnsi="Times New Roman"/>
                <w:sz w:val="20"/>
                <w:szCs w:val="20"/>
                <w:color w:val="auto"/>
                <w:vertAlign w:val="superscript"/>
              </w:rPr>
              <w:t>4</w:t>
            </w:r>
          </w:p>
        </w:tc>
        <w:tc>
          <w:tcPr>
            <w:tcW w:w="344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5"/>
                <w:szCs w:val="15"/>
                <w:color w:val="auto"/>
              </w:rPr>
              <w:t>4.48% per annum</w:t>
            </w:r>
          </w:p>
        </w:tc>
        <w:tc>
          <w:tcPr>
            <w:tcW w:w="1300" w:type="dxa"/>
            <w:vAlign w:val="bottom"/>
            <w:shd w:val="clear" w:color="auto" w:fill="DBDBDB"/>
          </w:tcPr>
          <w:p>
            <w:pPr>
              <w:jc w:val="right"/>
              <w:ind w:right="45"/>
              <w:spacing w:after="0"/>
              <w:rPr>
                <w:sz w:val="20"/>
                <w:szCs w:val="20"/>
                <w:color w:val="auto"/>
              </w:rPr>
            </w:pPr>
            <w:r>
              <w:rPr>
                <w:rFonts w:ascii="Times New Roman" w:cs="Times New Roman" w:eastAsia="Times New Roman" w:hAnsi="Times New Roman"/>
                <w:sz w:val="15"/>
                <w:szCs w:val="15"/>
                <w:color w:val="auto"/>
              </w:rPr>
              <w:t>133,000</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133,000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F-56</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920" w:type="dxa"/>
            <w:vAlign w:val="bottom"/>
            <w:tcBorders>
              <w:bottom w:val="single" w:sz="8" w:color="9A9A9A"/>
            </w:tcBorders>
          </w:tcPr>
          <w:p>
            <w:pPr>
              <w:spacing w:after="0"/>
              <w:rPr>
                <w:sz w:val="6"/>
                <w:szCs w:val="6"/>
                <w:color w:val="auto"/>
              </w:rPr>
            </w:pPr>
          </w:p>
        </w:tc>
        <w:tc>
          <w:tcPr>
            <w:tcW w:w="29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6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6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302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September 2022 - September 2023</w:t>
            </w:r>
          </w:p>
        </w:tc>
        <w:tc>
          <w:tcPr>
            <w:tcW w:w="142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Unsecured</w:t>
            </w:r>
          </w:p>
        </w:tc>
        <w:tc>
          <w:tcPr>
            <w:tcW w:w="35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3 month SOFR</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5"/>
                <w:szCs w:val="15"/>
                <w:color w:val="auto"/>
              </w:rPr>
              <w:t xml:space="preserve"> plus 2.4%, settled quarterly</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r>
      <w:tr>
        <w:trPr>
          <w:trHeight w:val="197"/>
        </w:trPr>
        <w:tc>
          <w:tcPr>
            <w:tcW w:w="8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3020" w:type="dxa"/>
            <w:vAlign w:val="bottom"/>
            <w:shd w:val="clear" w:color="auto" w:fill="DBDBDB"/>
          </w:tcPr>
          <w:p>
            <w:pPr>
              <w:ind w:left="440"/>
              <w:spacing w:after="0"/>
              <w:rPr>
                <w:sz w:val="20"/>
                <w:szCs w:val="20"/>
                <w:color w:val="auto"/>
              </w:rPr>
            </w:pPr>
            <w:r>
              <w:rPr>
                <w:rFonts w:ascii="Times New Roman" w:cs="Times New Roman" w:eastAsia="Times New Roman" w:hAnsi="Times New Roman"/>
                <w:sz w:val="15"/>
                <w:szCs w:val="15"/>
                <w:color w:val="auto"/>
              </w:rPr>
              <w:t>December 2022 - December 2023</w:t>
            </w:r>
          </w:p>
        </w:tc>
        <w:tc>
          <w:tcPr>
            <w:tcW w:w="1420" w:type="dxa"/>
            <w:vAlign w:val="bottom"/>
            <w:shd w:val="clear" w:color="auto" w:fill="DBDBDB"/>
          </w:tcPr>
          <w:p>
            <w:pPr>
              <w:ind w:left="440"/>
              <w:spacing w:after="0" w:line="197" w:lineRule="exact"/>
              <w:rPr>
                <w:sz w:val="20"/>
                <w:szCs w:val="20"/>
                <w:color w:val="auto"/>
              </w:rPr>
            </w:pPr>
            <w:r>
              <w:rPr>
                <w:rFonts w:ascii="Times New Roman" w:cs="Times New Roman" w:eastAsia="Times New Roman" w:hAnsi="Times New Roman"/>
                <w:sz w:val="15"/>
                <w:szCs w:val="15"/>
                <w:color w:val="auto"/>
              </w:rPr>
              <w:t>Unsecured</w:t>
            </w:r>
            <w:r>
              <w:rPr>
                <w:rFonts w:ascii="Times New Roman" w:cs="Times New Roman" w:eastAsia="Times New Roman" w:hAnsi="Times New Roman"/>
                <w:sz w:val="20"/>
                <w:szCs w:val="20"/>
                <w:color w:val="auto"/>
                <w:vertAlign w:val="superscript"/>
              </w:rPr>
              <w:t>6</w:t>
            </w:r>
          </w:p>
        </w:tc>
        <w:tc>
          <w:tcPr>
            <w:tcW w:w="358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5"/>
                <w:szCs w:val="15"/>
                <w:color w:val="auto"/>
              </w:rPr>
              <w:t>7.5% per annum</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3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200,000</w:t>
            </w:r>
          </w:p>
        </w:tc>
      </w:tr>
      <w:tr>
        <w:trPr>
          <w:trHeight w:val="188"/>
        </w:trPr>
        <w:tc>
          <w:tcPr>
            <w:tcW w:w="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1,300,108</w:t>
            </w:r>
          </w:p>
        </w:tc>
      </w:tr>
    </w:tbl>
    <w:p>
      <w:pPr>
        <w:spacing w:after="0" w:line="5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1 - New vehicle inventory financed via this facility is pledged as security for 100% of the outstanding principal under the facility, via first-ranking English law security over vehicles and transport documents, until repaid. This facility consists of individual loans that have a repayment period of 90 days, and includes a covenant tied to the Group’s liquidity levels.</w:t>
      </w:r>
    </w:p>
    <w:p>
      <w:pPr>
        <w:spacing w:after="0" w:line="222" w:lineRule="auto"/>
        <w:rPr>
          <w:sz w:val="20"/>
          <w:szCs w:val="20"/>
          <w:color w:val="auto"/>
        </w:rPr>
      </w:pPr>
      <w:r>
        <w:rPr>
          <w:rFonts w:ascii="Times New Roman" w:cs="Times New Roman" w:eastAsia="Times New Roman" w:hAnsi="Times New Roman"/>
          <w:sz w:val="12"/>
          <w:szCs w:val="12"/>
          <w:color w:val="auto"/>
        </w:rPr>
        <w:t>2 - Euro Interbank Offered Rate ("EURIBOR").</w:t>
      </w:r>
    </w:p>
    <w:p>
      <w:pPr>
        <w:spacing w:after="0" w:line="201" w:lineRule="auto"/>
        <w:rPr>
          <w:sz w:val="20"/>
          <w:szCs w:val="20"/>
          <w:color w:val="auto"/>
        </w:rPr>
      </w:pPr>
      <w:r>
        <w:rPr>
          <w:rFonts w:ascii="Times New Roman" w:cs="Times New Roman" w:eastAsia="Times New Roman" w:hAnsi="Times New Roman"/>
          <w:sz w:val="12"/>
          <w:szCs w:val="12"/>
          <w:color w:val="auto"/>
        </w:rPr>
        <w:t>3 - People’s Bank of China (“PBOC”) Loan Prime Rate (“LPR").</w:t>
      </w:r>
    </w:p>
    <w:p>
      <w:pPr>
        <w:spacing w:after="0" w:line="222" w:lineRule="auto"/>
        <w:rPr>
          <w:sz w:val="20"/>
          <w:szCs w:val="20"/>
          <w:color w:val="auto"/>
        </w:rPr>
      </w:pPr>
      <w:r>
        <w:rPr>
          <w:rFonts w:ascii="Times New Roman" w:cs="Times New Roman" w:eastAsia="Times New Roman" w:hAnsi="Times New Roman"/>
          <w:sz w:val="12"/>
          <w:szCs w:val="12"/>
          <w:color w:val="auto"/>
        </w:rPr>
        <w:t>4 - Secured by Geely, including letters of keep well from both Volvo Cars and Geely.</w:t>
      </w:r>
    </w:p>
    <w:p>
      <w:pPr>
        <w:spacing w:after="0" w:line="221" w:lineRule="auto"/>
        <w:rPr>
          <w:sz w:val="20"/>
          <w:szCs w:val="20"/>
          <w:color w:val="auto"/>
        </w:rPr>
      </w:pPr>
      <w:r>
        <w:rPr>
          <w:rFonts w:ascii="Times New Roman" w:cs="Times New Roman" w:eastAsia="Times New Roman" w:hAnsi="Times New Roman"/>
          <w:sz w:val="12"/>
          <w:szCs w:val="12"/>
          <w:color w:val="auto"/>
        </w:rPr>
        <w:t>5 - Secured Overnight Financing Rate (“SOFR”).</w:t>
      </w:r>
    </w:p>
    <w:p>
      <w:pPr>
        <w:spacing w:after="0"/>
        <w:rPr>
          <w:sz w:val="20"/>
          <w:szCs w:val="20"/>
          <w:color w:val="auto"/>
        </w:rPr>
      </w:pPr>
      <w:r>
        <w:rPr>
          <w:rFonts w:ascii="Times New Roman" w:cs="Times New Roman" w:eastAsia="Times New Roman" w:hAnsi="Times New Roman"/>
          <w:sz w:val="12"/>
          <w:szCs w:val="12"/>
          <w:color w:val="auto"/>
        </w:rPr>
        <w:t>6 - Letters of keep well from both Volvo Cars and Geely.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Floorplan facilities</w:t>
      </w:r>
    </w:p>
    <w:p>
      <w:pPr>
        <w:spacing w:after="0" w:line="8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In the ordinary course of business, Polestar, on a market by market basis, enters into multiple low 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December 31, 2023 and December 31, 2022, the aggregate amount outstanding under these</w:t>
      </w:r>
    </w:p>
    <w:p>
      <w:pPr>
        <w:spacing w:after="0"/>
        <w:rPr>
          <w:sz w:val="20"/>
          <w:szCs w:val="20"/>
          <w:color w:val="auto"/>
        </w:rPr>
      </w:pPr>
      <w:r>
        <w:rPr>
          <w:rFonts w:ascii="Times New Roman" w:cs="Times New Roman" w:eastAsia="Times New Roman" w:hAnsi="Times New Roman"/>
          <w:sz w:val="15"/>
          <w:szCs w:val="15"/>
          <w:color w:val="auto"/>
        </w:rPr>
        <w:t>arrangements was $120,840 and $22,541, respectively.</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The Group maintains one such facility with the related party Volvo Cars Financial Services UK that is presented separately in Interest-bearing current liabilities - related parties within the Consolidated Statement of Financial Position. Of the amounts above, the aggregate amount outstanding as of December 31, 2023 and December 31, 2022 due to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parties amounted to $44,877 and $17,132, respectively.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further details.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Sale-leaseback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has also entered into contracts to sell vehicles and then lease such vehicles back for a period of up to twelve months. At the end of the leaseback period, Polestar is obligated</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to repurchase the vehicles. Accordingly, the consideration received for these transactions was recorded as a financing transaction. As of December 31, 2023 and December 31, 2022, the aggregate amount outstanding under these arrangements was $26,947 and $21,585,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26 - Supplemental cash flow information</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The Group's non-cash investing and financing activities were as follows:</w:t>
            </w: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93"/>
        </w:trPr>
        <w:tc>
          <w:tcPr>
            <w:tcW w:w="7500" w:type="dxa"/>
            <w:vAlign w:val="bottom"/>
          </w:tcPr>
          <w:p>
            <w:pPr>
              <w:spacing w:after="0"/>
              <w:rPr>
                <w:sz w:val="8"/>
                <w:szCs w:val="8"/>
                <w:color w:val="auto"/>
              </w:rPr>
            </w:pPr>
          </w:p>
        </w:tc>
        <w:tc>
          <w:tcPr>
            <w:tcW w:w="3740" w:type="dxa"/>
            <w:vAlign w:val="bottom"/>
            <w:gridSpan w:val="3"/>
          </w:tcPr>
          <w:p>
            <w:pPr>
              <w:spacing w:after="0"/>
              <w:rPr>
                <w:sz w:val="8"/>
                <w:szCs w:val="8"/>
                <w:color w:val="auto"/>
              </w:rPr>
            </w:pPr>
          </w:p>
        </w:tc>
      </w:tr>
      <w:tr>
        <w:trPr>
          <w:trHeight w:val="197"/>
        </w:trPr>
        <w:tc>
          <w:tcPr>
            <w:tcW w:w="7500" w:type="dxa"/>
            <w:vAlign w:val="bottom"/>
            <w:shd w:val="clear" w:color="auto" w:fill="DBDBDB"/>
          </w:tcPr>
          <w:p>
            <w:pPr>
              <w:spacing w:after="0"/>
              <w:rPr>
                <w:sz w:val="17"/>
                <w:szCs w:val="17"/>
                <w:color w:val="auto"/>
              </w:rPr>
            </w:pPr>
          </w:p>
        </w:tc>
        <w:tc>
          <w:tcPr>
            <w:tcW w:w="374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7500" w:type="dxa"/>
            <w:vAlign w:val="bottom"/>
            <w:tcBorders>
              <w:bottom w:val="single" w:sz="8" w:color="DBDBDB"/>
            </w:tcBorders>
          </w:tcPr>
          <w:p>
            <w:pPr>
              <w:spacing w:after="0"/>
              <w:rPr>
                <w:sz w:val="16"/>
                <w:szCs w:val="16"/>
                <w:color w:val="auto"/>
              </w:rPr>
            </w:pPr>
          </w:p>
        </w:tc>
        <w:tc>
          <w:tcPr>
            <w:tcW w:w="13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1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8"/>
        </w:trPr>
        <w:tc>
          <w:tcPr>
            <w:tcW w:w="7500" w:type="dxa"/>
            <w:vAlign w:val="bottom"/>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240" w:type="dxa"/>
            <w:vAlign w:val="bottom"/>
            <w:tcBorders>
              <w:bottom w:val="single" w:sz="8" w:color="auto"/>
            </w:tcBorders>
            <w:shd w:val="clear" w:color="auto" w:fill="DBDBDB"/>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14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intangible assets in trade payables - related parties and accrued expenses - related parties</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129,019</w:t>
            </w:r>
          </w:p>
        </w:tc>
        <w:tc>
          <w:tcPr>
            <w:tcW w:w="1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74,781</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357,760</w:t>
            </w:r>
          </w:p>
        </w:tc>
      </w:tr>
      <w:tr>
        <w:trPr>
          <w:trHeight w:val="197"/>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Initial recognition of ROU assets and lease liabilities</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54,569</w:t>
            </w:r>
          </w:p>
        </w:tc>
        <w:tc>
          <w:tcPr>
            <w:tcW w:w="12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43,514</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13,039</w:t>
            </w:r>
          </w:p>
        </w:tc>
      </w:tr>
      <w:tr>
        <w:trPr>
          <w:trHeight w:val="197"/>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plant and equipment in trade payables, accrued expenses and non-current liabilities</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96,011</w:t>
            </w:r>
          </w:p>
        </w:tc>
        <w:tc>
          <w:tcPr>
            <w:tcW w:w="1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79,623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62,304</w:t>
            </w:r>
          </w:p>
        </w:tc>
      </w:tr>
      <w:tr>
        <w:trPr>
          <w:trHeight w:val="197"/>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Prepaid assets and warrant liabilities assumed upon closing of the merger with GGI</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57,040</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Earn-out rights upon closing of the merger with GGI</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1,500,638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color w:val="auto"/>
              </w:rPr>
              <w:t>Initial recognition of investment in associates</w:t>
            </w:r>
          </w:p>
        </w:tc>
        <w:tc>
          <w:tcPr>
            <w:tcW w:w="1360" w:type="dxa"/>
            <w:vAlign w:val="bottom"/>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color w:val="auto"/>
              </w:rPr>
              <w:t>29,400</w:t>
            </w:r>
          </w:p>
        </w:tc>
        <w:tc>
          <w:tcPr>
            <w:tcW w:w="124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Changes in the Group's current and non-current liabilities arising from financing activities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Liabilities to</w:t>
            </w:r>
          </w:p>
        </w:tc>
        <w:tc>
          <w:tcPr>
            <w:tcW w:w="14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00" w:type="dxa"/>
            <w:vAlign w:val="bottom"/>
            <w:gridSpan w:val="2"/>
            <w:vMerge w:val="restart"/>
            <w:shd w:val="clear" w:color="auto" w:fill="DBDBDB"/>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Other financing</w:t>
            </w: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Earn-out and</w:t>
            </w:r>
          </w:p>
        </w:tc>
        <w:tc>
          <w:tcPr>
            <w:tcW w:w="1040" w:type="dxa"/>
            <w:vAlign w:val="bottom"/>
            <w:tcBorders>
              <w:right w:val="single" w:sz="8" w:color="DBDBDB"/>
            </w:tcBorders>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5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vMerge w:val="continue"/>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vMerge w:val="continue"/>
            <w:shd w:val="clear" w:color="auto" w:fill="DBDBDB"/>
          </w:tcPr>
          <w:p>
            <w:pPr>
              <w:spacing w:after="0"/>
              <w:rPr>
                <w:sz w:val="12"/>
                <w:szCs w:val="12"/>
                <w:color w:val="auto"/>
              </w:rPr>
            </w:pPr>
          </w:p>
        </w:tc>
        <w:tc>
          <w:tcPr>
            <w:tcW w:w="1100" w:type="dxa"/>
            <w:vAlign w:val="bottom"/>
            <w:gridSpan w:val="2"/>
            <w:vMerge w:val="continue"/>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100" w:type="dxa"/>
            <w:vAlign w:val="bottom"/>
            <w:shd w:val="clear" w:color="auto" w:fill="DBDBDB"/>
          </w:tcPr>
          <w:p>
            <w:pPr>
              <w:jc w:val="center"/>
              <w:ind w:right="105"/>
              <w:spacing w:after="0" w:line="139" w:lineRule="exact"/>
              <w:rPr>
                <w:sz w:val="20"/>
                <w:szCs w:val="20"/>
                <w:color w:val="auto"/>
              </w:rPr>
            </w:pPr>
            <w:r>
              <w:rPr>
                <w:rFonts w:ascii="Times New Roman" w:cs="Times New Roman" w:eastAsia="Times New Roman" w:hAnsi="Times New Roman"/>
                <w:sz w:val="14"/>
                <w:szCs w:val="14"/>
                <w:b w:val="1"/>
                <w:bCs w:val="1"/>
                <w:color w:val="auto"/>
                <w:w w:val="98"/>
              </w:rPr>
              <w:t>Class C Shares</w:t>
            </w:r>
          </w:p>
        </w:tc>
        <w:tc>
          <w:tcPr>
            <w:tcW w:w="1040" w:type="dxa"/>
            <w:vAlign w:val="bottom"/>
            <w:tcBorders>
              <w:right w:val="single" w:sz="8" w:color="DBDBDB"/>
            </w:tcBorders>
            <w:vMerge w:val="restart"/>
            <w:shd w:val="clear" w:color="auto" w:fill="DBDBDB"/>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7"/>
              </w:rPr>
              <w:t>Lease liabilities</w:t>
            </w:r>
          </w:p>
        </w:tc>
        <w:tc>
          <w:tcPr>
            <w:tcW w:w="22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shd w:val="clear" w:color="auto" w:fill="DBDBDB"/>
          </w:tcPr>
          <w:p>
            <w:pPr>
              <w:spacing w:after="0"/>
              <w:rPr>
                <w:sz w:val="16"/>
                <w:szCs w:val="16"/>
                <w:color w:val="auto"/>
              </w:rPr>
            </w:pPr>
          </w:p>
        </w:tc>
        <w:tc>
          <w:tcPr>
            <w:tcW w:w="1120" w:type="dxa"/>
            <w:vAlign w:val="bottom"/>
            <w:tcBorders>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credit institutions</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ind w:lef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040" w:type="dxa"/>
            <w:vAlign w:val="bottom"/>
            <w:tcBorders>
              <w:bottom w:val="single" w:sz="8" w:color="auto"/>
              <w:right w:val="single" w:sz="8" w:color="DBDBDB"/>
            </w:tcBorders>
            <w:vMerge w:val="continue"/>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642,644</w:t>
            </w:r>
          </w:p>
        </w:tc>
        <w:tc>
          <w:tcPr>
            <w:tcW w:w="14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16,673</w:t>
            </w:r>
          </w:p>
        </w:tc>
        <w:tc>
          <w:tcPr>
            <w:tcW w:w="10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77,523</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736,840</w:t>
            </w:r>
          </w:p>
        </w:tc>
        <w:tc>
          <w:tcPr>
            <w:tcW w:w="0" w:type="dxa"/>
            <w:vAlign w:val="bottom"/>
          </w:tcPr>
          <w:p>
            <w:pPr>
              <w:spacing w:after="0"/>
              <w:rPr>
                <w:sz w:val="1"/>
                <w:szCs w:val="1"/>
                <w:color w:val="auto"/>
              </w:rPr>
            </w:pPr>
          </w:p>
        </w:tc>
      </w:tr>
      <w:tr>
        <w:trPr>
          <w:trHeight w:val="197"/>
        </w:trPr>
        <w:tc>
          <w:tcPr>
            <w:tcW w:w="45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outstanding principal</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642,339</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16,550</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shd w:val="clear" w:color="auto" w:fill="DBDBDB"/>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658,889</w:t>
            </w:r>
          </w:p>
        </w:tc>
        <w:tc>
          <w:tcPr>
            <w:tcW w:w="0" w:type="dxa"/>
            <w:vAlign w:val="bottom"/>
          </w:tcPr>
          <w:p>
            <w:pPr>
              <w:spacing w:after="0"/>
              <w:rPr>
                <w:sz w:val="1"/>
                <w:szCs w:val="1"/>
                <w:color w:val="auto"/>
              </w:rPr>
            </w:pPr>
          </w:p>
        </w:tc>
      </w:tr>
      <w:tr>
        <w:trPr>
          <w:trHeight w:val="197"/>
        </w:trPr>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accrued interest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4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7"/>
                <w:szCs w:val="17"/>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0" w:type="dxa"/>
            <w:vAlign w:val="bottom"/>
          </w:tcPr>
          <w:p>
            <w:pPr>
              <w:spacing w:after="0"/>
              <w:rPr>
                <w:sz w:val="1"/>
                <w:szCs w:val="1"/>
                <w:color w:val="auto"/>
              </w:rPr>
            </w:pP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Changes from financing cash flows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40" w:type="dxa"/>
            <w:vAlign w:val="bottom"/>
            <w:tcBorders>
              <w:right w:val="single" w:sz="8" w:color="auto"/>
            </w:tcBorders>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short-term borrowings - (Restated)</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2,060,012</w:t>
            </w:r>
          </w:p>
        </w:tc>
        <w:tc>
          <w:tcPr>
            <w:tcW w:w="14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90,943</w:t>
            </w:r>
          </w:p>
        </w:tc>
        <w:tc>
          <w:tcPr>
            <w:tcW w:w="100" w:type="dxa"/>
            <w:vAlign w:val="bottom"/>
          </w:tcPr>
          <w:p>
            <w:pPr>
              <w:spacing w:after="0"/>
              <w:rPr>
                <w:sz w:val="17"/>
                <w:szCs w:val="17"/>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2,150,955</w:t>
            </w:r>
          </w:p>
        </w:tc>
        <w:tc>
          <w:tcPr>
            <w:tcW w:w="0" w:type="dxa"/>
            <w:vAlign w:val="bottom"/>
          </w:tcPr>
          <w:p>
            <w:pPr>
              <w:spacing w:after="0"/>
              <w:rPr>
                <w:sz w:val="1"/>
                <w:szCs w:val="1"/>
                <w:color w:val="auto"/>
              </w:rPr>
            </w:pP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(1,347,392)</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(89,024)</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shd w:val="clear" w:color="auto" w:fill="DBDBDB"/>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(1,436,416)</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Repayments of lease liabilities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(19,448)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(19,448)</w:t>
            </w:r>
          </w:p>
        </w:tc>
        <w:tc>
          <w:tcPr>
            <w:tcW w:w="0" w:type="dxa"/>
            <w:vAlign w:val="bottom"/>
          </w:tcPr>
          <w:p>
            <w:pPr>
              <w:spacing w:after="0"/>
              <w:rPr>
                <w:sz w:val="1"/>
                <w:szCs w:val="1"/>
                <w:color w:val="auto"/>
              </w:rPr>
            </w:pPr>
          </w:p>
        </w:tc>
      </w:tr>
      <w:tr>
        <w:trPr>
          <w:trHeight w:val="188"/>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changes from financing cash flows - (Restated)</w:t>
            </w:r>
          </w:p>
        </w:tc>
        <w:tc>
          <w:tcPr>
            <w:tcW w:w="1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712,620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gridSpan w:val="2"/>
            <w:shd w:val="clear" w:color="auto" w:fill="DBDBDB"/>
          </w:tcPr>
          <w:p>
            <w:pPr>
              <w:ind w:left="760"/>
              <w:spacing w:after="0"/>
              <w:rPr>
                <w:sz w:val="20"/>
                <w:szCs w:val="20"/>
                <w:color w:val="auto"/>
              </w:rPr>
            </w:pPr>
            <w:r>
              <w:rPr>
                <w:rFonts w:ascii="Times New Roman" w:cs="Times New Roman" w:eastAsia="Times New Roman" w:hAnsi="Times New Roman"/>
                <w:sz w:val="15"/>
                <w:szCs w:val="15"/>
                <w:b w:val="1"/>
                <w:bCs w:val="1"/>
                <w:color w:val="auto"/>
              </w:rPr>
              <w:t>— $</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1,919</w:t>
            </w: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ind w:left="800"/>
              <w:spacing w:after="0"/>
              <w:rPr>
                <w:sz w:val="20"/>
                <w:szCs w:val="20"/>
                <w:color w:val="auto"/>
              </w:rPr>
            </w:pPr>
            <w:r>
              <w:rPr>
                <w:rFonts w:ascii="Times New Roman" w:cs="Times New Roman" w:eastAsia="Times New Roman" w:hAnsi="Times New Roman"/>
                <w:sz w:val="15"/>
                <w:szCs w:val="15"/>
                <w:b w:val="1"/>
                <w:bCs w:val="1"/>
                <w:color w:val="auto"/>
              </w:rPr>
              <w:t>— $</w:t>
            </w:r>
          </w:p>
        </w:tc>
        <w:tc>
          <w:tcPr>
            <w:tcW w:w="10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(19,448)</w:t>
            </w:r>
          </w:p>
        </w:tc>
        <w:tc>
          <w:tcPr>
            <w:tcW w:w="22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695,091</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Changes from other items</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F-57</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1"/>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6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6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Initial recognition of lease liabilities</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43,514</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43,514</w:t>
            </w:r>
          </w:p>
        </w:tc>
      </w:t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Cancellation of lease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27,179</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6,201</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33,891</w:t>
            </w:r>
          </w:p>
        </w:tc>
      </w:t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(24,822)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(31,650)</w:t>
            </w:r>
          </w:p>
        </w:tc>
      </w:tr>
      <w:tr>
        <w:trPr>
          <w:trHeight w:val="150"/>
        </w:trPr>
        <w:tc>
          <w:tcPr>
            <w:tcW w:w="458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Issuance of Earn-out rights and assumption of warrant liabilities upon</w:t>
            </w: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800" w:type="dxa"/>
            <w:vAlign w:val="bottom"/>
            <w:tcBorders>
              <w:right w:val="single" w:sz="8" w:color="auto"/>
            </w:tcBorders>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r>
      <w:tr>
        <w:trPr>
          <w:trHeight w:val="208"/>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closing of the merger with GGI</w:t>
            </w: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DBDBDB"/>
          </w:tcPr>
          <w:p>
            <w:pPr>
              <w:spacing w:after="0"/>
              <w:rPr>
                <w:sz w:val="18"/>
                <w:szCs w:val="18"/>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1,563,728</w:t>
            </w:r>
          </w:p>
        </w:tc>
        <w:tc>
          <w:tcPr>
            <w:tcW w:w="34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1,563,728</w:t>
            </w:r>
          </w:p>
        </w:tc>
      </w:tr>
      <w:tr>
        <w:trPr>
          <w:trHeight w:val="188"/>
        </w:trPr>
        <w:tc>
          <w:tcPr>
            <w:tcW w:w="45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changes from other items</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2,357</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(116)</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1,563,728</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43,357</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1,609,326</w:t>
            </w:r>
          </w:p>
        </w:tc>
      </w:tr>
      <w:tr>
        <w:trPr>
          <w:trHeight w:val="188"/>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Changes from effects of foreign exchange rates</w:t>
            </w:r>
          </w:p>
        </w:tc>
        <w:tc>
          <w:tcPr>
            <w:tcW w:w="24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(27,905)</w:t>
            </w:r>
          </w:p>
        </w:tc>
        <w:tc>
          <w:tcPr>
            <w:tcW w:w="2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(1,344)</w:t>
            </w:r>
          </w:p>
        </w:tc>
        <w:tc>
          <w:tcPr>
            <w:tcW w:w="2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6"/>
                <w:szCs w:val="16"/>
                <w:color w:val="auto"/>
              </w:rPr>
            </w:pPr>
          </w:p>
        </w:tc>
        <w:tc>
          <w:tcPr>
            <w:tcW w:w="800" w:type="dxa"/>
            <w:vAlign w:val="bottom"/>
            <w:tcBorders>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(33,849)</w:t>
            </w:r>
          </w:p>
        </w:tc>
      </w:tr>
      <w:tr>
        <w:trPr>
          <w:trHeight w:val="197"/>
        </w:trPr>
        <w:tc>
          <w:tcPr>
            <w:tcW w:w="45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Changes from effects of fair value measurement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(937,158)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(937,158)</w:t>
            </w:r>
          </w:p>
        </w:tc>
      </w:tr>
      <w:tr>
        <w:trPr>
          <w:trHeight w:val="188"/>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2022 - (Restated)</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1,329,716</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gridSpan w:val="2"/>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w:t>
            </w: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17,132</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626,570</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96,832</w:t>
            </w:r>
          </w:p>
        </w:tc>
        <w:tc>
          <w:tcPr>
            <w:tcW w:w="22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2,070,250</w:t>
            </w:r>
          </w:p>
        </w:tc>
      </w:tr>
      <w:tr>
        <w:trPr>
          <w:trHeight w:val="188"/>
        </w:trPr>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outstanding principal - (Restated)</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1,327,102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17,132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80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1,344,234</w:t>
            </w:r>
          </w:p>
        </w:tc>
      </w:tr>
      <w:tr>
        <w:trPr>
          <w:trHeight w:val="197"/>
        </w:trPr>
        <w:tc>
          <w:tcPr>
            <w:tcW w:w="45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accrued interest</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2,614</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2,614</w:t>
            </w:r>
          </w:p>
        </w:tc>
      </w:tr>
      <w:tr>
        <w:trPr>
          <w:trHeight w:val="220"/>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Balance as of January 1, 2023 - (Restated)</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1,329,716</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17,132</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626,570</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96,832</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2,070,250</w:t>
            </w:r>
          </w:p>
        </w:tc>
      </w:tr>
      <w:tr>
        <w:trPr>
          <w:trHeight w:val="197"/>
        </w:trPr>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outstanding principal - (Restated)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1,327,102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17,132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0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1,344,234</w:t>
            </w:r>
          </w:p>
        </w:tc>
      </w:tr>
      <w:tr>
        <w:trPr>
          <w:trHeight w:val="197"/>
        </w:trPr>
        <w:tc>
          <w:tcPr>
            <w:tcW w:w="45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accrued interest</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2,614</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2,614</w:t>
            </w:r>
          </w:p>
        </w:tc>
      </w:t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Changes from financing cash flows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short-term borrowings - (Restated)</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3,177,038</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96,850</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3,273,888</w:t>
            </w:r>
          </w:p>
        </w:tc>
      </w:t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long-term borrowings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1,250,000</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131,738</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0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1,381,738</w:t>
            </w: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(2,482,674)</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(70,334)</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(2,553,008)</w:t>
            </w:r>
          </w:p>
        </w:tc>
      </w:tr>
      <w:tr>
        <w:trPr>
          <w:trHeight w:val="197"/>
        </w:trPr>
        <w:tc>
          <w:tcPr>
            <w:tcW w:w="45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Repayments of lease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(21,916)</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(21,916)</w:t>
            </w:r>
          </w:p>
        </w:tc>
      </w:tr>
      <w:tr>
        <w:trPr>
          <w:trHeight w:val="208"/>
        </w:trPr>
        <w:tc>
          <w:tcPr>
            <w:tcW w:w="45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changes from financing cash flows - (Restated)</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694,364</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1,250,000</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158,254</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gridSpan w:val="2"/>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(21,916)</w:t>
            </w:r>
          </w:p>
        </w:tc>
        <w:tc>
          <w:tcPr>
            <w:tcW w:w="22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2,080,702</w:t>
            </w:r>
          </w:p>
        </w:tc>
      </w:tr>
      <w:tr>
        <w:trPr>
          <w:trHeight w:val="157"/>
        </w:trPr>
        <w:tc>
          <w:tcPr>
            <w:tcW w:w="4580" w:type="dxa"/>
            <w:vAlign w:val="bottom"/>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Changes from other items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Initial recognition of lease liabilities</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54,569</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54,569</w:t>
            </w:r>
          </w:p>
        </w:tc>
      </w:t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Cancellation of lease liabilities - (Restated)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(2,829)</w:t>
            </w: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expense - (Restated)</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111,949</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60,325</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5,008</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177,284</w:t>
            </w:r>
          </w:p>
        </w:tc>
      </w:tr>
      <w:tr>
        <w:trPr>
          <w:trHeight w:val="197"/>
        </w:trPr>
        <w:tc>
          <w:tcPr>
            <w:tcW w:w="45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(104,762)</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(42,620)</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(152,392)</w:t>
            </w:r>
          </w:p>
        </w:tc>
      </w:tr>
      <w:tr>
        <w:trPr>
          <w:trHeight w:val="188"/>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changes from other items - (Restated)</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7,187</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17,705</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gridSpan w:val="2"/>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 $</w:t>
            </w:r>
          </w:p>
        </w:tc>
        <w:tc>
          <w:tcPr>
            <w:tcW w:w="1180" w:type="dxa"/>
            <w:vAlign w:val="bottom"/>
            <w:tcBorders>
              <w:bottom w:val="single" w:sz="8" w:color="auto"/>
            </w:tcBorders>
            <w:gridSpan w:val="2"/>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w:t>
            </w:r>
          </w:p>
        </w:tc>
        <w:tc>
          <w:tcPr>
            <w:tcW w:w="800" w:type="dxa"/>
            <w:vAlign w:val="bottom"/>
            <w:tcBorders>
              <w:bottom w:val="single" w:sz="8" w:color="auto"/>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51,740</w:t>
            </w:r>
          </w:p>
        </w:tc>
        <w:tc>
          <w:tcPr>
            <w:tcW w:w="22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76,632</w:t>
            </w: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Changes from effects of foreign exchange rates - (Restated)</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5,488</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80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592</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7,308</w:t>
            </w:r>
          </w:p>
        </w:tc>
      </w:tr>
      <w:tr>
        <w:trPr>
          <w:trHeight w:val="197"/>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Changes from effects of fair value measurement - (Restated)</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7,553</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(465,168)</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(457,615)</w:t>
            </w:r>
          </w:p>
        </w:tc>
      </w:tr>
      <w:tr>
        <w:trPr>
          <w:trHeight w:val="197"/>
        </w:trPr>
        <w:tc>
          <w:tcPr>
            <w:tcW w:w="45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Changes from interest on fair value measurement</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tcBorders>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w:t>
            </w:r>
          </w:p>
        </w:tc>
      </w:tr>
      <w:tr>
        <w:trPr>
          <w:trHeight w:val="188"/>
        </w:trPr>
        <w:tc>
          <w:tcPr>
            <w:tcW w:w="45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2023 - (Restated)</w:t>
            </w:r>
          </w:p>
        </w:tc>
        <w:tc>
          <w:tcPr>
            <w:tcW w:w="24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2,036,755</w:t>
            </w:r>
          </w:p>
        </w:tc>
        <w:tc>
          <w:tcPr>
            <w:tcW w:w="26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1,274,899</w:t>
            </w:r>
          </w:p>
        </w:tc>
        <w:tc>
          <w:tcPr>
            <w:tcW w:w="34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176,614</w:t>
            </w:r>
          </w:p>
        </w:tc>
        <w:tc>
          <w:tcPr>
            <w:tcW w:w="260" w:type="dxa"/>
            <w:vAlign w:val="bottom"/>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161,402</w:t>
            </w:r>
          </w:p>
        </w:tc>
        <w:tc>
          <w:tcPr>
            <w:tcW w:w="34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127,248</w:t>
            </w:r>
          </w:p>
        </w:tc>
        <w:tc>
          <w:tcPr>
            <w:tcW w:w="220" w:type="dxa"/>
            <w:vAlign w:val="bottom"/>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3,776,918</w:t>
            </w:r>
          </w:p>
        </w:tc>
      </w:tr>
      <w:tr>
        <w:trPr>
          <w:trHeight w:val="197"/>
        </w:trPr>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which outstanding principal - (Restated)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2,026,665</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1,257,194</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176,614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0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3,460,473</w:t>
            </w:r>
          </w:p>
        </w:tc>
      </w:tr>
      <w:tr>
        <w:trPr>
          <w:trHeight w:val="197"/>
        </w:trPr>
        <w:tc>
          <w:tcPr>
            <w:tcW w:w="45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of which accrued interest - (Restated)</w:t>
            </w: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10,090</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17,705</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BDBDB"/>
          </w:tcPr>
          <w:p>
            <w:pPr>
              <w:spacing w:after="0"/>
              <w:rPr>
                <w:sz w:val="17"/>
                <w:szCs w:val="17"/>
                <w:color w:val="auto"/>
              </w:rPr>
            </w:pPr>
          </w:p>
        </w:tc>
        <w:tc>
          <w:tcPr>
            <w:tcW w:w="800" w:type="dxa"/>
            <w:vAlign w:val="bottom"/>
            <w:tcBorders>
              <w:right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27,795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27 - Related party transactions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Related parties are as follows:</w:t>
      </w:r>
    </w:p>
    <w:p>
      <w:pPr>
        <w:spacing w:after="0" w:line="71" w:lineRule="exact"/>
        <w:rPr>
          <w:sz w:val="20"/>
          <w:szCs w:val="20"/>
          <w:color w:val="auto"/>
        </w:rPr>
      </w:pPr>
    </w:p>
    <w:p>
      <w:pPr>
        <w:ind w:left="840" w:hanging="281"/>
        <w:spacing w:after="0" w:line="263" w:lineRule="auto"/>
        <w:tabs>
          <w:tab w:leader="none" w:pos="83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or a close family member of such person, that has control, joint control or significant influence over a Polestar entity. Due to the Group's ownership structure, Li Shufu is the person who effectively controls the Group and its entities;</w:t>
      </w:r>
    </w:p>
    <w:p>
      <w:pPr>
        <w:spacing w:after="0" w:line="27"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who is a member of the key management of the Group, or a close family member of such person. Key management of the Group includes EMT consisting of the Chief Executive Officer (“CEO”) and the Chief Financial Officer (“CFO”) and Managing Directors;</w:t>
      </w:r>
    </w:p>
    <w:p>
      <w:pPr>
        <w:spacing w:after="0" w:line="51"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legal entity, controlled by a person mentioned in either of the previous two bullets, that can exercise significant influence over the Group;</w:t>
      </w:r>
    </w:p>
    <w:p>
      <w:pPr>
        <w:spacing w:after="0" w:line="70" w:lineRule="exact"/>
        <w:rPr>
          <w:rFonts w:ascii="Times New Roman" w:cs="Times New Roman" w:eastAsia="Times New Roman" w:hAnsi="Times New Roman"/>
          <w:sz w:val="15"/>
          <w:szCs w:val="15"/>
          <w:color w:val="auto"/>
        </w:rPr>
      </w:pPr>
    </w:p>
    <w:p>
      <w:pPr>
        <w:ind w:left="840" w:right="20" w:hanging="281"/>
        <w:spacing w:after="0" w:line="246" w:lineRule="auto"/>
        <w:tabs>
          <w:tab w:leader="none" w:pos="83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legal entity that is a parent company, subsidiary, joint venture, associate or other company where Li Shufu owns 10% or greater interest in the voting power of the company; or</w:t>
      </w:r>
    </w:p>
    <w:p>
      <w:pPr>
        <w:spacing w:after="0" w:line="51" w:lineRule="exact"/>
        <w:rPr>
          <w:rFonts w:ascii="Times New Roman" w:cs="Times New Roman" w:eastAsia="Times New Roman" w:hAnsi="Times New Roman"/>
          <w:sz w:val="15"/>
          <w:szCs w:val="15"/>
          <w:color w:val="auto"/>
        </w:rPr>
      </w:pPr>
    </w:p>
    <w:p>
      <w:pPr>
        <w:ind w:left="840" w:hanging="281"/>
        <w:spacing w:after="0"/>
        <w:tabs>
          <w:tab w:leader="none" w:pos="8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legal entity whose key management personnel provide services to an entity within the Group.</w:t>
      </w:r>
    </w:p>
    <w:p>
      <w:pPr>
        <w:spacing w:after="0" w:line="7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Prior to the merger with GGI, Polestar Group existed as a joint venture between Geely and Volvo Cars. Geely is primarily owned and operated by Li Shufu. Geely, through a combination of wholly owned and partially owned entities, owns a controlling number of</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7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equity interests in Volvo Cars. Therefore, Li Shufu, as a controlling equity interest holder in Geely, effectively controls Geely and Volvo Cars. All transactions with Geely and Volvo Cars are related party transactions.</w:t>
      </w:r>
    </w:p>
    <w:p>
      <w:pPr>
        <w:spacing w:after="0" w:line="5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Unless specifically detailed in this footnote, all transactions with related parties are on an arm’s length basis. During the years ended December 31, 2023, 2022, and 2021, the Group had related party transactions in the following functions: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Product development</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The agreements in place to support the Group’s product development include licenses and intellectual property, patents, R&amp;D services, design, and technology agreements with Volvo Cars and Geely. The Group owns its developed Polestar Unique technology, which was created using purchased R&amp;D, design services, and licenses to critical common technology from Volvo Cars and Geely. Polestar also benefits from related parties as subcontractors in certain internal technology development programs of the Group. Major product</w:t>
      </w:r>
    </w:p>
    <w:p>
      <w:pPr>
        <w:spacing w:after="0"/>
        <w:rPr>
          <w:sz w:val="20"/>
          <w:szCs w:val="20"/>
          <w:color w:val="auto"/>
        </w:rPr>
      </w:pPr>
      <w:r>
        <w:rPr>
          <w:rFonts w:ascii="Times New Roman" w:cs="Times New Roman" w:eastAsia="Times New Roman" w:hAnsi="Times New Roman"/>
          <w:sz w:val="15"/>
          <w:szCs w:val="15"/>
          <w:color w:val="auto"/>
        </w:rPr>
        <w:t>development agreements Polestar entered into with related parties during the years ended December 31, 2023, 2022, and 2021 are as follows:</w:t>
      </w:r>
    </w:p>
    <w:p>
      <w:pPr>
        <w:spacing w:after="0" w:line="9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Product</w:t>
      </w:r>
      <w:r>
        <w:rPr>
          <w:sz w:val="20"/>
          <w:szCs w:val="20"/>
          <w:color w:val="auto"/>
        </w:rPr>
        <w:tab/>
      </w:r>
      <w:r>
        <w:rPr>
          <w:rFonts w:ascii="Times New Roman" w:cs="Times New Roman" w:eastAsia="Times New Roman" w:hAnsi="Times New Roman"/>
          <w:sz w:val="15"/>
          <w:szCs w:val="15"/>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52005" cy="3733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71">
                      <a:extLst>
                        <a:ext uri="{28A0092B-C50C-407E-A947-70E740481C1C}"/>
                      </a:extLst>
                    </a:blip>
                    <a:srcRect/>
                    <a:stretch>
                      <a:fillRect/>
                    </a:stretch>
                  </pic:blipFill>
                  <pic:spPr bwMode="auto">
                    <a:xfrm>
                      <a:off x="0" y="0"/>
                      <a:ext cx="7152005" cy="3733800"/>
                    </a:xfrm>
                    <a:prstGeom prst="rect">
                      <a:avLst/>
                    </a:prstGeom>
                    <a:noFill/>
                  </pic:spPr>
                </pic:pic>
              </a:graphicData>
            </a:graphic>
          </wp:anchor>
        </w:drawing>
      </w:r>
    </w:p>
    <w:p>
      <w:pPr>
        <w:spacing w:after="0" w:line="20" w:lineRule="exact"/>
        <w:rPr>
          <w:sz w:val="20"/>
          <w:szCs w:val="20"/>
          <w:color w:val="auto"/>
        </w:rPr>
      </w:pPr>
    </w:p>
    <w:p>
      <w:pPr>
        <w:jc w:val="both"/>
        <w:ind w:left="1000" w:right="20" w:hanging="147"/>
        <w:spacing w:after="0" w:line="218" w:lineRule="auto"/>
        <w:tabs>
          <w:tab w:leader="none" w:pos="99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October 3, 2023, November 9, 2022 and December 27, 2022, Polestar entered into amendment agreements related to the service and joint development agreements with Volvo Cars regarding the PS2 model year updates entered on April 13, 2021. The amendment agreements added the specific fee for model year 2022 and 2023 updates. The fee Polestar agreed to pay Volvo Cars for model year 2022 and 2023 updates was $38,405. The fee Polestar agreed to pay Volvo Cars for model year 2021 updates was amended to $34,004 from $31,366.</w:t>
      </w:r>
    </w:p>
    <w:p>
      <w:pPr>
        <w:spacing w:after="0" w:line="2" w:lineRule="exact"/>
        <w:rPr>
          <w:rFonts w:ascii="Times New Roman" w:cs="Times New Roman" w:eastAsia="Times New Roman" w:hAnsi="Times New Roman"/>
          <w:sz w:val="15"/>
          <w:szCs w:val="15"/>
          <w:color w:val="auto"/>
        </w:rPr>
      </w:pPr>
    </w:p>
    <w:p>
      <w:pPr>
        <w:ind w:left="980" w:hanging="127"/>
        <w:spacing w:after="0" w:line="225" w:lineRule="auto"/>
        <w:tabs>
          <w:tab w:leader="none" w:pos="9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23, 2021, Polestar entered into a supplement agreement to the PS2 car model assignment and license agreement to reconcile the actual development cost</w:t>
      </w:r>
    </w:p>
    <w:tbl>
      <w:tblPr>
        <w:tblLayout w:type="fixed"/>
        <w:tblInd w:w="280" w:type="dxa"/>
        <w:tblCellMar>
          <w:top w:w="0" w:type="dxa"/>
          <w:left w:w="0" w:type="dxa"/>
          <w:bottom w:w="0" w:type="dxa"/>
          <w:right w:w="0" w:type="dxa"/>
        </w:tblCellMar>
      </w:tblPr>
      <w:tr>
        <w:trPr>
          <w:trHeight w:val="138"/>
        </w:trPr>
        <w:tc>
          <w:tcPr>
            <w:tcW w:w="4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PS2</w:t>
            </w:r>
          </w:p>
        </w:tc>
        <w:tc>
          <w:tcPr>
            <w:tcW w:w="10460" w:type="dxa"/>
            <w:vAlign w:val="bottom"/>
          </w:tcPr>
          <w:p>
            <w:pPr>
              <w:ind w:left="240"/>
              <w:spacing w:after="0" w:line="138" w:lineRule="exact"/>
              <w:rPr>
                <w:sz w:val="20"/>
                <w:szCs w:val="20"/>
                <w:color w:val="auto"/>
              </w:rPr>
            </w:pPr>
            <w:r>
              <w:rPr>
                <w:rFonts w:ascii="Times New Roman" w:cs="Times New Roman" w:eastAsia="Times New Roman" w:hAnsi="Times New Roman"/>
                <w:sz w:val="15"/>
                <w:szCs w:val="15"/>
                <w:color w:val="auto"/>
              </w:rPr>
              <w:t>incurred by Volvo Cars and the category of technology developed for Polestar throughout 2020. The fee Polestar agreed to pay Volvo Cars under the agreement was</w:t>
            </w:r>
          </w:p>
        </w:tc>
      </w:tr>
      <w:tr>
        <w:trPr>
          <w:trHeight w:val="163"/>
        </w:trPr>
        <w:tc>
          <w:tcPr>
            <w:tcW w:w="480" w:type="dxa"/>
            <w:vAlign w:val="bottom"/>
          </w:tcPr>
          <w:p>
            <w:pPr>
              <w:spacing w:after="0"/>
              <w:rPr>
                <w:sz w:val="14"/>
                <w:szCs w:val="14"/>
                <w:color w:val="auto"/>
              </w:rPr>
            </w:pPr>
          </w:p>
        </w:tc>
        <w:tc>
          <w:tcPr>
            <w:tcW w:w="10460" w:type="dxa"/>
            <w:vAlign w:val="bottom"/>
          </w:tcPr>
          <w:p>
            <w:pPr>
              <w:ind w:left="240"/>
              <w:spacing w:after="0" w:line="164" w:lineRule="exact"/>
              <w:rPr>
                <w:sz w:val="20"/>
                <w:szCs w:val="20"/>
                <w:color w:val="auto"/>
              </w:rPr>
            </w:pPr>
            <w:r>
              <w:rPr>
                <w:rFonts w:ascii="Times New Roman" w:cs="Times New Roman" w:eastAsia="Times New Roman" w:hAnsi="Times New Roman"/>
                <w:sz w:val="15"/>
                <w:szCs w:val="15"/>
                <w:color w:val="auto"/>
              </w:rPr>
              <w:t>$31,554.</w:t>
            </w:r>
          </w:p>
        </w:tc>
      </w:tr>
    </w:tbl>
    <w:p>
      <w:pPr>
        <w:jc w:val="both"/>
        <w:ind w:left="1000" w:right="20" w:hanging="147"/>
        <w:spacing w:after="0" w:line="224" w:lineRule="auto"/>
        <w:tabs>
          <w:tab w:leader="none" w:pos="99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13, 2021, Polestar entered into service and joint development agreements with Volvo Cars related to development of model year updates throughout the life-time of the PS2. The fee for these services is dependent on actual development costs incurred by Volvo Cars and the category of technology developed for Polestar. The fee Polestar agreed to pay Volvo Cars for model year 2021 updates was $31,366 and costs related to future model year updates are based on actual hours incurred by Volvo Cars through a cost-plus methodology.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 w:type="dxa"/>
            <w:vAlign w:val="bottom"/>
            <w:tcBorders>
              <w:bottom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15"/>
                <w:szCs w:val="15"/>
                <w:color w:val="auto"/>
              </w:rPr>
              <w:t>PS3</w:t>
            </w:r>
          </w:p>
        </w:tc>
        <w:tc>
          <w:tcPr>
            <w:tcW w:w="240" w:type="dxa"/>
            <w:vAlign w:val="bottom"/>
            <w:tcBorders>
              <w:bottom w:val="single" w:sz="8" w:color="auto"/>
            </w:tcBorders>
            <w:shd w:val="clear" w:color="auto" w:fill="DBDBDB"/>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320" w:type="dxa"/>
            <w:vAlign w:val="bottom"/>
            <w:tcBorders>
              <w:bottom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5"/>
                <w:szCs w:val="15"/>
                <w:color w:val="auto"/>
              </w:rPr>
              <w:t>No material agreements were signed in the years ended December 31, 2023, 2022, and 2021.</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40" w:type="dxa"/>
            <w:vAlign w:val="bottom"/>
          </w:tcPr>
          <w:p>
            <w:pPr>
              <w:ind w:left="160"/>
              <w:spacing w:after="0" w:line="142" w:lineRule="exact"/>
              <w:rPr>
                <w:sz w:val="20"/>
                <w:szCs w:val="20"/>
                <w:color w:val="auto"/>
              </w:rPr>
            </w:pPr>
            <w:r>
              <w:rPr>
                <w:rFonts w:ascii="Times New Roman" w:cs="Times New Roman" w:eastAsia="Times New Roman" w:hAnsi="Times New Roman"/>
                <w:sz w:val="15"/>
                <w:szCs w:val="15"/>
                <w:color w:val="auto"/>
              </w:rPr>
              <w:t>•</w:t>
            </w:r>
          </w:p>
        </w:tc>
        <w:tc>
          <w:tcPr>
            <w:tcW w:w="10320" w:type="dxa"/>
            <w:vAlign w:val="bottom"/>
          </w:tcPr>
          <w:p>
            <w:pPr>
              <w:ind w:left="40"/>
              <w:spacing w:after="0" w:line="142" w:lineRule="exact"/>
              <w:rPr>
                <w:sz w:val="20"/>
                <w:szCs w:val="20"/>
                <w:color w:val="auto"/>
              </w:rPr>
            </w:pPr>
            <w:r>
              <w:rPr>
                <w:rFonts w:ascii="Times New Roman" w:cs="Times New Roman" w:eastAsia="Times New Roman" w:hAnsi="Times New Roman"/>
                <w:sz w:val="15"/>
                <w:szCs w:val="15"/>
                <w:color w:val="auto"/>
              </w:rPr>
              <w:t>On March 4, 2022, Polestar entered into two technology license agreements related to the right to use Geely's PMA-1 platform and GEEA2.0 electrical architecture</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9" w:lineRule="exact"/>
              <w:rPr>
                <w:sz w:val="20"/>
                <w:szCs w:val="20"/>
                <w:color w:val="auto"/>
              </w:rPr>
            </w:pPr>
            <w:r>
              <w:rPr>
                <w:rFonts w:ascii="Times New Roman" w:cs="Times New Roman" w:eastAsia="Times New Roman" w:hAnsi="Times New Roman"/>
                <w:sz w:val="15"/>
                <w:szCs w:val="15"/>
                <w:color w:val="auto"/>
              </w:rPr>
              <w:t>for the PS4 in and outside of China. Under these agreements, Polestar agreed to pay Geely a monthly license royalty fee based on the net revenue of PS4s sold each</w:t>
            </w: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month during the vehicle's lifecycle. The agreements also include a minimum sales volume commitment for sales inside and outside of China each year during the</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1" w:lineRule="exact"/>
              <w:rPr>
                <w:sz w:val="20"/>
                <w:szCs w:val="20"/>
                <w:color w:val="auto"/>
              </w:rPr>
            </w:pPr>
            <w:r>
              <w:rPr>
                <w:rFonts w:ascii="Times New Roman" w:cs="Times New Roman" w:eastAsia="Times New Roman" w:hAnsi="Times New Roman"/>
                <w:sz w:val="15"/>
                <w:szCs w:val="15"/>
                <w:color w:val="auto"/>
              </w:rPr>
              <w:t>vehicle's lifecycle. Polestar is required to pay Geely compensation for any deficit between the actual volume sold and the minimum sales volume commitment each</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9" w:lineRule="exact"/>
              <w:rPr>
                <w:sz w:val="20"/>
                <w:szCs w:val="20"/>
                <w:color w:val="auto"/>
              </w:rPr>
            </w:pPr>
            <w:r>
              <w:rPr>
                <w:rFonts w:ascii="Times New Roman" w:cs="Times New Roman" w:eastAsia="Times New Roman" w:hAnsi="Times New Roman"/>
                <w:sz w:val="15"/>
                <w:szCs w:val="15"/>
                <w:color w:val="auto"/>
              </w:rPr>
              <w:t>year. Polestar also entered into a third technology license agreement with Zhejiang Zeekr Automobile Research and Development Co., Ltd ("Zeekr"), an entity</w:t>
            </w: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controlled by Geely, related to the right to use Zeekr carry-over tophat technology in the PS4 in China. Polestar agreed to pay Zeekr a monthly license royalty fee</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1" w:lineRule="exact"/>
              <w:rPr>
                <w:sz w:val="20"/>
                <w:szCs w:val="20"/>
                <w:color w:val="auto"/>
              </w:rPr>
            </w:pPr>
            <w:r>
              <w:rPr>
                <w:rFonts w:ascii="Times New Roman" w:cs="Times New Roman" w:eastAsia="Times New Roman" w:hAnsi="Times New Roman"/>
                <w:sz w:val="15"/>
                <w:szCs w:val="15"/>
                <w:color w:val="auto"/>
              </w:rPr>
              <w:t>based on the net revenue of PS4s sold each month in China during the vehicle's lifecycle. The agreement also includes a minimum sales volume commitment for</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9" w:lineRule="exact"/>
              <w:rPr>
                <w:sz w:val="20"/>
                <w:szCs w:val="20"/>
                <w:color w:val="auto"/>
              </w:rPr>
            </w:pPr>
            <w:r>
              <w:rPr>
                <w:rFonts w:ascii="Times New Roman" w:cs="Times New Roman" w:eastAsia="Times New Roman" w:hAnsi="Times New Roman"/>
                <w:sz w:val="15"/>
                <w:szCs w:val="15"/>
                <w:color w:val="auto"/>
              </w:rPr>
              <w:t>China for each year during the vehicle's lifecycle. Polestar is required to pay Zeekr compensation for any deficit in China between the actual volume sold and the</w:t>
            </w:r>
          </w:p>
        </w:tc>
        <w:tc>
          <w:tcPr>
            <w:tcW w:w="0" w:type="dxa"/>
            <w:vAlign w:val="bottom"/>
          </w:tcPr>
          <w:p>
            <w:pPr>
              <w:spacing w:after="0"/>
              <w:rPr>
                <w:sz w:val="1"/>
                <w:szCs w:val="1"/>
                <w:color w:val="auto"/>
              </w:rPr>
            </w:pPr>
          </w:p>
        </w:tc>
      </w:tr>
      <w:tr>
        <w:trPr>
          <w:trHeight w:val="153"/>
        </w:trPr>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PS4</w:t>
            </w: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32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minimum sales volume commitment each year.</w:t>
            </w:r>
          </w:p>
        </w:tc>
        <w:tc>
          <w:tcPr>
            <w:tcW w:w="0" w:type="dxa"/>
            <w:vAlign w:val="bottom"/>
          </w:tcPr>
          <w:p>
            <w:pPr>
              <w:spacing w:after="0"/>
              <w:rPr>
                <w:sz w:val="1"/>
                <w:szCs w:val="1"/>
                <w:color w:val="auto"/>
              </w:rPr>
            </w:pPr>
          </w:p>
        </w:tc>
      </w:tr>
      <w:tr>
        <w:trPr>
          <w:trHeight w:val="150"/>
        </w:trPr>
        <w:tc>
          <w:tcPr>
            <w:tcW w:w="7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320" w:type="dxa"/>
            <w:vAlign w:val="bottom"/>
          </w:tcPr>
          <w:p>
            <w:pPr>
              <w:ind w:left="40"/>
              <w:spacing w:after="0" w:line="151" w:lineRule="exact"/>
              <w:rPr>
                <w:sz w:val="20"/>
                <w:szCs w:val="20"/>
                <w:color w:val="auto"/>
              </w:rPr>
            </w:pPr>
            <w:r>
              <w:rPr>
                <w:rFonts w:ascii="Times New Roman" w:cs="Times New Roman" w:eastAsia="Times New Roman" w:hAnsi="Times New Roman"/>
                <w:sz w:val="15"/>
                <w:szCs w:val="15"/>
                <w:color w:val="auto"/>
              </w:rPr>
              <w:t>On December 30, 2021, Polestar entered into a technology license agreement with Zeekr related to the right to use certain Zeekr carry-over tophat technology in the</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9" w:lineRule="exact"/>
              <w:rPr>
                <w:sz w:val="20"/>
                <w:szCs w:val="20"/>
                <w:color w:val="auto"/>
              </w:rPr>
            </w:pPr>
            <w:r>
              <w:rPr>
                <w:rFonts w:ascii="Times New Roman" w:cs="Times New Roman" w:eastAsia="Times New Roman" w:hAnsi="Times New Roman"/>
                <w:sz w:val="15"/>
                <w:szCs w:val="15"/>
                <w:color w:val="auto"/>
              </w:rPr>
              <w:t>PS4 outside of China. This agreement has terms similar to those included in the agreement signed with Zeekr on March 4, 2022 regarding Zeekr technology used in</w:t>
            </w: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32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the PS4 in China, except the minimum sales volume commitment thresholds are different and pertain to sales outside of China.</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320" w:type="dxa"/>
            <w:vAlign w:val="bottom"/>
          </w:tcPr>
          <w:p>
            <w:pPr>
              <w:ind w:left="40"/>
              <w:spacing w:after="0" w:line="151" w:lineRule="exact"/>
              <w:rPr>
                <w:sz w:val="20"/>
                <w:szCs w:val="20"/>
                <w:color w:val="auto"/>
              </w:rPr>
            </w:pPr>
            <w:r>
              <w:rPr>
                <w:rFonts w:ascii="Times New Roman" w:cs="Times New Roman" w:eastAsia="Times New Roman" w:hAnsi="Times New Roman"/>
                <w:sz w:val="15"/>
                <w:szCs w:val="15"/>
                <w:color w:val="auto"/>
              </w:rPr>
              <w:t>On December 28, 2021, Polestar entered into a R&amp;D service agreement for the development phase of the PS4 beginning after the program confirmation milestone;</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9" w:lineRule="exact"/>
              <w:rPr>
                <w:sz w:val="20"/>
                <w:szCs w:val="20"/>
                <w:color w:val="auto"/>
              </w:rPr>
            </w:pPr>
            <w:r>
              <w:rPr>
                <w:rFonts w:ascii="Times New Roman" w:cs="Times New Roman" w:eastAsia="Times New Roman" w:hAnsi="Times New Roman"/>
                <w:sz w:val="15"/>
                <w:szCs w:val="15"/>
                <w:color w:val="auto"/>
              </w:rPr>
              <w:t>ending with the final status report from Geely in 2025. The service charges are required to be paid in eight installments through 2025, based on predefined project</w:t>
            </w: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milestones, and was calculated based on time and materials estimated to be incurred by Geely through 2025 under a cost-plus methodology. The total fee Polestar</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320" w:type="dxa"/>
            <w:vAlign w:val="bottom"/>
          </w:tcPr>
          <w:p>
            <w:pPr>
              <w:ind w:left="60"/>
              <w:spacing w:after="0" w:line="151" w:lineRule="exact"/>
              <w:rPr>
                <w:sz w:val="20"/>
                <w:szCs w:val="20"/>
                <w:color w:val="auto"/>
              </w:rPr>
            </w:pPr>
            <w:r>
              <w:rPr>
                <w:rFonts w:ascii="Times New Roman" w:cs="Times New Roman" w:eastAsia="Times New Roman" w:hAnsi="Times New Roman"/>
                <w:sz w:val="15"/>
                <w:szCs w:val="15"/>
                <w:color w:val="auto"/>
              </w:rPr>
              <w:t>agreed to pay Geely through 2025 was $368,718.</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32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auto"/>
              </w:rPr>
              <w:t>On January 18, 2021, Polestar entered into a R&amp;D service agreement for the concept phase of the PS4; ending at the program confirmation milestone. The service</w:t>
            </w: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charge was a fixed price compensation dependent on the hours and resources required for the services to be performed by Geely throughout 2021, based on</w:t>
            </w:r>
          </w:p>
        </w:tc>
        <w:tc>
          <w:tcPr>
            <w:tcW w:w="0" w:type="dxa"/>
            <w:vAlign w:val="bottom"/>
          </w:tcPr>
          <w:p>
            <w:pPr>
              <w:spacing w:after="0"/>
              <w:rPr>
                <w:sz w:val="1"/>
                <w:szCs w:val="1"/>
                <w:color w:val="auto"/>
              </w:rPr>
            </w:pPr>
          </w:p>
        </w:tc>
      </w:tr>
      <w:tr>
        <w:trPr>
          <w:trHeight w:val="197"/>
        </w:trPr>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predefined project milestones. The total fee Polestar agreed to pay Geely throughout 2021 was $23,718.</w:t>
            </w:r>
          </w:p>
        </w:tc>
        <w:tc>
          <w:tcPr>
            <w:tcW w:w="0" w:type="dxa"/>
            <w:vAlign w:val="bottom"/>
          </w:tcPr>
          <w:p>
            <w:pPr>
              <w:spacing w:after="0"/>
              <w:rPr>
                <w:sz w:val="1"/>
                <w:szCs w:val="1"/>
                <w:color w:val="auto"/>
              </w:rPr>
            </w:pPr>
          </w:p>
        </w:tc>
      </w:tr>
      <w:tr>
        <w:trPr>
          <w:trHeight w:val="142"/>
        </w:trPr>
        <w:tc>
          <w:tcPr>
            <w:tcW w:w="700" w:type="dxa"/>
            <w:vAlign w:val="bottom"/>
            <w:vMerge w:val="restart"/>
            <w:shd w:val="clear" w:color="auto" w:fill="DBDBDB"/>
          </w:tcPr>
          <w:p>
            <w:pPr>
              <w:ind w:left="280"/>
              <w:spacing w:after="0"/>
              <w:rPr>
                <w:sz w:val="20"/>
                <w:szCs w:val="20"/>
                <w:color w:val="auto"/>
              </w:rPr>
            </w:pPr>
            <w:r>
              <w:rPr>
                <w:rFonts w:ascii="Times New Roman" w:cs="Times New Roman" w:eastAsia="Times New Roman" w:hAnsi="Times New Roman"/>
                <w:sz w:val="15"/>
                <w:szCs w:val="15"/>
                <w:color w:val="auto"/>
              </w:rPr>
              <w:t>PS5</w:t>
            </w:r>
          </w:p>
        </w:tc>
        <w:tc>
          <w:tcPr>
            <w:tcW w:w="240" w:type="dxa"/>
            <w:vAlign w:val="bottom"/>
            <w:shd w:val="clear" w:color="auto" w:fill="DBDBDB"/>
          </w:tcPr>
          <w:p>
            <w:pPr>
              <w:ind w:left="160"/>
              <w:spacing w:after="0" w:line="142" w:lineRule="exact"/>
              <w:rPr>
                <w:sz w:val="20"/>
                <w:szCs w:val="20"/>
                <w:color w:val="auto"/>
              </w:rPr>
            </w:pPr>
            <w:r>
              <w:rPr>
                <w:rFonts w:ascii="Times New Roman" w:cs="Times New Roman" w:eastAsia="Times New Roman" w:hAnsi="Times New Roman"/>
                <w:sz w:val="15"/>
                <w:szCs w:val="15"/>
                <w:color w:val="auto"/>
              </w:rPr>
              <w:t>•</w:t>
            </w:r>
          </w:p>
        </w:tc>
        <w:tc>
          <w:tcPr>
            <w:tcW w:w="10320" w:type="dxa"/>
            <w:vAlign w:val="bottom"/>
            <w:shd w:val="clear" w:color="auto" w:fill="DBDBDB"/>
          </w:tcPr>
          <w:p>
            <w:pPr>
              <w:ind w:left="40"/>
              <w:spacing w:after="0" w:line="142" w:lineRule="exact"/>
              <w:rPr>
                <w:sz w:val="20"/>
                <w:szCs w:val="20"/>
                <w:color w:val="auto"/>
              </w:rPr>
            </w:pPr>
            <w:r>
              <w:rPr>
                <w:rFonts w:ascii="Times New Roman" w:cs="Times New Roman" w:eastAsia="Times New Roman" w:hAnsi="Times New Roman"/>
                <w:sz w:val="15"/>
                <w:szCs w:val="15"/>
                <w:color w:val="auto"/>
              </w:rPr>
              <w:t>On September 28, 2023, Polestar entered into a technology license agreement with Geely related to the right to use Zeekr's ZEEA2.5 and Geely's GEEA2.0 electrical</w:t>
            </w:r>
          </w:p>
        </w:tc>
        <w:tc>
          <w:tcPr>
            <w:tcW w:w="0" w:type="dxa"/>
            <w:vAlign w:val="bottom"/>
          </w:tcPr>
          <w:p>
            <w:pPr>
              <w:spacing w:after="0"/>
              <w:rPr>
                <w:sz w:val="1"/>
                <w:szCs w:val="1"/>
                <w:color w:val="auto"/>
              </w:rPr>
            </w:pPr>
          </w:p>
        </w:tc>
      </w:tr>
      <w:tr>
        <w:trPr>
          <w:trHeight w:val="159"/>
        </w:trPr>
        <w:tc>
          <w:tcPr>
            <w:tcW w:w="700" w:type="dxa"/>
            <w:vAlign w:val="bottom"/>
            <w:vMerge w:val="continue"/>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0320" w:type="dxa"/>
            <w:vAlign w:val="bottom"/>
            <w:shd w:val="clear" w:color="auto" w:fill="DBDBDB"/>
          </w:tcPr>
          <w:p>
            <w:pPr>
              <w:ind w:left="60"/>
              <w:spacing w:after="0" w:line="159" w:lineRule="exact"/>
              <w:rPr>
                <w:sz w:val="20"/>
                <w:szCs w:val="20"/>
                <w:color w:val="auto"/>
              </w:rPr>
            </w:pPr>
            <w:r>
              <w:rPr>
                <w:rFonts w:ascii="Times New Roman" w:cs="Times New Roman" w:eastAsia="Times New Roman" w:hAnsi="Times New Roman"/>
                <w:sz w:val="15"/>
                <w:szCs w:val="15"/>
                <w:color w:val="auto"/>
              </w:rPr>
              <w:t>architectures for the PS5. The total license fee of $31,245 is required to be paid in two installments: a payment of $14,011 that occurred in October 2023 and a</w:t>
            </w:r>
          </w:p>
        </w:tc>
        <w:tc>
          <w:tcPr>
            <w:tcW w:w="0" w:type="dxa"/>
            <w:vAlign w:val="bottom"/>
          </w:tcPr>
          <w:p>
            <w:pPr>
              <w:spacing w:after="0"/>
              <w:rPr>
                <w:sz w:val="1"/>
                <w:szCs w:val="1"/>
                <w:color w:val="auto"/>
              </w:rPr>
            </w:pPr>
          </w:p>
        </w:tc>
      </w:tr>
      <w:tr>
        <w:trPr>
          <w:trHeight w:val="200"/>
        </w:trPr>
        <w:tc>
          <w:tcPr>
            <w:tcW w:w="70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0320" w:type="dxa"/>
            <w:vAlign w:val="bottom"/>
            <w:tcBorders>
              <w:bottom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15"/>
                <w:szCs w:val="15"/>
                <w:color w:val="auto"/>
              </w:rPr>
              <w:t>payment of $17,234 in December 2024.</w:t>
            </w:r>
          </w:p>
        </w:tc>
        <w:tc>
          <w:tcPr>
            <w:tcW w:w="0" w:type="dxa"/>
            <w:vAlign w:val="bottom"/>
          </w:tcPr>
          <w:p>
            <w:pPr>
              <w:spacing w:after="0"/>
              <w:rPr>
                <w:sz w:val="1"/>
                <w:szCs w:val="1"/>
                <w:color w:val="auto"/>
              </w:rPr>
            </w:pPr>
          </w:p>
        </w:tc>
      </w:tr>
      <w:tr>
        <w:trPr>
          <w:trHeight w:val="191"/>
        </w:trPr>
        <w:tc>
          <w:tcPr>
            <w:tcW w:w="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PS6</w:t>
            </w:r>
          </w:p>
        </w:tc>
        <w:tc>
          <w:tcPr>
            <w:tcW w:w="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3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 material agreements were signed in the years ended December 31, 2023, 2022, and 2021.</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29 - Commitments and contingencies</w:t>
      </w:r>
      <w:r>
        <w:rPr>
          <w:rFonts w:ascii="Times New Roman" w:cs="Times New Roman" w:eastAsia="Times New Roman" w:hAnsi="Times New Roman"/>
          <w:sz w:val="15"/>
          <w:szCs w:val="15"/>
          <w:color w:val="auto"/>
        </w:rPr>
        <w:t xml:space="preserve"> for details on commitments and contingencies related to product development of Polestar vehicles.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Procurement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has entered into service agreements with Geely and Volvo Cars regarding the procurement of direct materials for production and the indirect procurement of material, IT</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and other general services not related to car components. The joint sourcing of indirect procurement activities and direct material for the Group, Volvo Cars, and Geely has allowed the companies to leverage economies of scale.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purchases contract manufacturing services, manufacturing and logistics engineering services, and has entered into tool sharing agreements with Volvo Cars and Geely.</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Manufacturing engineering includes activities related to the development of the production process (i.e., deciding which manufacturing equipment should be utilized and where equipment should be situated to ensure an efficient production process), rather than development of the vehicle itself. Logistics engineering includes activities related to the determination of how different components are delivered to the production sites. The Group outsourced the manufacturing and logistics engineering for the production processes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PS1, PS2, and PS3 to Volvo Cars and for the production processes of the PS4 to Geely.</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 xml:space="preserve">Tool sharing occurs when the Group purchases production tools, together with Volvo Cars or Geely, to obtain synergies in the manufacturing processes by utilizing the same or similar tools. Polestar also enters into machinery and equipment lease arrangements as well as certain building lease agreements with Geely and Volvo Cars. Refer to </w:t>
      </w:r>
      <w:r>
        <w:rPr>
          <w:rFonts w:ascii="Times New Roman" w:cs="Times New Roman" w:eastAsia="Times New Roman" w:hAnsi="Times New Roman"/>
          <w:sz w:val="15"/>
          <w:szCs w:val="15"/>
          <w:i w:val="1"/>
          <w:iCs w:val="1"/>
          <w:color w:val="auto"/>
        </w:rPr>
        <w:t>Note 12 -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Leases </w:t>
      </w:r>
      <w:r>
        <w:rPr>
          <w:rFonts w:ascii="Times New Roman" w:cs="Times New Roman" w:eastAsia="Times New Roman" w:hAnsi="Times New Roman"/>
          <w:sz w:val="15"/>
          <w:szCs w:val="15"/>
          <w:color w:val="auto"/>
        </w:rPr>
        <w:t>for more information on Polestar’s leasing arrangements.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Major manufacturing agreements Polestar entered into with related parties during the years ended December 31, 2023, 2022, and 2021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07555" cy="39395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73">
                      <a:extLst>
                        <a:ext uri="{28A0092B-C50C-407E-A947-70E740481C1C}"/>
                      </a:extLst>
                    </a:blip>
                    <a:srcRect/>
                    <a:stretch>
                      <a:fillRect/>
                    </a:stretch>
                  </pic:blipFill>
                  <pic:spPr bwMode="auto">
                    <a:xfrm>
                      <a:off x="0" y="0"/>
                      <a:ext cx="7107555" cy="393954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 w:type="dxa"/>
            <w:vAlign w:val="bottom"/>
            <w:tcBorders>
              <w:bottom w:val="single" w:sz="8" w:color="auto"/>
            </w:tcBorders>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Product</w:t>
            </w:r>
          </w:p>
        </w:tc>
        <w:tc>
          <w:tcPr>
            <w:tcW w:w="10480" w:type="dxa"/>
            <w:vAlign w:val="bottom"/>
            <w:tcBorders>
              <w:bottom w:val="single" w:sz="8" w:color="auto"/>
            </w:tcBorders>
            <w:shd w:val="clear" w:color="auto" w:fill="DBDBDB"/>
          </w:tcPr>
          <w:p>
            <w:pPr>
              <w:ind w:left="160"/>
              <w:spacing w:after="0"/>
              <w:rPr>
                <w:sz w:val="20"/>
                <w:szCs w:val="20"/>
                <w:color w:val="auto"/>
              </w:rPr>
            </w:pPr>
            <w:r>
              <w:rPr>
                <w:rFonts w:ascii="Times New Roman" w:cs="Times New Roman" w:eastAsia="Times New Roman" w:hAnsi="Times New Roman"/>
                <w:sz w:val="15"/>
                <w:szCs w:val="15"/>
                <w:b w:val="1"/>
                <w:bCs w:val="1"/>
                <w:color w:val="auto"/>
              </w:rPr>
              <w:t>Agreements</w:t>
            </w:r>
          </w:p>
        </w:tc>
      </w:tr>
      <w:tr>
        <w:trPr>
          <w:trHeight w:val="191"/>
        </w:trPr>
        <w:tc>
          <w:tcPr>
            <w:tcW w:w="70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PS2</w:t>
            </w:r>
          </w:p>
        </w:tc>
        <w:tc>
          <w:tcPr>
            <w:tcW w:w="10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No material agreements were signed in the years ended December 31, 2023, 2022, and 2021.</w:t>
            </w:r>
          </w:p>
        </w:tc>
      </w:tr>
    </w:tbl>
    <w:p>
      <w:pPr>
        <w:spacing w:after="0" w:line="6" w:lineRule="exact"/>
        <w:rPr>
          <w:sz w:val="20"/>
          <w:szCs w:val="20"/>
          <w:color w:val="auto"/>
        </w:rPr>
      </w:pPr>
    </w:p>
    <w:p>
      <w:pPr>
        <w:jc w:val="both"/>
        <w:ind w:left="1000" w:right="100" w:hanging="147"/>
        <w:spacing w:after="0" w:line="222" w:lineRule="auto"/>
        <w:tabs>
          <w:tab w:leader="none" w:pos="996"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 December 8, 2023, Polestar entered into an asset transfer agreement with Geely under which Polestar agreed to sell Polestar unique tooling and equipment that will be used in the manufacturing of the PS3 to Geely in exchange for $156,056. This agreement was accounted for as a financing transaction instead of a sale due to the terms of the agreement and the terms of other agreements with Volvo Cars and Geely that were signed on January 8, 2024 and March 3, 2024. Refer to the </w:t>
      </w:r>
      <w:r>
        <w:rPr>
          <w:rFonts w:ascii="Times New Roman" w:cs="Times New Roman" w:eastAsia="Times New Roman" w:hAnsi="Times New Roman"/>
          <w:sz w:val="15"/>
          <w:szCs w:val="15"/>
          <w:i w:val="1"/>
          <w:iCs w:val="1"/>
          <w:color w:val="auto"/>
        </w:rPr>
        <w:t xml:space="preserve">Financing </w:t>
      </w:r>
      <w:r>
        <w:rPr>
          <w:rFonts w:ascii="Times New Roman" w:cs="Times New Roman" w:eastAsia="Times New Roman" w:hAnsi="Times New Roman"/>
          <w:sz w:val="15"/>
          <w:szCs w:val="15"/>
          <w:color w:val="auto"/>
        </w:rPr>
        <w:t>section of this footnote and</w:t>
      </w:r>
      <w:r>
        <w:rPr>
          <w:rFonts w:ascii="Times New Roman" w:cs="Times New Roman" w:eastAsia="Times New Roman" w:hAnsi="Times New Roman"/>
          <w:sz w:val="15"/>
          <w:szCs w:val="15"/>
          <w:i w:val="1"/>
          <w:iCs w:val="1"/>
          <w:color w:val="auto"/>
        </w:rPr>
        <w:t xml:space="preserve"> Note 30 - Subsequent events </w:t>
      </w:r>
      <w:r>
        <w:rPr>
          <w:rFonts w:ascii="Times New Roman" w:cs="Times New Roman" w:eastAsia="Times New Roman" w:hAnsi="Times New Roman"/>
          <w:sz w:val="15"/>
          <w:szCs w:val="15"/>
          <w:color w:val="auto"/>
        </w:rPr>
        <w:t>for more details.</w:t>
      </w:r>
    </w:p>
    <w:p>
      <w:pPr>
        <w:spacing w:after="0" w:line="2" w:lineRule="exact"/>
        <w:rPr>
          <w:rFonts w:ascii="Times New Roman" w:cs="Times New Roman" w:eastAsia="Times New Roman" w:hAnsi="Times New Roman"/>
          <w:sz w:val="15"/>
          <w:szCs w:val="15"/>
          <w:color w:val="auto"/>
        </w:rPr>
      </w:pPr>
    </w:p>
    <w:p>
      <w:pPr>
        <w:ind w:left="980" w:hanging="127"/>
        <w:spacing w:after="0"/>
        <w:tabs>
          <w:tab w:leader="none" w:pos="9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17, 2021 and March 23, 2021, Polestar entered into two financial undertaking agreements with Volvo Cars related to investments required prior to</w:t>
      </w:r>
    </w:p>
    <w:p>
      <w:pPr>
        <w:sectPr>
          <w:pgSz w:w="11900" w:h="16838" w:orient="portrait"/>
          <w:cols w:equalWidth="0" w:num="1">
            <w:col w:w="11260"/>
          </w:cols>
          <w:pgMar w:left="320" w:top="104" w:right="319" w:bottom="1440" w:gutter="0" w:footer="0" w:header="0"/>
        </w:sectPr>
      </w:pPr>
    </w:p>
    <w:p>
      <w:pPr>
        <w:jc w:val="center"/>
        <w:ind w:left="280"/>
        <w:spacing w:after="0" w:line="224" w:lineRule="auto"/>
        <w:rPr>
          <w:sz w:val="20"/>
          <w:szCs w:val="20"/>
          <w:color w:val="auto"/>
        </w:rPr>
      </w:pPr>
      <w:r>
        <w:rPr>
          <w:rFonts w:ascii="Times New Roman" w:cs="Times New Roman" w:eastAsia="Times New Roman" w:hAnsi="Times New Roman"/>
          <w:sz w:val="15"/>
          <w:szCs w:val="15"/>
          <w:color w:val="auto"/>
        </w:rPr>
        <w:t>PS3</w:t>
      </w:r>
    </w:p>
    <w:p>
      <w:pPr>
        <w:spacing w:after="0" w:line="20" w:lineRule="exact"/>
        <w:rPr>
          <w:sz w:val="20"/>
          <w:szCs w:val="20"/>
          <w:color w:val="auto"/>
        </w:rPr>
      </w:pPr>
      <w:r>
        <w:rPr>
          <w:sz w:val="20"/>
          <w:szCs w:val="20"/>
          <w:color w:val="auto"/>
        </w:rPr>
        <w:br w:type="column"/>
      </w:r>
    </w:p>
    <w:p>
      <w:pPr>
        <w:jc w:val="both"/>
        <w:ind w:right="80"/>
        <w:spacing w:after="0" w:line="209" w:lineRule="auto"/>
        <w:rPr>
          <w:sz w:val="20"/>
          <w:szCs w:val="20"/>
          <w:color w:val="auto"/>
        </w:rPr>
      </w:pPr>
      <w:r>
        <w:rPr>
          <w:rFonts w:ascii="Times New Roman" w:cs="Times New Roman" w:eastAsia="Times New Roman" w:hAnsi="Times New Roman"/>
          <w:sz w:val="15"/>
          <w:szCs w:val="15"/>
          <w:color w:val="auto"/>
        </w:rPr>
        <w:t>production of the PS3 in Volvo Cars' plant in Ridgeville, South Carolina. Under the first agreement, Volvo Cars agreed to invest $49,969 in common equipment that will be utilized in the production of both the PS3 and certain Volvo Cars branded vehicles and Polestar committed to pay Volvo Cars for its share of use of the</w:t>
      </w:r>
    </w:p>
    <w:p>
      <w:pPr>
        <w:spacing w:after="0" w:line="1" w:lineRule="exact"/>
        <w:rPr>
          <w:sz w:val="20"/>
          <w:szCs w:val="20"/>
          <w:color w:val="auto"/>
        </w:rPr>
      </w:pPr>
    </w:p>
    <w:p>
      <w:pPr>
        <w:sectPr>
          <w:pgSz w:w="11900" w:h="16838" w:orient="portrait"/>
          <w:cols w:equalWidth="0" w:num="2">
            <w:col w:w="540" w:space="460"/>
            <w:col w:w="10260"/>
          </w:cols>
          <w:pgMar w:left="320" w:top="104" w:right="319" w:bottom="1440" w:gutter="0" w:footer="0" w:header="0"/>
          <w:type w:val="continuous"/>
        </w:sectPr>
      </w:pPr>
    </w:p>
    <w:p>
      <w:pPr>
        <w:jc w:val="both"/>
        <w:ind w:left="1000" w:right="80"/>
        <w:spacing w:after="0" w:line="204" w:lineRule="auto"/>
        <w:rPr>
          <w:sz w:val="20"/>
          <w:szCs w:val="20"/>
          <w:color w:val="auto"/>
        </w:rPr>
      </w:pPr>
      <w:r>
        <w:rPr>
          <w:rFonts w:ascii="Times New Roman" w:cs="Times New Roman" w:eastAsia="Times New Roman" w:hAnsi="Times New Roman"/>
          <w:sz w:val="15"/>
          <w:szCs w:val="15"/>
          <w:color w:val="auto"/>
        </w:rPr>
        <w:t>common equipment via piece price of each PS3 produced. Under the second agreement, Volvo Cars agreed to invest $40,451 in PS3 unique equipment that will be utilized in the production of only the PS3 and Polestar committed to pay Volvo Cars for use of the PS3 unique equipment via piece price of each PS3 produced. Both agreements subject Polestar to making a lump sum payment to Volvo Cars in the event that Volvo Cars' investment costs are not recovered prior to the end of</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production of the PS3.</w:t>
      </w:r>
    </w:p>
    <w:p>
      <w:pPr>
        <w:sectPr>
          <w:pgSz w:w="11900" w:h="16838" w:orient="portrait"/>
          <w:cols w:equalWidth="0" w:num="1">
            <w:col w:w="11260"/>
          </w:cols>
          <w:pgMar w:left="320" w:top="104" w:right="319" w:bottom="1440" w:gutter="0" w:footer="0" w:header="0"/>
          <w:type w:val="continuous"/>
        </w:sectPr>
      </w:pPr>
    </w:p>
    <w:p>
      <w:pPr>
        <w:spacing w:after="0" w:line="20" w:lineRule="exact"/>
        <w:rPr>
          <w:sz w:val="20"/>
          <w:szCs w:val="20"/>
          <w:color w:val="auto"/>
        </w:rPr>
      </w:pPr>
    </w:p>
    <w:p>
      <w:pPr>
        <w:jc w:val="both"/>
        <w:ind w:left="1000" w:right="100" w:hanging="147"/>
        <w:spacing w:after="0" w:line="219" w:lineRule="auto"/>
        <w:tabs>
          <w:tab w:leader="none" w:pos="99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2023, Polestar entered into a framework agreement with Geely and Renault Korea Motors Co., Ltd .("RKM") related to the production of the PS4 in RKM's plant in Busan, South Korea for sale in South Korea, Canada, and the United States. Under the agreement, Polestar agreed to pay RKM per vehicle produced based on a cost-plus methodology inclusive of cost components such as bill of materials, manufacturing service, long-lived asset, and outbound logistics fees. The agreement includes a purchase volume commitments for each year during the vehicle's lifecycle and Polestar is required to pay RKM compensation each year if the purchase volume commitment is not met. Between signing of the agreement and 2026, Polestar, Geely, and RKM are committed to invest approximately $242,000 to prepare the plant for production of the PS4. Polestar's share of the commitments that are required to be paid outside of piece price of each PS4 produced total approximately $200,000 and approximately $38,000 are required to be paid in piece price. The remaining commitment will be paid by Geely.</w:t>
      </w:r>
    </w:p>
    <w:p>
      <w:pPr>
        <w:spacing w:after="0" w:line="2" w:lineRule="exact"/>
        <w:rPr>
          <w:rFonts w:ascii="Times New Roman" w:cs="Times New Roman" w:eastAsia="Times New Roman" w:hAnsi="Times New Roman"/>
          <w:sz w:val="15"/>
          <w:szCs w:val="15"/>
          <w:color w:val="auto"/>
        </w:rPr>
      </w:pPr>
    </w:p>
    <w:p>
      <w:pPr>
        <w:jc w:val="both"/>
        <w:ind w:left="1000" w:right="80" w:hanging="147"/>
        <w:spacing w:after="0" w:line="209" w:lineRule="auto"/>
        <w:tabs>
          <w:tab w:leader="none" w:pos="99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17, 2023 and July 24, 2023, Polestar entered into two manufacturing and vehicle supply agreements with Geely related to production of the PS4 in Geely's plant in Hangzhou, China for sale in and outside of China. Under the agreements, Polestar agreed to pay Geely per vehicle produced based on a cost-plus</w:t>
      </w:r>
    </w:p>
    <w:tbl>
      <w:tblPr>
        <w:tblLayout w:type="fixed"/>
        <w:tblInd w:w="0" w:type="dxa"/>
        <w:tblCellMar>
          <w:top w:w="0" w:type="dxa"/>
          <w:left w:w="0" w:type="dxa"/>
          <w:bottom w:w="0" w:type="dxa"/>
          <w:right w:w="0" w:type="dxa"/>
        </w:tblCellMar>
      </w:tblPr>
      <w:tr>
        <w:trPr>
          <w:trHeight w:val="147"/>
        </w:trPr>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PS4</w:t>
            </w:r>
          </w:p>
        </w:tc>
        <w:tc>
          <w:tcPr>
            <w:tcW w:w="103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5"/>
                <w:szCs w:val="15"/>
                <w:color w:val="auto"/>
              </w:rPr>
              <w:t>methodology inclusive of cost components such as bill of materials, manufacturing service, and outbound logistics fees. The agreements include purchase volume</w:t>
            </w:r>
          </w:p>
        </w:tc>
        <w:tc>
          <w:tcPr>
            <w:tcW w:w="0" w:type="dxa"/>
            <w:vAlign w:val="bottom"/>
          </w:tcPr>
          <w:p>
            <w:pPr>
              <w:spacing w:after="0"/>
              <w:rPr>
                <w:sz w:val="1"/>
                <w:szCs w:val="1"/>
                <w:color w:val="auto"/>
              </w:rPr>
            </w:pPr>
          </w:p>
        </w:tc>
      </w:tr>
      <w:tr>
        <w:trPr>
          <w:trHeight w:val="118"/>
        </w:trPr>
        <w:tc>
          <w:tcPr>
            <w:tcW w:w="940" w:type="dxa"/>
            <w:vAlign w:val="bottom"/>
            <w:gridSpan w:val="2"/>
            <w:vMerge w:val="continue"/>
          </w:tcPr>
          <w:p>
            <w:pPr>
              <w:spacing w:after="0"/>
              <w:rPr>
                <w:sz w:val="10"/>
                <w:szCs w:val="10"/>
                <w:color w:val="auto"/>
              </w:rPr>
            </w:pPr>
          </w:p>
        </w:tc>
        <w:tc>
          <w:tcPr>
            <w:tcW w:w="10320" w:type="dxa"/>
            <w:vAlign w:val="bottom"/>
            <w:gridSpan w:val="2"/>
            <w:vMerge w:val="restart"/>
          </w:tcPr>
          <w:p>
            <w:pPr>
              <w:ind w:left="60"/>
              <w:spacing w:after="0" w:line="154" w:lineRule="exact"/>
              <w:rPr>
                <w:sz w:val="20"/>
                <w:szCs w:val="20"/>
                <w:color w:val="auto"/>
              </w:rPr>
            </w:pPr>
            <w:r>
              <w:rPr>
                <w:rFonts w:ascii="Times New Roman" w:cs="Times New Roman" w:eastAsia="Times New Roman" w:hAnsi="Times New Roman"/>
                <w:sz w:val="15"/>
                <w:szCs w:val="15"/>
                <w:color w:val="auto"/>
              </w:rPr>
              <w:t>commitments for each year during the vehicle's lifecycle. Polestar is required to pay Geely compensation for the deficit between the actual volume purchased during</w:t>
            </w:r>
          </w:p>
        </w:tc>
        <w:tc>
          <w:tcPr>
            <w:tcW w:w="0" w:type="dxa"/>
            <w:vAlign w:val="bottom"/>
          </w:tcPr>
          <w:p>
            <w:pPr>
              <w:spacing w:after="0"/>
              <w:rPr>
                <w:sz w:val="1"/>
                <w:szCs w:val="1"/>
                <w:color w:val="auto"/>
              </w:rPr>
            </w:pPr>
          </w:p>
        </w:tc>
      </w:tr>
      <w:tr>
        <w:trPr>
          <w:trHeight w:val="35"/>
        </w:trPr>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3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2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5"/>
                <w:szCs w:val="15"/>
                <w:color w:val="auto"/>
              </w:rPr>
              <w:t>the year and 90% of Polestar's fixed reserved volume for the year. Polestar's fixed reserve volume for each year is negotiated and agreed upon in November of the</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2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5"/>
                <w:szCs w:val="15"/>
                <w:color w:val="auto"/>
              </w:rPr>
              <w:t>year prior.</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120" w:type="dxa"/>
            <w:vAlign w:val="bottom"/>
          </w:tcPr>
          <w:p>
            <w:pPr>
              <w:ind w:left="4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3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5"/>
                <w:szCs w:val="15"/>
                <w:color w:val="auto"/>
              </w:rPr>
              <w:t>On January 17, 2022, Polestar entered into a tooling and equipment agreement with Geely related to PS4 unique equipment, tooling, and launch costs related to the</w:t>
            </w:r>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2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5"/>
                <w:szCs w:val="15"/>
                <w:color w:val="auto"/>
              </w:rPr>
              <w:t>manufacturing of the PS4. Under the agreement, Geely agreed to invest a total of $60,948 for PS4 unique equipment, tooling, and launch costs on behalf of Polestar</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2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5"/>
                <w:szCs w:val="15"/>
                <w:color w:val="auto"/>
              </w:rPr>
              <w:t>and Polestar agreed to pay Geely in seven installments at certain pre-defined milestones between contract signing and February 2024. The cost to Polestar for PS4</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32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5"/>
                <w:szCs w:val="15"/>
                <w:color w:val="auto"/>
              </w:rPr>
              <w:t>unique equipment and tooling is $39,371 and $21,577 for PS4 launch costs.</w:t>
            </w:r>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3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color w:val="auto"/>
              </w:rPr>
              <w:t>On December 23, 2021, Polestar entered into a unique vendor tooling agreement with Geely related to PS4 unique vendor tooling related to the manufacturing of the</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2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5"/>
                <w:szCs w:val="15"/>
                <w:color w:val="auto"/>
              </w:rPr>
              <w:t>PS4. Under the agreement, Geely agreed to invest a maximum of $83,646 for PS4 unique vendor tooling on behalf of Polestar and Polestar agreed to pay Geely</w:t>
            </w: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monthly as costs are incurred.</w:t>
            </w:r>
          </w:p>
        </w:tc>
        <w:tc>
          <w:tcPr>
            <w:tcW w:w="0" w:type="dxa"/>
            <w:vAlign w:val="bottom"/>
          </w:tcPr>
          <w:p>
            <w:pPr>
              <w:spacing w:after="0"/>
              <w:rPr>
                <w:sz w:val="1"/>
                <w:szCs w:val="1"/>
                <w:color w:val="auto"/>
              </w:rPr>
            </w:pPr>
          </w:p>
        </w:tc>
      </w:tr>
      <w:tr>
        <w:trPr>
          <w:trHeight w:val="351"/>
        </w:trPr>
        <w:tc>
          <w:tcPr>
            <w:tcW w:w="820" w:type="dxa"/>
            <w:vAlign w:val="bottom"/>
            <w:tcBorders>
              <w:top w:val="single" w:sz="8" w:color="auto"/>
            </w:tcBorders>
            <w:shd w:val="clear" w:color="auto" w:fill="DBDBDB"/>
          </w:tcPr>
          <w:p>
            <w:pPr>
              <w:spacing w:after="0"/>
              <w:rPr>
                <w:sz w:val="24"/>
                <w:szCs w:val="24"/>
                <w:color w:val="auto"/>
              </w:rPr>
            </w:pPr>
          </w:p>
        </w:tc>
        <w:tc>
          <w:tcPr>
            <w:tcW w:w="120" w:type="dxa"/>
            <w:vAlign w:val="bottom"/>
            <w:tcBorders>
              <w:top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240" w:type="dxa"/>
            <w:vAlign w:val="bottom"/>
            <w:tcBorders>
              <w:top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5"/>
                <w:szCs w:val="15"/>
                <w:color w:val="auto"/>
              </w:rPr>
              <w:t>On July 26, 2022, Polestar entered into a vehicle supply agreement with AECQ related to the production of PS5 prototypes. Under the agreement, AECQ agreed to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gridSpan w:val="2"/>
            <w:shd w:val="clear" w:color="auto" w:fill="DBDBDB"/>
          </w:tcPr>
          <w:p>
            <w:pPr>
              <w:ind w:left="280"/>
              <w:spacing w:after="0" w:line="162" w:lineRule="exact"/>
              <w:rPr>
                <w:sz w:val="20"/>
                <w:szCs w:val="20"/>
                <w:color w:val="auto"/>
              </w:rPr>
            </w:pPr>
            <w:r>
              <w:rPr>
                <w:rFonts w:ascii="Times New Roman" w:cs="Times New Roman" w:eastAsia="Times New Roman" w:hAnsi="Times New Roman"/>
                <w:sz w:val="15"/>
                <w:szCs w:val="15"/>
                <w:color w:val="auto"/>
              </w:rPr>
              <w:t>PS5</w:t>
            </w:r>
          </w:p>
        </w:tc>
        <w:tc>
          <w:tcPr>
            <w:tcW w:w="10240" w:type="dxa"/>
            <w:vAlign w:val="bottom"/>
            <w:shd w:val="clear" w:color="auto" w:fill="DBDBDB"/>
          </w:tcPr>
          <w:p>
            <w:pPr>
              <w:ind w:left="60"/>
              <w:spacing w:after="0" w:line="162" w:lineRule="exact"/>
              <w:rPr>
                <w:sz w:val="20"/>
                <w:szCs w:val="20"/>
                <w:color w:val="auto"/>
              </w:rPr>
            </w:pPr>
            <w:r>
              <w:rPr>
                <w:rFonts w:ascii="Times New Roman" w:cs="Times New Roman" w:eastAsia="Times New Roman" w:hAnsi="Times New Roman"/>
                <w:sz w:val="15"/>
                <w:szCs w:val="15"/>
                <w:color w:val="auto"/>
              </w:rPr>
              <w:t>manufacture and sell Polestar prototypes of the PS5 for a total cost of $25,398 that was determined under a cost-plus methodology. On February 3, 2023, the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240" w:type="dxa"/>
            <w:vAlign w:val="bottom"/>
            <w:shd w:val="clear" w:color="auto" w:fill="DBDBDB"/>
          </w:tcPr>
          <w:p>
            <w:pPr>
              <w:ind w:left="60"/>
              <w:spacing w:after="0" w:line="151" w:lineRule="exact"/>
              <w:rPr>
                <w:sz w:val="20"/>
                <w:szCs w:val="20"/>
                <w:color w:val="auto"/>
              </w:rPr>
            </w:pPr>
            <w:r>
              <w:rPr>
                <w:rFonts w:ascii="Times New Roman" w:cs="Times New Roman" w:eastAsia="Times New Roman" w:hAnsi="Times New Roman"/>
                <w:sz w:val="15"/>
                <w:szCs w:val="15"/>
                <w:color w:val="auto"/>
              </w:rPr>
              <w:t>agreement was amended to change the timing and composition of prototypes, including adding production for spare parts and components, and increased the 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240" w:type="dxa"/>
            <w:vAlign w:val="bottom"/>
            <w:tcBorders>
              <w:bottom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15"/>
                <w:szCs w:val="15"/>
                <w:color w:val="auto"/>
              </w:rPr>
              <w:t>cost to $25,783. On December 1, 2023, the agreement was amended again for similar reasons and increased the total cost to $27,290.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112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29 - Commitments and contingencies</w:t>
            </w:r>
            <w:r>
              <w:rPr>
                <w:rFonts w:ascii="Times New Roman" w:cs="Times New Roman" w:eastAsia="Times New Roman" w:hAnsi="Times New Roman"/>
                <w:sz w:val="15"/>
                <w:szCs w:val="15"/>
                <w:color w:val="auto"/>
              </w:rPr>
              <w:t xml:space="preserve"> for details on commitments and contingencies related to manufacturing of Polestar vehicles.</w:t>
            </w:r>
          </w:p>
        </w:tc>
        <w:tc>
          <w:tcPr>
            <w:tcW w:w="0" w:type="dxa"/>
            <w:vAlign w:val="bottom"/>
          </w:tcPr>
          <w:p>
            <w:pPr>
              <w:spacing w:after="0"/>
              <w:rPr>
                <w:sz w:val="1"/>
                <w:szCs w:val="1"/>
                <w:color w:val="auto"/>
              </w:rPr>
            </w:pPr>
          </w:p>
        </w:tc>
      </w:tr>
      <w:tr>
        <w:trPr>
          <w:trHeight w:val="556"/>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2"/>
          </w:tcPr>
          <w:p>
            <w:pPr>
              <w:ind w:left="4540"/>
              <w:spacing w:after="0"/>
              <w:rPr>
                <w:sz w:val="20"/>
                <w:szCs w:val="20"/>
                <w:color w:val="auto"/>
              </w:rPr>
            </w:pPr>
            <w:r>
              <w:rPr>
                <w:rFonts w:ascii="Times New Roman" w:cs="Times New Roman" w:eastAsia="Times New Roman" w:hAnsi="Times New Roman"/>
                <w:sz w:val="15"/>
                <w:szCs w:val="15"/>
                <w:color w:val="auto"/>
              </w:rPr>
              <w:t>F-60</w:t>
            </w:r>
          </w:p>
        </w:tc>
        <w:tc>
          <w:tcPr>
            <w:tcW w:w="0" w:type="dxa"/>
            <w:vAlign w:val="bottom"/>
          </w:tcPr>
          <w:p>
            <w:pPr>
              <w:spacing w:after="0"/>
              <w:rPr>
                <w:sz w:val="1"/>
                <w:szCs w:val="1"/>
                <w:color w:val="auto"/>
              </w:rPr>
            </w:pPr>
          </w:p>
        </w:tc>
      </w:tr>
      <w:tr>
        <w:trPr>
          <w:trHeight w:val="73"/>
        </w:trPr>
        <w:tc>
          <w:tcPr>
            <w:tcW w:w="8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7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7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Production of the PS5 and PS6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Production of the PS5 and PS6 is intended to occur in a manufacturing plant owned by Geely, via its AECQ subsidiary, in Chongqing, China. During the year ended December 31,</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2021, Polestar and Geely established a steering committee to oversee decisions relevant to the plant, including planning, design, construction, engineering management of the plant. Following the establishment of the steering committee, Polestar began providing digital, human resources, indirect procurement, finance, logistics, plant management, blue collar launch, product launch, and plant launch services (collectively, the "Plant Operation Services") related to the setup of Geely's plant. Since the year ended December 31, 2021 and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prior to December 20, 2023, these services were provided to Geely without an agreement of commercial and legal terms (i.e., a contract) between Polestar and Geely; resulting in Polestar providing the Plant Operation Services to Geely at its own risk and without rights to consideration from Geely. All costs incurred by Polestar during the years ended December 31, 2023, 2022, and 2021 that were associated with providing the Plant Operation Services were expensed as incurred under their respective functional line items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Consolidated Statement of Loss and Comprehensive Loss.</w:t>
      </w:r>
    </w:p>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On December 20, 2023, Polestar and Geely entered into an agreement under which Geely agreed to compensate Polestar for the Plant Operation Services provided by Polestar during the years ended December 31, 2023, 2022, and 2021. The consideration received by Polestar upon signing of the service agreement amounted to $25,202 and was calculated utilizing</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a cost-plus methodology. The consideration received was recognized in Other operating income (expense), net in the Consolidated Statement of Loss and Comprehensive Loss for the year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and distribution</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For the years ended December 31, 2023, 2022, and 2021, the Group sold software technology, vehicles, prototype engines and carbon credits to Geely and Volvo Cars. The Group leverages Volvo Cars sales and services network for go-to-market strategies and dealer support to assist with tasks, which include agreements related to distribution and outbound logistics, delivery of vehicles and other products and global customer service. In 2023, the Group had new agreements in place to begin selling vehicles and services to Polestar</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 xml:space="preserve">Technology, a strategic joint venture for the China market with the technology company Xingji Meizu. Polestar leverages Xingji Meizu software and consumer electronics hardware development to strengthen Polestar's offer in the China market. Refer to </w:t>
      </w:r>
      <w:r>
        <w:rPr>
          <w:rFonts w:ascii="Times New Roman" w:cs="Times New Roman" w:eastAsia="Times New Roman" w:hAnsi="Times New Roman"/>
          <w:sz w:val="15"/>
          <w:szCs w:val="15"/>
          <w:i w:val="1"/>
          <w:iCs w:val="1"/>
          <w:color w:val="auto"/>
        </w:rPr>
        <w:t>Note 10 - Investment in associates</w:t>
      </w:r>
      <w:r>
        <w:rPr>
          <w:rFonts w:ascii="Times New Roman" w:cs="Times New Roman" w:eastAsia="Times New Roman" w:hAnsi="Times New Roman"/>
          <w:sz w:val="15"/>
          <w:szCs w:val="15"/>
          <w:color w:val="auto"/>
        </w:rPr>
        <w:t xml:space="preserve"> for more information regarding the agreements with Polestar Technology.</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Group sells vehicles to Volvo Cars and end customers while end customers can choose to finance the vehicles via Polestar's related party, Volvofinans Bank AB (“Volvofinans Bank”).</w:t>
      </w:r>
    </w:p>
    <w:p>
      <w:pPr>
        <w:spacing w:after="0" w:line="2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Polestar and Volvo Car Financial Services US LLC, doing business as Polestar Financial Services (“PFS”), entered into residual value guarantee agreements with Bank of America, National Association (“BANA”), a third party, in the US. BANA sought to obtain economic protection against degradation in the residual value of leased vehicles it funds,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agreed to provide such protection as a service for a fee.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technology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While Polestar has its own information technology (“IT”) department, Polestar operates in a shared IT environment with Volvo Cars and has service and software license agreements</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related to the support, maintenance, and operation of IT processes. These IT services include resource planning systems, operations, infrastructure, networking, communications, collaboration, integration, and application hosting.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support</w:t>
      </w:r>
    </w:p>
    <w:p>
      <w:pPr>
        <w:spacing w:after="0" w:line="8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5"/>
          <w:szCs w:val="15"/>
          <w:color w:val="auto"/>
        </w:rPr>
        <w:t>The Group has various other related party agreements in place with Volvo Cars. These are primarily service agreements that relate to support for corporate or back-office functions, including human resources, legal, accounting, and logistics. Human resources support services relate to activities associated with payroll administration, training and workforce administration. Legal support services include routine work associated with patent and brand registrations and competition law. Accounting support services include statutory finance</w:t>
      </w:r>
    </w:p>
    <w:p>
      <w:pPr>
        <w:spacing w:after="0"/>
        <w:rPr>
          <w:sz w:val="20"/>
          <w:szCs w:val="20"/>
          <w:color w:val="auto"/>
        </w:rPr>
      </w:pPr>
      <w:r>
        <w:rPr>
          <w:rFonts w:ascii="Times New Roman" w:cs="Times New Roman" w:eastAsia="Times New Roman" w:hAnsi="Times New Roman"/>
          <w:sz w:val="15"/>
          <w:szCs w:val="15"/>
          <w:color w:val="auto"/>
        </w:rPr>
        <w:t>administration, accounting, and financial reporting for sales units.</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Polestar outsources inbound and outbound logistics related to the PS2 to Volvo Cars, since the PS2 is manufactured at Volvo Cars' Taizhou plant. Inbound logistics relate to supplier shipments to various production sites; outbound logistics relate to the transport of vehicles to end customers. Polestar outsources inbound logistics related to the PS4 to Geely, since the PS4 in manufactured at Geely's Hangzhou Bay plant. The Group outsources customs handling to Volvo Cars as it does not currently have its own customs department. Warranty</w:t>
      </w:r>
    </w:p>
    <w:p>
      <w:pPr>
        <w:spacing w:after="0"/>
        <w:rPr>
          <w:sz w:val="20"/>
          <w:szCs w:val="20"/>
          <w:color w:val="auto"/>
        </w:rPr>
      </w:pPr>
      <w:r>
        <w:rPr>
          <w:rFonts w:ascii="Times New Roman" w:cs="Times New Roman" w:eastAsia="Times New Roman" w:hAnsi="Times New Roman"/>
          <w:sz w:val="15"/>
          <w:szCs w:val="15"/>
          <w:color w:val="auto"/>
        </w:rPr>
        <w:t>claims handling is also outsourced to Volvo Cars.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Working capital loans</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In May 2021, the Group entered into a working capital credit facility with Volvo Cars Financial Services UK. The credit facility is renewed each 12-month period and is denominated in GBP. Interest is calculated at the floating Bank of England ("BoE") base rate plus 2-2.5%, settled monthly. The facility is partially secured by the underlying assets. As of December 31, 2023 and 2022, $44,877 and $17,132 of this financing arrangement remained outstanding, respectively, which is included in Interest-bearing current liabilities - related</w:t>
      </w:r>
    </w:p>
    <w:p>
      <w:pPr>
        <w:spacing w:after="0"/>
        <w:rPr>
          <w:sz w:val="20"/>
          <w:szCs w:val="20"/>
          <w:color w:val="auto"/>
        </w:rPr>
      </w:pPr>
      <w:r>
        <w:rPr>
          <w:rFonts w:ascii="Times New Roman" w:cs="Times New Roman" w:eastAsia="Times New Roman" w:hAnsi="Times New Roman"/>
          <w:sz w:val="15"/>
          <w:szCs w:val="15"/>
          <w:color w:val="auto"/>
        </w:rPr>
        <w:t>parties on the Consolidated Statement of Financial Position.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Convertible instruments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3, 2022 the Group entered into a credit facility agreement with Volvo Cars providing available credit of up to $800,000; originally terminating on May 3, 2024. The</w:t>
      </w:r>
    </w:p>
    <w:p>
      <w:pPr>
        <w:spacing w:after="0" w:line="6"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credit facility can be drawn upon once a month and is utilizable for general corporate purposes. Interest is calculated at the floating six-month SOFR rate plus 4.9% per annum. Prior to June 30, 2027,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participating institutional investors. Under IAS 32 and IFRS 9, Volvo Cars'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7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Volvo Cars' conversion right are not clearly and closely related to that of the host debt instrument because the principal value of Volvo Cars' conversion right depends on (1) whether or not the Group conducts a qualified equity offering to investors at a market discount and (2) the time-value of money associated with settlement of the liability earlier than June 30, 2027. As such, the financial liability related to Volvo Cars' conversion right is carried at fair value with subsequent changes in fair value recognized in the Consolidated Statement of</w:t>
      </w:r>
    </w:p>
    <w:p>
      <w:pPr>
        <w:spacing w:after="0" w:line="2"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5"/>
          <w:szCs w:val="15"/>
          <w:color w:val="auto"/>
        </w:rPr>
        <w:t>Loss and Comprehensive Loss at each reporting date. On November 8, 2023, the credit facility agreement was amended to increase the overall credit capacity to $1,000,000 and extend the termination date to June 30, 2027. As a result of the amended terms, Polestar recalculated the carrying amount of the liability as the present value of the modified contractual cash flows and recognized a modification loss of $7,553 within Finance expense. As of December 31, 2023 and 2022, the Group had principal draws of $1,000,000 and</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$0 respectively, outstanding under the facility and the fair value of the financial liability related to Volvo Cars' conversion right was $0 and $0, respectively. The modified carrying value of the liability as of December 31, 2023 was $1,007,194.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8, 2023, the Group entered into a credit facility agreement with Geely providing available credit of up to $250,000; terminating on June 30, 2027. Other than the</w:t>
      </w:r>
    </w:p>
    <w:p>
      <w:pPr>
        <w:spacing w:after="0" w:line="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amount of credit available, the credit facility agreement with Geely maintains terms that are identical to the amended credit facility agreement with Volvo Cars. As of December 31, 2023 the Group had principal draws of $250,000 outstanding under the facility and the fair value of the financial liability related to Geely's conversion right was $0.</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As of December 31, 2023 the total principal balance outstanding under the facilities with Volvo Cars and Geely is reflected within Other non-current interest-bearing liabilities - related parties.</w:t>
      </w:r>
    </w:p>
    <w:p>
      <w:pPr>
        <w:spacing w:after="0" w:line="2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 xml:space="preserve">Of the $35,231 in Convertible Notes issued on July 28, 2021, $9,531 was issued to various entities affiliated with Geely. As of December 31, 2021, all $9,531 of the Convertible Notes were outstanding. Upon the Closing of the merger with GGI, the Convertible Notes were converted into 4,306,466 Class A Shares. Refer to </w:t>
      </w:r>
      <w:r>
        <w:rPr>
          <w:rFonts w:ascii="Times New Roman" w:cs="Times New Roman" w:eastAsia="Times New Roman" w:hAnsi="Times New Roman"/>
          <w:sz w:val="15"/>
          <w:szCs w:val="15"/>
          <w:i w:val="1"/>
          <w:iCs w:val="1"/>
          <w:color w:val="auto"/>
        </w:rPr>
        <w:t>Note 1 - Overview and basis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preparation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Note 22 - Equity </w:t>
      </w:r>
      <w:r>
        <w:rPr>
          <w:rFonts w:ascii="Times New Roman" w:cs="Times New Roman" w:eastAsia="Times New Roman" w:hAnsi="Times New Roman"/>
          <w:sz w:val="15"/>
          <w:szCs w:val="15"/>
          <w:color w:val="auto"/>
        </w:rPr>
        <w:t>for further details.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financing instruments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8, 2023, Polestar and Geely entered into an asset transfer agreement which, when considered together with certain other agreements not signed until after December 31,</w:t>
      </w:r>
    </w:p>
    <w:p>
      <w:pPr>
        <w:spacing w:after="0" w:line="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2023, was designed to provide financing to Polestar in exchange for Polestar transferring legal ownership of certain Polestar unique tooling and equipment that will be used in the manufacturing of the PS3 (the "PS3 Tooling and Equipment") to Geely. The agreements were as follows:</w:t>
      </w:r>
    </w:p>
    <w:p>
      <w:pPr>
        <w:spacing w:after="0" w:line="44" w:lineRule="exact"/>
        <w:rPr>
          <w:sz w:val="20"/>
          <w:szCs w:val="20"/>
          <w:color w:val="auto"/>
        </w:rPr>
      </w:pPr>
    </w:p>
    <w:p>
      <w:pPr>
        <w:jc w:val="both"/>
        <w:ind w:left="840" w:hanging="281"/>
        <w:spacing w:after="0" w:line="223" w:lineRule="auto"/>
        <w:tabs>
          <w:tab w:leader="none" w:pos="8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and Geely entered into an asset transfer agreement on December 8, 2023 under which Geely agreed to purchase the PS3 Tooling and Equipment for $156,056. The PS3 Tooling and Equipment sold to Geely included (1) tooling and equipment at certain vendors’ premises and (2) unique type bound tooling and equipment located in Volvo Cars' plant. The purchase price was comprised of (1) Polestar's book value of the PS3 Tooling and Equipment equal to $149,470 (the "Base") and (2) an estimate of the cost to Polestar for future changes or modifications to the PS3 Tooling and Equipment equal to $6,586 (the "Cap"). The amount of the Cap not utilized by Polestar must be repaid by Polestar to Geely at the end of the useful life of the PS3. During and at the end of the useful life of the PS3, Polestar has the right to repurchase the PS3 Tooling and Equipment at Geely's book value. In the event the user right agreement (discussed below) is terminated, Polestar is obligated to repurchase the PS3 Tooling and Equipment at the amount not reimbursed to Geely under the user right agreement.</w:t>
      </w:r>
    </w:p>
    <w:p>
      <w:pPr>
        <w:spacing w:after="0" w:line="58" w:lineRule="exact"/>
        <w:rPr>
          <w:rFonts w:ascii="Times New Roman" w:cs="Times New Roman" w:eastAsia="Times New Roman" w:hAnsi="Times New Roman"/>
          <w:sz w:val="15"/>
          <w:szCs w:val="15"/>
          <w:color w:val="auto"/>
        </w:rPr>
      </w:pPr>
    </w:p>
    <w:p>
      <w:pPr>
        <w:jc w:val="both"/>
        <w:ind w:left="840" w:hanging="281"/>
        <w:spacing w:after="0" w:line="230" w:lineRule="auto"/>
        <w:tabs>
          <w:tab w:leader="none" w:pos="8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Geely, and Volvo Cars were committed to enter into a user right agreement under which Geely will grant Volvo Cars the right to use to PS3 Tooling and Equipment to manufacture the PS3 for Polestar in exchange for an annual user right fee from Volvo Cars equal to the Base divided by the estimated useful life of the PS3 (i.e., 6 years). In the event Polestar utilizes the Cap in the future, the numerator of the annual user right fee calculation will be adjusted by Geely to add the amount of the Cap utilized by Polestar. The user right fee does not carry interest or a mark-up.</w:t>
      </w:r>
    </w:p>
    <w:p>
      <w:pPr>
        <w:spacing w:after="0" w:line="44" w:lineRule="exact"/>
        <w:rPr>
          <w:rFonts w:ascii="Times New Roman" w:cs="Times New Roman" w:eastAsia="Times New Roman" w:hAnsi="Times New Roman"/>
          <w:sz w:val="15"/>
          <w:szCs w:val="15"/>
          <w:color w:val="auto"/>
        </w:rPr>
      </w:pPr>
    </w:p>
    <w:p>
      <w:pPr>
        <w:jc w:val="both"/>
        <w:ind w:left="840" w:hanging="281"/>
        <w:spacing w:after="0" w:line="232" w:lineRule="auto"/>
        <w:tabs>
          <w:tab w:leader="none" w:pos="8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Polestar and Volvo Cars were committed enter into a manufacturing agreement under which Volvo Cars will manufacture the PS3 in its plant in Chengdu, China. Per the pricing terms of the manufacturing agreement, Polestar will repay Volvo Cars for the annual user right fee paid to Geely in the piece price of each PS3 purchased (i.e., the annual user right fee divided by the annual manufacturing volume of PS3s).</w:t>
      </w:r>
    </w:p>
    <w:p>
      <w:pPr>
        <w:spacing w:after="0" w:line="5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In accounting for the asset transfer agreement, the Group applied the guidance in IFRS 15, IFRS 16, and IFRS 9. Under IFRS 15 and IFRS 16, the transfer of the PS3 Tooling and Equipment failed to meet the definition of a sale because the PS3 Tooling and Equipment is (1) unique to Polestar and the manufacturing of the PS3, (2) Polestar maintains a right to repurchase the PS3 Tooling and Equipment during and at the end of the useful life of the PS3, and (3) Polestar has a contingent obligation to repurchase the PS3 Tooling and</w:t>
      </w:r>
    </w:p>
    <w:p>
      <w:pPr>
        <w:jc w:val="both"/>
        <w:spacing w:after="0" w:line="214" w:lineRule="auto"/>
        <w:rPr>
          <w:sz w:val="20"/>
          <w:szCs w:val="20"/>
          <w:color w:val="auto"/>
        </w:rPr>
      </w:pPr>
      <w:r>
        <w:rPr>
          <w:rFonts w:ascii="Times New Roman" w:cs="Times New Roman" w:eastAsia="Times New Roman" w:hAnsi="Times New Roman"/>
          <w:sz w:val="15"/>
          <w:szCs w:val="15"/>
          <w:color w:val="auto"/>
        </w:rPr>
        <w:t>Equipment at a value equal to Geely's purchase price less the total amount of the user right fee paid to Geely in the event the user right agreement is terminated. Further, since Polestar is required to (1) pay Volvo Cars in PS3 piece price for the annual user right fee Volvo Cars is required to pay Geely and (2) pay Geely at the end of the useful life of the PS3 for any unused amount of the Cap, the agreements together form a failed sale and lease-back transaction. In accordance with IFRS 16, the PS3 Tooling and Equipment was not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derecognized from PPE and Polestar's obligation to repay the purchase price from Geely was accounted for under IFRS 9. Per the terms of the agreement, Polestar's long-term obligation to repay Geely through Volvo Cars does not include any interest or mark-up (i.e., the amount borrowed is the exact amount which will be repaid). This transfer of proceeds from Geely did not factor for the time-value of money (e.g., in a manner similar to a discount on a bond that a third party investor would require), so the transaction was not at arm's</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length in accordance with IAS 24, </w:t>
      </w:r>
      <w:r>
        <w:rPr>
          <w:rFonts w:ascii="Times New Roman" w:cs="Times New Roman" w:eastAsia="Times New Roman" w:hAnsi="Times New Roman"/>
          <w:sz w:val="15"/>
          <w:szCs w:val="15"/>
          <w:i w:val="1"/>
          <w:iCs w:val="1"/>
          <w:color w:val="auto"/>
        </w:rPr>
        <w:t>Related Party Disclosures</w:t>
      </w:r>
      <w:r>
        <w:rPr>
          <w:rFonts w:ascii="Times New Roman" w:cs="Times New Roman" w:eastAsia="Times New Roman" w:hAnsi="Times New Roman"/>
          <w:sz w:val="15"/>
          <w:szCs w:val="15"/>
          <w:color w:val="auto"/>
        </w:rPr>
        <w:t xml:space="preserve"> ("IAS 24"), resulting in a portion of the purchase price from Geely being accounted for as a capital contribution instead of a financial liability. Accordingly, Polestar's obligation to Geely was recognized at the present value of $131,737, determined utilizing an estimated market interest rate in China of 5.2%, and the difference between the present value of Polestar's obligation and the purchase price from Geely of $25,565 was recognized as a component of Other contributed capital.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 of goods, services and other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7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Related party revenue transactions relate to product development and sales and distribution agreements discussed above. These transactions are comprised of sales of products and related goods and services, sales of software technology and performance engineered kits, sales of carbon credits and sales of prototype engines. The total revenue recognized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related party is shown in the table below:</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8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3260" w:type="dxa"/>
            <w:vAlign w:val="bottom"/>
            <w:tcBorders>
              <w:bottom w:val="single" w:sz="8" w:color="auto"/>
            </w:tcBorders>
            <w:gridSpan w:val="5"/>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20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68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6840" w:type="dxa"/>
            <w:vAlign w:val="bottom"/>
          </w:tcPr>
          <w:p>
            <w:pPr>
              <w:spacing w:after="0"/>
              <w:rPr>
                <w:sz w:val="20"/>
                <w:szCs w:val="20"/>
                <w:color w:val="auto"/>
              </w:rPr>
            </w:pPr>
            <w:r>
              <w:rPr>
                <w:rFonts w:ascii="Times New Roman" w:cs="Times New Roman" w:eastAsia="Times New Roman" w:hAnsi="Times New Roman"/>
                <w:sz w:val="15"/>
                <w:szCs w:val="15"/>
                <w:color w:val="auto"/>
              </w:rPr>
              <w:t>Volvo Cars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86,460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64,558</w:t>
            </w:r>
          </w:p>
        </w:tc>
        <w:tc>
          <w:tcPr>
            <w:tcW w:w="200" w:type="dxa"/>
            <w:vAlign w:val="bottom"/>
          </w:tcPr>
          <w:p>
            <w:pPr>
              <w:spacing w:after="0"/>
              <w:rPr>
                <w:sz w:val="16"/>
                <w:szCs w:val="16"/>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79,646</w:t>
            </w:r>
          </w:p>
        </w:tc>
      </w:tr>
      <w:tr>
        <w:trPr>
          <w:trHeight w:val="197"/>
        </w:trPr>
        <w:tc>
          <w:tcPr>
            <w:tcW w:w="6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Volvofinans Bank AB</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46,319</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68,391</w:t>
            </w: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52,973</w:t>
            </w:r>
          </w:p>
        </w:tc>
      </w:tr>
      <w:tr>
        <w:trPr>
          <w:trHeight w:val="197"/>
        </w:trPr>
        <w:tc>
          <w:tcPr>
            <w:tcW w:w="6840" w:type="dxa"/>
            <w:vAlign w:val="bottom"/>
          </w:tcPr>
          <w:p>
            <w:pPr>
              <w:spacing w:after="0"/>
              <w:rPr>
                <w:sz w:val="20"/>
                <w:szCs w:val="20"/>
                <w:color w:val="auto"/>
              </w:rPr>
            </w:pPr>
            <w:r>
              <w:rPr>
                <w:rFonts w:ascii="Times New Roman" w:cs="Times New Roman" w:eastAsia="Times New Roman" w:hAnsi="Times New Roman"/>
                <w:sz w:val="15"/>
                <w:szCs w:val="15"/>
                <w:color w:val="auto"/>
              </w:rPr>
              <w:t>Wuhan Lotus Cars Co., LTD.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Geely</w:t>
            </w: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2,347</w:t>
            </w:r>
          </w:p>
        </w:tc>
      </w:tr>
      <w:tr>
        <w:trPr>
          <w:trHeight w:val="188"/>
        </w:trPr>
        <w:tc>
          <w:tcPr>
            <w:tcW w:w="6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138,674</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132,949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134,966</w:t>
            </w:r>
          </w:p>
        </w:tc>
      </w:tr>
    </w:tbl>
    <w:p>
      <w:pPr>
        <w:spacing w:after="0" w:line="14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For the year ended December 31, 2023, revenue from related parties amounted to $138,674 (5.9%) of total Revenue. For the year ended December 31, 2022, revenue from related parties amounted to $132,949 (5.4%) of total Revenue. For the year ended December 31, 2021, revenue from related parties was $134,966 (10.0%) of total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Purchases of goods, services and other</w:t>
      </w:r>
    </w:p>
    <w:p>
      <w:pPr>
        <w:spacing w:after="0" w:line="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including Polestar 2 vehicles purchased from Volvo Cars' factory in Taizhou, China and Polestar 4 vehicles purchased from Geely's Hangzhou Bay factory in Ningbo, China. Purchases of PS2 vehicles were from Geely until the change in plant ownership in November</w:t>
      </w: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2021; purchases and their related payables were from Volvo Cars subsequent to this event. Inventory cost of the Group is comprised of all costs of purchase, production charges and other expenditures incurred in bringing the inventory to its present location and condition.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Additionally, purchases from related parties include administrative costs associated with service agreements with Volvo Cars that relate to corporate or back-office functions. 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 and software related agreements are also included in administrative costs.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7"/>
        </w:trPr>
        <w:tc>
          <w:tcPr>
            <w:tcW w:w="7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total purchases of goods, services and other for each related party is shown in the table below:</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93"/>
        </w:trPr>
        <w:tc>
          <w:tcPr>
            <w:tcW w:w="50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60" w:type="dxa"/>
            <w:vAlign w:val="bottom"/>
            <w:gridSpan w:val="5"/>
          </w:tcPr>
          <w:p>
            <w:pPr>
              <w:spacing w:after="0"/>
              <w:rPr>
                <w:sz w:val="8"/>
                <w:szCs w:val="8"/>
                <w:color w:val="auto"/>
              </w:rPr>
            </w:pPr>
          </w:p>
        </w:tc>
      </w:tr>
      <w:tr>
        <w:trPr>
          <w:trHeight w:val="197"/>
        </w:trPr>
        <w:tc>
          <w:tcPr>
            <w:tcW w:w="500" w:type="dxa"/>
            <w:vAlign w:val="bottom"/>
          </w:tcPr>
          <w:p>
            <w:pPr>
              <w:spacing w:after="0"/>
              <w:rPr>
                <w:sz w:val="17"/>
                <w:szCs w:val="17"/>
                <w:color w:val="auto"/>
              </w:rPr>
            </w:pPr>
          </w:p>
        </w:tc>
        <w:tc>
          <w:tcPr>
            <w:tcW w:w="68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3260" w:type="dxa"/>
            <w:vAlign w:val="bottom"/>
            <w:tcBorders>
              <w:bottom w:val="single" w:sz="8" w:color="auto"/>
            </w:tcBorders>
            <w:gridSpan w:val="5"/>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r>
      <w:tr>
        <w:trPr>
          <w:trHeight w:val="188"/>
        </w:trPr>
        <w:tc>
          <w:tcPr>
            <w:tcW w:w="50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20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7"/>
        </w:trPr>
        <w:tc>
          <w:tcPr>
            <w:tcW w:w="500" w:type="dxa"/>
            <w:vAlign w:val="bottom"/>
          </w:tcPr>
          <w:p>
            <w:pPr>
              <w:spacing w:after="0"/>
              <w:rPr>
                <w:sz w:val="17"/>
                <w:szCs w:val="17"/>
                <w:color w:val="auto"/>
              </w:rPr>
            </w:pPr>
          </w:p>
        </w:tc>
        <w:tc>
          <w:tcPr>
            <w:tcW w:w="68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50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5"/>
                <w:szCs w:val="15"/>
                <w:color w:val="auto"/>
              </w:rPr>
              <w:t>Volvo Cars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2,341,970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2,215,643</w:t>
            </w:r>
          </w:p>
        </w:tc>
        <w:tc>
          <w:tcPr>
            <w:tcW w:w="200" w:type="dxa"/>
            <w:vAlign w:val="bottom"/>
          </w:tcPr>
          <w:p>
            <w:pPr>
              <w:spacing w:after="0"/>
              <w:rPr>
                <w:sz w:val="16"/>
                <w:szCs w:val="16"/>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558,007</w:t>
            </w:r>
          </w:p>
        </w:tc>
      </w:tr>
      <w:tr>
        <w:trPr>
          <w:trHeight w:val="197"/>
        </w:trPr>
        <w:tc>
          <w:tcPr>
            <w:tcW w:w="500" w:type="dxa"/>
            <w:vAlign w:val="bottom"/>
          </w:tcPr>
          <w:p>
            <w:pPr>
              <w:spacing w:after="0"/>
              <w:rPr>
                <w:sz w:val="17"/>
                <w:szCs w:val="17"/>
                <w:color w:val="auto"/>
              </w:rPr>
            </w:pPr>
          </w:p>
        </w:tc>
        <w:tc>
          <w:tcPr>
            <w:tcW w:w="6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Geely</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252,888</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248,553</w:t>
            </w: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1,200,295</w:t>
            </w:r>
          </w:p>
        </w:tc>
      </w:tr>
      <w:tr>
        <w:trPr>
          <w:trHeight w:val="197"/>
        </w:trPr>
        <w:tc>
          <w:tcPr>
            <w:tcW w:w="5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5"/>
                <w:szCs w:val="15"/>
                <w:color w:val="auto"/>
              </w:rPr>
              <w:t>Wuxi InfiMotion Propulsion Technology Co., Ltd.,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2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500" w:type="dxa"/>
            <w:vAlign w:val="bottom"/>
          </w:tcPr>
          <w:p>
            <w:pPr>
              <w:spacing w:after="0"/>
              <w:rPr>
                <w:sz w:val="17"/>
                <w:szCs w:val="17"/>
                <w:color w:val="auto"/>
              </w:rPr>
            </w:pPr>
          </w:p>
        </w:tc>
        <w:tc>
          <w:tcPr>
            <w:tcW w:w="6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Volvofinans Bank AB</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18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1,003</w:t>
            </w: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5,748</w:t>
            </w:r>
          </w:p>
        </w:tc>
      </w:tr>
      <w:tr>
        <w:trPr>
          <w:trHeight w:val="197"/>
        </w:trPr>
        <w:tc>
          <w:tcPr>
            <w:tcW w:w="500" w:type="dxa"/>
            <w:vAlign w:val="bottom"/>
          </w:tcPr>
          <w:p>
            <w:pPr>
              <w:spacing w:after="0"/>
              <w:rPr>
                <w:sz w:val="17"/>
                <w:szCs w:val="17"/>
                <w:color w:val="auto"/>
              </w:rPr>
            </w:pPr>
          </w:p>
        </w:tc>
        <w:tc>
          <w:tcPr>
            <w:tcW w:w="68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Other related parties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500" w:type="dxa"/>
            <w:vAlign w:val="bottom"/>
          </w:tcPr>
          <w:p>
            <w:pPr>
              <w:spacing w:after="0"/>
              <w:rPr>
                <w:sz w:val="16"/>
                <w:szCs w:val="16"/>
                <w:color w:val="auto"/>
              </w:rPr>
            </w:pPr>
          </w:p>
        </w:tc>
        <w:tc>
          <w:tcPr>
            <w:tcW w:w="684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2,602,551</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2,465,762</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1,764,050</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Cost of R&amp;D and intellectual property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Polestar entered into agreements with Volvo Cars and Geely regarding the development of technology leveraged in the development of the PS2, PS3, and PS4. In 2020, the Group</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entered into similar agreements with Volvo Cars to acquire technology leveraged in the development of the PS1, PS2, and PS3. The Group is in control of the developed product either through a license or through ownership of the IP and the recognized asset reflects the relevant proportion of Polestar Group’s interest. The recognized asset associated with these agreements as of December 31, 2023 was $1,066,766, of which acquisitions attributable to 2023 were $241,048. As of December 31, 2022, the recognized asset associated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agreements was $1,148,132, of which acquisitions attributable to 2022 were $215,532.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Amounts due to related parties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Amounts due to related parties include transactions from agreements associated with purchases of intangible assets, sales and distribution, procurement, manufacturing and other support from Volvo Cars and Geely.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spacing w:after="0"/>
              <w:rPr>
                <w:sz w:val="17"/>
                <w:szCs w:val="17"/>
                <w:color w:val="auto"/>
              </w:rPr>
            </w:pPr>
          </w:p>
        </w:tc>
        <w:tc>
          <w:tcPr>
            <w:tcW w:w="2260" w:type="dxa"/>
            <w:vAlign w:val="bottom"/>
            <w:tcBorders>
              <w:bottom w:val="single" w:sz="8" w:color="auto"/>
            </w:tcBorders>
            <w:gridSpan w:val="2"/>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20" w:type="dxa"/>
            <w:vAlign w:val="bottom"/>
          </w:tcPr>
          <w:p>
            <w:pPr>
              <w:spacing w:after="0"/>
              <w:rPr>
                <w:sz w:val="17"/>
                <w:szCs w:val="17"/>
                <w:color w:val="auto"/>
              </w:rPr>
            </w:pPr>
          </w:p>
        </w:tc>
      </w:tr>
      <w:tr>
        <w:trPr>
          <w:trHeight w:val="188"/>
        </w:trPr>
        <w:tc>
          <w:tcPr>
            <w:tcW w:w="5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22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4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Pr>
          <w:p>
            <w:pPr>
              <w:spacing w:after="0"/>
              <w:rPr>
                <w:sz w:val="16"/>
                <w:szCs w:val="16"/>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Trade payables – related parties, accrued expenses, and other current liabilities to related parties</w:t>
            </w:r>
          </w:p>
        </w:tc>
        <w:tc>
          <w:tcPr>
            <w:tcW w:w="122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4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520" w:type="dxa"/>
            <w:vAlign w:val="bottom"/>
          </w:tcPr>
          <w:p>
            <w:pPr>
              <w:spacing w:after="0"/>
              <w:rPr>
                <w:sz w:val="17"/>
                <w:szCs w:val="17"/>
                <w:color w:val="auto"/>
              </w:rPr>
            </w:pPr>
          </w:p>
        </w:tc>
      </w:tr>
      <w:tr>
        <w:trPr>
          <w:trHeight w:val="188"/>
        </w:trPr>
        <w:tc>
          <w:tcPr>
            <w:tcW w:w="500" w:type="dxa"/>
            <w:vAlign w:val="bottom"/>
          </w:tcPr>
          <w:p>
            <w:pPr>
              <w:spacing w:after="0"/>
              <w:rPr>
                <w:sz w:val="16"/>
                <w:szCs w:val="16"/>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Volvo Cars</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494,170</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1,089,144</w:t>
            </w:r>
          </w:p>
        </w:tc>
        <w:tc>
          <w:tcPr>
            <w:tcW w:w="520" w:type="dxa"/>
            <w:vAlign w:val="bottom"/>
          </w:tcPr>
          <w:p>
            <w:pPr>
              <w:spacing w:after="0"/>
              <w:rPr>
                <w:sz w:val="16"/>
                <w:szCs w:val="16"/>
                <w:color w:val="auto"/>
              </w:rPr>
            </w:pPr>
          </w:p>
        </w:tc>
      </w:tr>
      <w:tr>
        <w:trPr>
          <w:trHeight w:val="197"/>
        </w:trPr>
        <w:tc>
          <w:tcPr>
            <w:tcW w:w="500" w:type="dxa"/>
            <w:vAlign w:val="bottom"/>
          </w:tcPr>
          <w:p>
            <w:pPr>
              <w:spacing w:after="0"/>
              <w:rPr>
                <w:sz w:val="17"/>
                <w:szCs w:val="17"/>
                <w:color w:val="auto"/>
              </w:rPr>
            </w:pPr>
          </w:p>
        </w:tc>
        <w:tc>
          <w:tcPr>
            <w:tcW w:w="79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Geely</w:t>
            </w:r>
          </w:p>
        </w:tc>
        <w:tc>
          <w:tcPr>
            <w:tcW w:w="12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195,255</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70,583</w:t>
            </w:r>
          </w:p>
        </w:tc>
        <w:tc>
          <w:tcPr>
            <w:tcW w:w="520" w:type="dxa"/>
            <w:vAlign w:val="bottom"/>
          </w:tcPr>
          <w:p>
            <w:pPr>
              <w:spacing w:after="0"/>
              <w:rPr>
                <w:sz w:val="17"/>
                <w:szCs w:val="17"/>
                <w:color w:val="auto"/>
              </w:rPr>
            </w:pPr>
          </w:p>
        </w:tc>
      </w:tr>
      <w:tr>
        <w:trPr>
          <w:trHeight w:val="199"/>
        </w:trPr>
        <w:tc>
          <w:tcPr>
            <w:tcW w:w="500" w:type="dxa"/>
            <w:vAlign w:val="bottom"/>
          </w:tcPr>
          <w:p>
            <w:pPr>
              <w:spacing w:after="0"/>
              <w:rPr>
                <w:sz w:val="17"/>
                <w:szCs w:val="17"/>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Polestar Times Technology</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30,668</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r>
      <w:tr>
        <w:trPr>
          <w:trHeight w:val="645"/>
        </w:trPr>
        <w:tc>
          <w:tcPr>
            <w:tcW w:w="500" w:type="dxa"/>
            <w:vAlign w:val="bottom"/>
          </w:tcPr>
          <w:p>
            <w:pPr>
              <w:spacing w:after="0"/>
              <w:rPr>
                <w:sz w:val="24"/>
                <w:szCs w:val="24"/>
                <w:color w:val="auto"/>
              </w:rPr>
            </w:pPr>
          </w:p>
        </w:tc>
        <w:tc>
          <w:tcPr>
            <w:tcW w:w="7980" w:type="dxa"/>
            <w:vAlign w:val="bottom"/>
          </w:tcPr>
          <w:p>
            <w:pPr>
              <w:ind w:left="4980"/>
              <w:spacing w:after="0"/>
              <w:rPr>
                <w:sz w:val="20"/>
                <w:szCs w:val="20"/>
                <w:color w:val="auto"/>
              </w:rPr>
            </w:pPr>
            <w:r>
              <w:rPr>
                <w:rFonts w:ascii="Times New Roman" w:cs="Times New Roman" w:eastAsia="Times New Roman" w:hAnsi="Times New Roman"/>
                <w:sz w:val="15"/>
                <w:szCs w:val="15"/>
                <w:color w:val="auto"/>
              </w:rPr>
              <w:t>F-63</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4"/>
        </w:trPr>
        <w:tc>
          <w:tcPr>
            <w:tcW w:w="500" w:type="dxa"/>
            <w:vAlign w:val="bottom"/>
            <w:tcBorders>
              <w:bottom w:val="single" w:sz="8" w:color="9A9A9A"/>
            </w:tcBorders>
          </w:tcPr>
          <w:p>
            <w:pPr>
              <w:spacing w:after="0"/>
              <w:rPr>
                <w:sz w:val="7"/>
                <w:szCs w:val="7"/>
                <w:color w:val="auto"/>
              </w:rPr>
            </w:pPr>
          </w:p>
        </w:tc>
        <w:tc>
          <w:tcPr>
            <w:tcW w:w="79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7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7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Volvofinans Bank AB</w:t>
            </w: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5"/>
                <w:szCs w:val="15"/>
                <w:color w:val="auto"/>
              </w:rPr>
              <w:t>2,124</w:t>
            </w:r>
          </w:p>
        </w:tc>
        <w:tc>
          <w:tcPr>
            <w:tcW w:w="10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Other related parties</w:t>
            </w:r>
          </w:p>
        </w:tc>
        <w:tc>
          <w:tcPr>
            <w:tcW w:w="1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751</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533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8"/>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00" w:type="dxa"/>
            <w:vAlign w:val="bottom"/>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722,968 $</w:t>
            </w: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1,161,649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spacing w:after="0"/>
              <w:rPr>
                <w:sz w:val="16"/>
                <w:szCs w:val="16"/>
                <w:color w:val="auto"/>
              </w:rPr>
            </w:pPr>
          </w:p>
        </w:tc>
        <w:tc>
          <w:tcPr>
            <w:tcW w:w="280" w:type="dxa"/>
            <w:vAlign w:val="bottom"/>
          </w:tcPr>
          <w:p>
            <w:pPr>
              <w:spacing w:after="0"/>
              <w:rPr>
                <w:sz w:val="16"/>
                <w:szCs w:val="16"/>
                <w:color w:val="auto"/>
              </w:rPr>
            </w:pPr>
          </w:p>
        </w:tc>
      </w:tr>
      <w:tr>
        <w:trPr>
          <w:trHeight w:val="197"/>
        </w:trPr>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8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gridSpan w:val="5"/>
            <w:shd w:val="clear" w:color="auto" w:fill="DBDBDB"/>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6"/>
                <w:szCs w:val="16"/>
                <w:color w:val="auto"/>
              </w:rPr>
            </w:pP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Pr>
          <w:p>
            <w:pPr>
              <w:spacing w:after="0"/>
              <w:rPr>
                <w:sz w:val="16"/>
                <w:szCs w:val="16"/>
                <w:color w:val="auto"/>
              </w:rPr>
            </w:pPr>
          </w:p>
        </w:tc>
      </w:tr>
      <w:tr>
        <w:trPr>
          <w:trHeight w:val="197"/>
        </w:trPr>
        <w:tc>
          <w:tcPr>
            <w:tcW w:w="738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Interest-bearing current liabilities - related parties</w:t>
            </w: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gridSpan w:val="3"/>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88"/>
        </w:trPr>
        <w:tc>
          <w:tcPr>
            <w:tcW w:w="738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Volvo Car Financial Services UK</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44,878</w:t>
            </w:r>
          </w:p>
        </w:tc>
        <w:tc>
          <w:tcPr>
            <w:tcW w:w="1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17,133</w:t>
            </w:r>
          </w:p>
        </w:tc>
      </w:tr>
      <w:tr>
        <w:trPr>
          <w:trHeight w:val="197"/>
        </w:trPr>
        <w:tc>
          <w:tcPr>
            <w:tcW w:w="7380" w:type="dxa"/>
            <w:vAlign w:val="bottom"/>
            <w:gridSpan w:val="3"/>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Geely</w:t>
            </w: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18,308</w:t>
            </w:r>
          </w:p>
        </w:tc>
        <w:tc>
          <w:tcPr>
            <w:tcW w:w="10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380" w:type="dxa"/>
            <w:vAlign w:val="bottom"/>
            <w:tcBorders>
              <w:bottom w:val="single" w:sz="8" w:color="DBDBDB"/>
            </w:tcBorders>
            <w:gridSpan w:val="3"/>
          </w:tcPr>
          <w:p>
            <w:pPr>
              <w:ind w:left="100"/>
              <w:spacing w:after="0"/>
              <w:rPr>
                <w:sz w:val="20"/>
                <w:szCs w:val="20"/>
                <w:color w:val="auto"/>
              </w:rPr>
            </w:pPr>
            <w:r>
              <w:rPr>
                <w:rFonts w:ascii="Times New Roman" w:cs="Times New Roman" w:eastAsia="Times New Roman" w:hAnsi="Times New Roman"/>
                <w:sz w:val="15"/>
                <w:szCs w:val="15"/>
                <w:color w:val="auto"/>
              </w:rPr>
              <w:t>Volvo Cars</w:t>
            </w:r>
          </w:p>
        </w:tc>
        <w:tc>
          <w:tcPr>
            <w:tcW w:w="110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10,628</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9,928</w:t>
            </w:r>
          </w:p>
        </w:tc>
      </w:tr>
      <w:tr>
        <w:trPr>
          <w:trHeight w:val="188"/>
        </w:trPr>
        <w:tc>
          <w:tcPr>
            <w:tcW w:w="7380" w:type="dxa"/>
            <w:vAlign w:val="bottom"/>
            <w:gridSpan w:val="3"/>
            <w:shd w:val="clear" w:color="auto" w:fill="DBDBDB"/>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73,814</w:t>
            </w: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27,061</w:t>
            </w:r>
          </w:p>
        </w:tc>
      </w:tr>
      <w:tr>
        <w:trPr>
          <w:trHeight w:val="177"/>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spacing w:after="0"/>
              <w:rPr>
                <w:sz w:val="15"/>
                <w:szCs w:val="15"/>
                <w:color w:val="auto"/>
              </w:rPr>
            </w:pPr>
          </w:p>
        </w:tc>
        <w:tc>
          <w:tcPr>
            <w:tcW w:w="280" w:type="dxa"/>
            <w:vAlign w:val="bottom"/>
          </w:tcPr>
          <w:p>
            <w:pPr>
              <w:spacing w:after="0"/>
              <w:rPr>
                <w:sz w:val="15"/>
                <w:szCs w:val="15"/>
                <w:color w:val="auto"/>
              </w:rPr>
            </w:pPr>
          </w:p>
        </w:tc>
      </w:tr>
      <w:tr>
        <w:trPr>
          <w:trHeight w:val="197"/>
        </w:trPr>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8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gridSpan w:val="5"/>
            <w:shd w:val="clear" w:color="auto" w:fill="DBDBDB"/>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7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Other non-current interest-bearing liabilities - related parties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6"/>
                <w:szCs w:val="16"/>
                <w:color w:val="auto"/>
              </w:rPr>
            </w:pP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Pr>
          <w:p>
            <w:pPr>
              <w:spacing w:after="0"/>
              <w:rPr>
                <w:sz w:val="16"/>
                <w:szCs w:val="16"/>
                <w:color w:val="auto"/>
              </w:rPr>
            </w:pPr>
          </w:p>
        </w:tc>
      </w:tr>
      <w:tr>
        <w:trPr>
          <w:trHeight w:val="197"/>
        </w:trPr>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8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r>
      <w:tr>
        <w:trPr>
          <w:trHeight w:val="188"/>
        </w:trPr>
        <w:tc>
          <w:tcPr>
            <w:tcW w:w="738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Volvo Cars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1,049,828</w:t>
            </w:r>
          </w:p>
        </w:tc>
        <w:tc>
          <w:tcPr>
            <w:tcW w:w="1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43,643</w:t>
            </w:r>
          </w:p>
        </w:tc>
      </w:tr>
      <w:tr>
        <w:trPr>
          <w:trHeight w:val="197"/>
        </w:trPr>
        <w:tc>
          <w:tcPr>
            <w:tcW w:w="7380" w:type="dxa"/>
            <w:vAlign w:val="bottom"/>
            <w:gridSpan w:val="3"/>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Geely</w:t>
            </w: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363,429</w:t>
            </w:r>
          </w:p>
        </w:tc>
        <w:tc>
          <w:tcPr>
            <w:tcW w:w="10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38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1,413,257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43,643</w:t>
            </w:r>
          </w:p>
        </w:tc>
      </w:tr>
      <w:tr>
        <w:trPr>
          <w:trHeight w:val="339"/>
        </w:trPr>
        <w:tc>
          <w:tcPr>
            <w:tcW w:w="73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Group’s interest expense related to related party liabilities is as follows: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7"/>
        </w:trPr>
        <w:tc>
          <w:tcPr>
            <w:tcW w:w="2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880" w:type="dxa"/>
            <w:vAlign w:val="bottom"/>
            <w:shd w:val="clear" w:color="auto" w:fill="DBDBDB"/>
          </w:tcPr>
          <w:p>
            <w:pPr>
              <w:spacing w:after="0"/>
              <w:rPr>
                <w:sz w:val="17"/>
                <w:szCs w:val="17"/>
                <w:color w:val="auto"/>
              </w:rPr>
            </w:pPr>
          </w:p>
        </w:tc>
        <w:tc>
          <w:tcPr>
            <w:tcW w:w="3580" w:type="dxa"/>
            <w:vAlign w:val="bottom"/>
            <w:tcBorders>
              <w:bottom w:val="single" w:sz="8" w:color="auto"/>
            </w:tcBorders>
            <w:gridSpan w:val="7"/>
            <w:shd w:val="clear" w:color="auto" w:fill="DBDBDB"/>
          </w:tcPr>
          <w:p>
            <w:pPr>
              <w:ind w:left="70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280" w:type="dxa"/>
            <w:vAlign w:val="bottom"/>
          </w:tcPr>
          <w:p>
            <w:pPr>
              <w:spacing w:after="0"/>
              <w:rPr>
                <w:sz w:val="17"/>
                <w:szCs w:val="17"/>
                <w:color w:val="auto"/>
              </w:rPr>
            </w:pPr>
          </w:p>
        </w:tc>
      </w:tr>
      <w:tr>
        <w:trPr>
          <w:trHeight w:val="188"/>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1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6"/>
                <w:szCs w:val="16"/>
                <w:color w:val="auto"/>
              </w:rPr>
            </w:pPr>
          </w:p>
        </w:tc>
        <w:tc>
          <w:tcPr>
            <w:tcW w:w="66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880" w:type="dxa"/>
            <w:vAlign w:val="bottom"/>
            <w:shd w:val="clear" w:color="auto" w:fill="DBDBDB"/>
          </w:tcPr>
          <w:p>
            <w:pPr>
              <w:spacing w:after="0"/>
              <w:rPr>
                <w:sz w:val="17"/>
                <w:szCs w:val="17"/>
                <w:color w:val="auto"/>
              </w:rPr>
            </w:pPr>
          </w:p>
        </w:tc>
        <w:tc>
          <w:tcPr>
            <w:tcW w:w="1360" w:type="dxa"/>
            <w:vAlign w:val="bottom"/>
            <w:tcBorders>
              <w:bottom w:val="single" w:sz="8" w:color="auto"/>
            </w:tcBorders>
            <w:gridSpan w:val="2"/>
            <w:shd w:val="clear" w:color="auto" w:fill="DBDBDB"/>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80" w:type="dxa"/>
            <w:vAlign w:val="bottom"/>
          </w:tcPr>
          <w:p>
            <w:pPr>
              <w:spacing w:after="0"/>
              <w:rPr>
                <w:sz w:val="17"/>
                <w:szCs w:val="17"/>
                <w:color w:val="auto"/>
              </w:rPr>
            </w:pPr>
          </w:p>
        </w:tc>
      </w:tr>
      <w:tr>
        <w:trPr>
          <w:trHeight w:val="191"/>
        </w:trPr>
        <w:tc>
          <w:tcPr>
            <w:tcW w:w="280" w:type="dxa"/>
            <w:vAlign w:val="bottom"/>
          </w:tcPr>
          <w:p>
            <w:pPr>
              <w:spacing w:after="0"/>
              <w:rPr>
                <w:sz w:val="16"/>
                <w:szCs w:val="16"/>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expense - related parties</w:t>
            </w:r>
          </w:p>
        </w:tc>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5"/>
                <w:szCs w:val="15"/>
                <w:color w:val="auto"/>
              </w:rPr>
              <w:t>92,034</w:t>
            </w:r>
          </w:p>
        </w:tc>
        <w:tc>
          <w:tcPr>
            <w:tcW w:w="100" w:type="dxa"/>
            <w:vAlign w:val="bottom"/>
          </w:tcPr>
          <w:p>
            <w:pPr>
              <w:spacing w:after="0"/>
              <w:rPr>
                <w:sz w:val="16"/>
                <w:szCs w:val="16"/>
                <w:color w:val="auto"/>
              </w:rPr>
            </w:pPr>
          </w:p>
        </w:tc>
        <w:tc>
          <w:tcPr>
            <w:tcW w:w="11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37,946</w:t>
            </w: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30,832</w:t>
            </w:r>
          </w:p>
        </w:tc>
        <w:tc>
          <w:tcPr>
            <w:tcW w:w="280" w:type="dxa"/>
            <w:vAlign w:val="bottom"/>
          </w:tcPr>
          <w:p>
            <w:pPr>
              <w:spacing w:after="0"/>
              <w:rPr>
                <w:sz w:val="16"/>
                <w:szCs w:val="16"/>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Amounts due from related parties</w:t>
      </w:r>
    </w:p>
    <w:p>
      <w:pPr>
        <w:ind w:right="160"/>
        <w:spacing w:after="0"/>
        <w:rPr>
          <w:sz w:val="20"/>
          <w:szCs w:val="20"/>
          <w:color w:val="auto"/>
        </w:rPr>
      </w:pPr>
      <w:r>
        <w:rPr>
          <w:rFonts w:ascii="Times New Roman" w:cs="Times New Roman" w:eastAsia="Times New Roman" w:hAnsi="Times New Roman"/>
          <w:sz w:val="15"/>
          <w:szCs w:val="15"/>
          <w:color w:val="auto"/>
        </w:rPr>
        <w:t>Amounts due from related parties include transactions related to the sales of products and related goods and services, sales of software technology and performance engineered kits, sales of carbon credits and sales of prototype engines discussed above.</w:t>
      </w:r>
    </w:p>
    <w:p>
      <w:pPr>
        <w:spacing w:after="0" w:line="93"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9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100" w:type="dxa"/>
            <w:vAlign w:val="bottom"/>
            <w:tcBorders>
              <w:bottom w:val="single" w:sz="8" w:color="auto"/>
            </w:tcBorders>
            <w:gridSpan w:val="3"/>
            <w:shd w:val="clear" w:color="auto" w:fill="DBDBDB"/>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88"/>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Pr>
          <w:p>
            <w:pPr>
              <w:spacing w:after="0"/>
              <w:rPr>
                <w:sz w:val="16"/>
                <w:szCs w:val="16"/>
                <w:color w:val="auto"/>
              </w:rPr>
            </w:pPr>
          </w:p>
        </w:tc>
        <w:tc>
          <w:tcPr>
            <w:tcW w:w="88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7"/>
        </w:trPr>
        <w:tc>
          <w:tcPr>
            <w:tcW w:w="79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Trade receivables – related parties, accrued income – related parties, and other current assets - related parties</w:t>
            </w: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6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r>
      <w:tr>
        <w:trPr>
          <w:trHeight w:val="188"/>
        </w:trPr>
        <w:tc>
          <w:tcPr>
            <w:tcW w:w="7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Volvo Cars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167,989</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124,531</w:t>
            </w:r>
          </w:p>
        </w:tc>
      </w:tr>
      <w:tr>
        <w:trPr>
          <w:trHeight w:val="197"/>
        </w:trPr>
        <w:tc>
          <w:tcPr>
            <w:tcW w:w="79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Geely</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44,979</w:t>
            </w:r>
          </w:p>
        </w:tc>
        <w:tc>
          <w:tcPr>
            <w:tcW w:w="2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7"/>
        </w:trPr>
        <w:tc>
          <w:tcPr>
            <w:tcW w:w="7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Wuhan Lotus Cars Co., LTD.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9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Polestar Times Technology</w:t>
            </w: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4,177</w:t>
            </w:r>
          </w:p>
        </w:tc>
        <w:tc>
          <w:tcPr>
            <w:tcW w:w="2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7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Volvofinans Bank AB</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3,751</w:t>
            </w:r>
          </w:p>
        </w:tc>
      </w:tr>
      <w:tr>
        <w:trPr>
          <w:trHeight w:val="197"/>
        </w:trPr>
        <w:tc>
          <w:tcPr>
            <w:tcW w:w="79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Other related parties</w:t>
            </w: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26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98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223,207</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128,285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Incentives to key management personnel</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During the year ended December 31, 2019, Volvo Cars provided an equity based incentive program to certain members of the Group’s management team (the “Polestar Incentive Plan”). The Polestar Incentive Plan was launched to incentivize the retention of key personnel with pivotal roles in the development of the Group into a successful standalone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company. Each participant was offered to purchase shares in PSINV AB, a subsidiary of Volvo Cars which in turn owned shares in Polestar Automotive Holding Limited and hence the participants were indirectly minority owners of the Group. The investment was made at fair market value in accordance with an external valuation.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total 38,125 shares were acquired by the participants, which corresponded to an indirect ownership in the Group of 0.16 percent. Management evaluated the Polestar Incentive Plan</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to determine whether it qualified as an equity-settled share-based payment transaction within the scope of IFRS 2, as the participants receive shares of equity in exchange of their investment and more than one entity was involved in delivering the benefit to the participants. Given that the Group does not receive identifiable or unidentifiable goods or services in exchange for the equity purchase of PINSV AB, the transaction is not within the scope of IFRS 2. Furthermore, the Polestar Incentive Plan is in agreement with Volvo Cars and</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individual members of the Group’s prior EMT, as participants were given the option to purchase equity shares in PSINV AB being an entity outside the Group. Therefore, the Polestar Incentive Plan is not a share-based payment transaction in the scope of IFRS 2 and there is no financial statement impact on the Group.</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8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As a consequence of the listing of Polestar Automotive Holding UK Limited on the Nasdaq Stock Exchange in June 2022 and in accordance with the terms of the Polestar Incentive Program, Volvo Cars was obliged to repurchase the participants shares in PSINV AB at fair market value. Each participant was thereafter obliged to reinvest the net proceeds</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received (repurchase amount less an amount corresponding to the effective tax rate on capital gains in the participants jurisdiction) in shares in Polestar Automotive Holding UK Limited directly on the open market. The purchased shares were subject to a 180 days’ lock-up period.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Refer to </w:t>
      </w:r>
      <w:r>
        <w:rPr>
          <w:rFonts w:ascii="Times New Roman" w:cs="Times New Roman" w:eastAsia="Times New Roman" w:hAnsi="Times New Roman"/>
          <w:sz w:val="15"/>
          <w:szCs w:val="15"/>
          <w:i w:val="1"/>
          <w:iCs w:val="1"/>
          <w:color w:val="auto"/>
        </w:rPr>
        <w:t>Note 7 - Employee benefits</w:t>
      </w:r>
      <w:r>
        <w:rPr>
          <w:rFonts w:ascii="Times New Roman" w:cs="Times New Roman" w:eastAsia="Times New Roman" w:hAnsi="Times New Roman"/>
          <w:sz w:val="15"/>
          <w:szCs w:val="15"/>
          <w:color w:val="auto"/>
        </w:rPr>
        <w:t xml:space="preserve"> for details on compensation to the EMT and managing directors at the Group’s sales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Asset disposals</w:t>
      </w:r>
    </w:p>
    <w:p>
      <w:pPr>
        <w:spacing w:after="0" w:line="7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5"/>
          <w:szCs w:val="15"/>
          <w:color w:val="auto"/>
        </w:rPr>
        <w:t>In December 2022, Polestar committed to a plan to sell, to Geely, its Chengdu manufacturing plant held by Polestar New Energy Vehicle Co. LTD. ("PSNEV"). Prior to the sale, there was a change in the grouping of assets classified as held for sale to include additional assets and immaterial liabilities. The inclusion of these additional assets and immaterial</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liabilities formed a group of assets and did not meet the definition of a business as defined by IFRS 3. The sale of PSNEV represented a common control transaction because (1) PSNEV did not meet the definition of a business at the time of the transaction, (2) the ultimate control of PSNEV was the same before and after the transaction, and (3) control of PSNEV was not transitory (i.e., organized to effect a 'grooming' transaction.) The resulting gain on the sale was $16,334. Refer to </w:t>
      </w:r>
      <w:r>
        <w:rPr>
          <w:rFonts w:ascii="Times New Roman" w:cs="Times New Roman" w:eastAsia="Times New Roman" w:hAnsi="Times New Roman"/>
          <w:sz w:val="15"/>
          <w:szCs w:val="15"/>
          <w:i w:val="1"/>
          <w:iCs w:val="1"/>
          <w:color w:val="auto"/>
        </w:rPr>
        <w:t>Note 28 - Assets held for sale</w:t>
      </w:r>
      <w:r>
        <w:rPr>
          <w:rFonts w:ascii="Times New Roman" w:cs="Times New Roman" w:eastAsia="Times New Roman" w:hAnsi="Times New Roman"/>
          <w:sz w:val="15"/>
          <w:szCs w:val="15"/>
          <w:color w:val="auto"/>
        </w:rPr>
        <w:t xml:space="preserve"> for additional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28 - Assets held for sale</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 December 2022, the Group committed to a plan to sell, to Geely, its Chengdu manufacturing plant held by the Group subsidiary, PSNEV, that was previously used to manufacture the Polestar 1 and special edition Polestar 2 BST 270. Accordingly, the Chengdu plant and certain related assets were presented as a disposal group held for sale. The assets related to</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the Chengdu Plant which were classified as held for sale amounted to $56,001 as of December 31, 2022. The cumulative foreign exchange losses related to exchange rate differences from translation of the disposal group that were included in other comprehensive income as of December 31, 2022 amounted to $1,392. In July 2023, there was a change in the asset grouping classified as held for sale to include an immaterial amount of Other current assets and liabilities along with $85,542 of accounts receivable. The accounts receivable was an</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intercompany receivable, held by PSNEV, which was not settled prior to the sale of the asset group. Geely agreed to purchase the intercompany receivable as part of the sale, resulting in a change in the asset grouping.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1, 2023, the Group completed the sale of the asset group to Geely. Upon disposal of the asset group, cumulative foreign exchange losses of $6,636 were reclassified from</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equity to profit or loss as part of the gain on disposal. The derecognition of the asset group previously classified as held for sale, including the modification to include accounts receivable, resulted in a total gain of $16,334. The gain is reflected within Other operating income (expense) on the Consolidated Statement of Loss and Comprehensive Loss. Refer to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xml:space="preserve"> for additional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29 - Commitments and contingencies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commitments to acquire PPE and intangible assets were $42,288 and $31,338, respectively. As of December 31, 2022, commitments to acquire PPE and</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intangible assets were $40,720 and $33,210, respectively. These commitments are contractual obligations to invest in PPE, intangible assets for the production of upcoming vehicle models Polestar 3, Polestar 4, Polestar 5 and Polestar 6. As of December 31, 2023, Polestar also has a capital injection commitment related to the investment in Polestar Technology amounting to $68,600. Refer to </w:t>
      </w:r>
      <w:r>
        <w:rPr>
          <w:rFonts w:ascii="Times New Roman" w:cs="Times New Roman" w:eastAsia="Times New Roman" w:hAnsi="Times New Roman"/>
          <w:sz w:val="15"/>
          <w:szCs w:val="15"/>
          <w:i w:val="1"/>
          <w:iCs w:val="1"/>
          <w:color w:val="auto"/>
        </w:rPr>
        <w:t>Note 10 - Investment in associates</w:t>
      </w:r>
      <w:r>
        <w:rPr>
          <w:rFonts w:ascii="Times New Roman" w:cs="Times New Roman" w:eastAsia="Times New Roman" w:hAnsi="Times New Roman"/>
          <w:sz w:val="15"/>
          <w:szCs w:val="15"/>
          <w:color w:val="auto"/>
        </w:rPr>
        <w:t xml:space="preserve"> for more details on the investment in Polestar Technology.</w:t>
      </w:r>
    </w:p>
    <w:p>
      <w:pPr>
        <w:spacing w:after="0" w:line="5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Polestar has contractual obligations with certain suppliers including a non-cancellable commitment, an agreed minimum purchase volume, or an agreement minimum sales volume. In the event of a shortfall in purchases, a shortfall in sales, or Polestar´s decision to terminate such contracts, these suppliers are entitled to compensation from Polestar. The amounts in the table below represent Polestar´s future commitments as of December 31, 2023:</w:t>
      </w:r>
    </w:p>
    <w:tbl>
      <w:tblPr>
        <w:tblLayout w:type="fixed"/>
        <w:tblInd w:w="0" w:type="dxa"/>
        <w:tblCellMar>
          <w:top w:w="0" w:type="dxa"/>
          <w:left w:w="0" w:type="dxa"/>
          <w:bottom w:w="0" w:type="dxa"/>
          <w:right w:w="0" w:type="dxa"/>
        </w:tblCellMar>
      </w:tblPr>
      <w:tr>
        <w:trPr>
          <w:trHeight w:val="200"/>
        </w:trPr>
        <w:tc>
          <w:tcPr>
            <w:tcW w:w="626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bottom w:val="single" w:sz="8" w:color="auto"/>
            </w:tcBorders>
            <w:shd w:val="clear" w:color="auto" w:fill="DBDBDB"/>
          </w:tcPr>
          <w:p>
            <w:pPr>
              <w:spacing w:after="0"/>
              <w:rPr>
                <w:sz w:val="17"/>
                <w:szCs w:val="17"/>
                <w:color w:val="auto"/>
              </w:rPr>
            </w:pPr>
          </w:p>
        </w:tc>
        <w:tc>
          <w:tcPr>
            <w:tcW w:w="960" w:type="dxa"/>
            <w:vAlign w:val="bottom"/>
            <w:tcBorders>
              <w:top w:val="single" w:sz="8" w:color="auto"/>
              <w:bottom w:val="single" w:sz="8" w:color="auto"/>
            </w:tcBorders>
            <w:shd w:val="clear" w:color="auto" w:fill="DBDBDB"/>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60" w:type="dxa"/>
            <w:vAlign w:val="bottom"/>
            <w:tcBorders>
              <w:top w:val="single" w:sz="8" w:color="auto"/>
              <w:bottom w:val="single" w:sz="8" w:color="auto"/>
            </w:tcBorders>
            <w:gridSpan w:val="2"/>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Less than 1 year</w:t>
            </w:r>
          </w:p>
        </w:tc>
        <w:tc>
          <w:tcPr>
            <w:tcW w:w="1260" w:type="dxa"/>
            <w:vAlign w:val="bottom"/>
            <w:tcBorders>
              <w:top w:val="single" w:sz="8" w:color="auto"/>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5"/>
                <w:szCs w:val="15"/>
                <w:b w:val="1"/>
                <w:bCs w:val="1"/>
                <w:color w:val="auto"/>
              </w:rPr>
              <w:t>Between 1-5 years</w:t>
            </w: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120" w:type="dxa"/>
            <w:vAlign w:val="bottom"/>
            <w:tcBorders>
              <w:top w:val="single" w:sz="8" w:color="auto"/>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After 5 years</w:t>
            </w: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5"/>
                <w:szCs w:val="15"/>
                <w:color w:val="auto"/>
              </w:rPr>
              <w:t>PS2 battery purchase volume commitments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19,448</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19,448</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Logistics service commitments</w:t>
            </w:r>
          </w:p>
        </w:tc>
        <w:tc>
          <w:tcPr>
            <w:tcW w:w="2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57,108</w:t>
            </w: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57,108</w:t>
            </w:r>
          </w:p>
        </w:tc>
        <w:tc>
          <w:tcPr>
            <w:tcW w:w="4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26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PS3 and PS4 purchase volume commitments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277,496</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277,496</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PS4 sales volume commitments</w:t>
            </w:r>
          </w:p>
        </w:tc>
        <w:tc>
          <w:tcPr>
            <w:tcW w:w="2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83,842</w:t>
            </w:r>
          </w:p>
        </w:tc>
        <w:tc>
          <w:tcPr>
            <w:tcW w:w="4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14,903</w:t>
            </w:r>
          </w:p>
        </w:tc>
        <w:tc>
          <w:tcPr>
            <w:tcW w:w="4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61,439</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7,500</w:t>
            </w:r>
          </w:p>
        </w:tc>
      </w:tr>
      <w:tr>
        <w:trPr>
          <w:trHeight w:val="197"/>
        </w:trPr>
        <w:tc>
          <w:tcPr>
            <w:tcW w:w="626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Other commitments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5,463</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5,463</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443,357</w:t>
            </w: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374,418</w:t>
            </w:r>
          </w:p>
        </w:tc>
        <w:tc>
          <w:tcPr>
            <w:tcW w:w="440" w:type="dxa"/>
            <w:vAlign w:val="bottom"/>
            <w:tcBorders>
              <w:bottom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61,439</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7,500</w:t>
            </w:r>
          </w:p>
        </w:tc>
      </w:tr>
    </w:tbl>
    <w:p>
      <w:pPr>
        <w:spacing w:after="0" w:line="3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2"/>
          <w:szCs w:val="12"/>
          <w:color w:val="auto"/>
        </w:rPr>
        <w:t xml:space="preserve">1 - The PS3 manufacturing agreement with Volvo Cars was signed on January 8, 2024, however commitments related to the agreement existed as of December 31, 2023 based on the terms in the agreement governing Polestar's sale of PS3 Tooling and Equipment to Geely that was signed on December 8, 2023. Refer to </w:t>
      </w:r>
      <w:r>
        <w:rPr>
          <w:rFonts w:ascii="Times New Roman" w:cs="Times New Roman" w:eastAsia="Times New Roman" w:hAnsi="Times New Roman"/>
          <w:sz w:val="12"/>
          <w:szCs w:val="12"/>
          <w:i w:val="1"/>
          <w:iCs w:val="1"/>
          <w:color w:val="auto"/>
        </w:rPr>
        <w:t>Note 27 - Related party transactions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Note 30 - Subsequent events</w:t>
      </w:r>
      <w:r>
        <w:rPr>
          <w:rFonts w:ascii="Times New Roman" w:cs="Times New Roman" w:eastAsia="Times New Roman" w:hAnsi="Times New Roman"/>
          <w:sz w:val="12"/>
          <w:szCs w:val="12"/>
          <w:color w:val="auto"/>
        </w:rPr>
        <w:t xml:space="preserve"> for further details.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Contingencies</w:t>
      </w:r>
    </w:p>
    <w:p>
      <w:pPr>
        <w:spacing w:after="0" w:line="7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In the normal course of business, the Group is subject to contingencies related to legal proceedings, claims, and other assessments that cover a wide range of matters. Liabilities for such contingencies are not recorded until it is probable that a present obligation exists and the amount of the obligation can be estimated reliably. However, contingencies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disclosed when the potential financial effect could be material. As of December 31, 2023 and 2022, the Group did not have any material contingencies.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8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30 - Subsequent events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Management has evaluated events subsequent to December 31, 2023 and through August 14, 2024, the date these Consolidated Financial Statements were originally authorized for</w:t>
      </w:r>
    </w:p>
    <w:p>
      <w:pPr>
        <w:spacing w:after="0" w:line="217" w:lineRule="auto"/>
        <w:rPr>
          <w:sz w:val="20"/>
          <w:szCs w:val="20"/>
          <w:color w:val="auto"/>
        </w:rPr>
      </w:pPr>
      <w:r>
        <w:rPr>
          <w:rFonts w:ascii="Times New Roman" w:cs="Times New Roman" w:eastAsia="Times New Roman" w:hAnsi="Times New Roman"/>
          <w:sz w:val="15"/>
          <w:szCs w:val="15"/>
          <w:color w:val="auto"/>
        </w:rPr>
        <w:t>issuance by the Board of Directors. The following events which occurred subsequent to December 31, 2023 merited disclosure in these Consolidated Financial Statements.</w:t>
      </w:r>
    </w:p>
    <w:p>
      <w:pPr>
        <w:spacing w:after="0"/>
        <w:rPr>
          <w:sz w:val="20"/>
          <w:szCs w:val="20"/>
          <w:color w:val="auto"/>
        </w:rPr>
      </w:pPr>
      <w:r>
        <w:rPr>
          <w:rFonts w:ascii="Times New Roman" w:cs="Times New Roman" w:eastAsia="Times New Roman" w:hAnsi="Times New Roman"/>
          <w:sz w:val="15"/>
          <w:szCs w:val="15"/>
          <w:color w:val="auto"/>
        </w:rPr>
        <w:t>Management determined that no adjustments were required to the figures presented as a result of these events.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January 3, 2024, Polestar's investee in China, Polestar Technology (Shaoxing) Co., Ltd., selected Nanjing as its final province of registration. The investee was renamed Polestar</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Times Technology (Nanjing) Co., Ltd ("Polestar Times Technology"). Subsequently, on February 29, 2024, Polestar Times Technology, Polestar, Xingji Meizu, and Nanjing Jiangning Economic and Technological Development Zone Industrial Equity Investment Partnership (the "Nanjing Investor") entered an agreement for Polestar Times Technology to receive an additional $60,360 in capital from the Nanjing Investor over four installments in exchange for equity; subject to Polestar Times Technology achieving certain increased</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paid-in capital and invoiced sales thresholds in Nanjing province. In the event Polestar Times Technology achieves these thresholds and secures the investment installments from the Nanjing Investor, Polestar's ownership in Polestar Times Technology will decrease from 49% to 37.6% over time. As of the date these Consolidated Financial Statements were authorized for issuance, Polestar has injected total cash of $34,300 into Polestar Times Technology and maintains 46.2% ownership.</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On January 8, 2024, Polestar and Zhongjia Automobile Manufacturing (Chengdu) Co. Ltd., a Volvo Cars subsidiary, entered into an agreement for the manufacturing of Polestar 3 vehicles in Volvo Cars' Chengdu plant for sale outside of China. Under this agreement, Polestar is committed to purchase certain volumes of Polestar 3 vehicles between 2025 and 2030. In the event that Polestar´s actual volumes purchased during the production period are lower than the agreed volumes, Polestar is obligated to compensate Volvo Cars for fixed</w:t>
      </w: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costs related to the lost capacity. On January 12, 2024, Polestar entered into a similar agreement with the same Volvo Cars subsidiary, inclusive of similar volume commitment terms, governing the manufacturing of Polestar 3 vehicles in Volvo Cars' Chengdu plant for sale in China. These manufacturing agreements also represent those related to Polestar's sale of PS3 Tooling and Equipment discussed in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5"/>
          <w:szCs w:val="15"/>
          <w:color w:val="auto"/>
        </w:rPr>
        <w:t>On February 22, 2024, Polestar entered into a syndicated multicurrency green trade facility with BNP Paribas, Natixis, Hong Kong Branch, Standard Chartered Bank, the Hongkong and Shanghai Banking Corporation Limited, Banco Bilbao Vizcaya Argentaria, S.A., London Branch, Shanghai Pudong Development Bank Co., Ltd., Credit Agricole Corporate and Investment Bank, China Bohai Bank Co., Ltd. Shanghai Free Trade Zone Branch, Mizuho Bank, Ltd., MUFG Bank, Ltd. Hong Kong Branch, Citigroup Global Markets Asia</w:t>
      </w:r>
    </w:p>
    <w:p>
      <w:pPr>
        <w:jc w:val="both"/>
        <w:spacing w:after="0" w:line="214" w:lineRule="auto"/>
        <w:rPr>
          <w:sz w:val="20"/>
          <w:szCs w:val="20"/>
          <w:color w:val="auto"/>
        </w:rPr>
      </w:pPr>
      <w:r>
        <w:rPr>
          <w:rFonts w:ascii="Times New Roman" w:cs="Times New Roman" w:eastAsia="Times New Roman" w:hAnsi="Times New Roman"/>
          <w:sz w:val="15"/>
          <w:szCs w:val="15"/>
          <w:color w:val="auto"/>
        </w:rPr>
        <w:t>Limited, and China Zheshang Bank Co., Ltd. with Standard Chartered Bank acting as agent and security agent. Total principal available for utilization under the arrangement is divided into two facilities where Facility A is EUR denominated at €340,000 and Facility B is USD denominated at $583,500. Facility A utilizations carry interest at the relevant EURIBOR plus 2.85%. Facility B utilizations carry interest at the Chicago Mercantile Exchange Term SOFR plus 3.35%. Both facilities have a 36-month repayment period with</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5"/>
          <w:szCs w:val="15"/>
          <w:color w:val="auto"/>
        </w:rPr>
        <w:t>repayment of utilizations due in full at the end of the period, including any unpaid interest and other fees. The facilities are secured by interest reserve accounts pledges with an aggregate of three months interest deposited upon utilization of available credit. As of February 28, 2024, Polestar had drawn the entire borrowing capacity available under both facilities. Simultaneously with the signing of the syndicated multicurrency green trade facility on February 22, 2034, Polestar and Geely entered into a subordination deed with</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Standard Chartered Bank, making Polestar's $250,000 credit facility with Geely entered into on November 8, 2023, as discussed in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subordinated to the the syndicated multicurrency green trade facility. By the terms of the subordination deed, no payment to Geely of principal or interest will be made until all amounts due under the syndicated multicurrency green trade facility have been paid in full.</w:t>
      </w:r>
    </w:p>
    <w:p>
      <w:pPr>
        <w:spacing w:after="0" w:line="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On February 27, 2024, Polestar agreed to a one-year extension of the green trade revolving credit facility with Standard Chartered Bank, Nordea Bank ABP, Citibank Europe PLC, ING Belgium SA/NV, and Barclays Bank Ireland PLC with an aggregate principal amount available of €470,000. Utilizations of this facility carry interest at the relevant interbank offered rate plus 2.3% per annum and have a repayment period of 90 days.</w:t>
      </w:r>
    </w:p>
    <w:p>
      <w:pPr>
        <w:spacing w:after="0" w:line="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 xml:space="preserve">On March 3, 2024, Polestar, Zhongjia Automobile Manufacturing (Chengdu) Co. Ltd., a Volvo Cars subsidiary, and Chengdu Jisu New Energy Vehicle Co., Ltd, a Geely subsidiary, entered into the user right agreement related to Polestar's sale of PS3 Tooling and Equipment discussed in </w:t>
      </w:r>
      <w:r>
        <w:rPr>
          <w:rFonts w:ascii="Times New Roman" w:cs="Times New Roman" w:eastAsia="Times New Roman" w:hAnsi="Times New Roman"/>
          <w:sz w:val="15"/>
          <w:szCs w:val="15"/>
          <w:i w:val="1"/>
          <w:iCs w:val="1"/>
          <w:color w:val="auto"/>
        </w:rPr>
        <w:t>Note 27 - Related party transactions</w:t>
      </w:r>
      <w:r>
        <w:rPr>
          <w:rFonts w:ascii="Times New Roman" w:cs="Times New Roman" w:eastAsia="Times New Roman" w:hAnsi="Times New Roman"/>
          <w:sz w:val="15"/>
          <w:szCs w:val="15"/>
          <w:color w:val="auto"/>
        </w:rPr>
        <w:t>. Under the user right agreement, Geely granted Volvo Cars the right to use to PS3 Tooling and Equipment to manufacture the PS3 for Polestar in exchange for an annual user right fee from Volvo Cars.</w:t>
      </w:r>
    </w:p>
    <w:p>
      <w:pPr>
        <w:spacing w:after="0" w:line="4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On March 11, 2024, Polestar entered into a 12-month working capital loan for ¥177,000 with East Asia Bank. This loan carries an interest rate of 4.5% per annum due quarterly. This loan benefits from letters of comfort from Volvo Cars and Geely.</w:t>
      </w:r>
    </w:p>
    <w:p>
      <w:pPr>
        <w:spacing w:after="0" w:line="2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On April 30, 2024, Polestar entered into a 12-month working capital loan for ¥473,000 with Bank of China Shanghai Branch. This loan carries an interest rate of 12-month LPR plus 0.35% due quarterly. This loan benefits from letters of comfort from Geely.</w:t>
      </w:r>
    </w:p>
    <w:p>
      <w:pPr>
        <w:spacing w:after="0" w:line="5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color w:val="auto"/>
        </w:rPr>
        <w:t>On May 31, 2024, Polestar entered into a 12-month working capital loan for ¥88,000 with Bank of China Shanghai Branch. This loan carries an interest rate of 12-month LPR plus 0.35% due quarterly. This loan benefits from letters of comfort from Geely.</w:t>
      </w:r>
    </w:p>
    <w:p>
      <w:pPr>
        <w:spacing w:after="0" w:line="4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On June 13, 2024, Polestar entered into a 12-month working capital loan for ¥231,000 with East Asia Bank. This loan carries an interest rate of 4.3% per annum due quarterly. This loan benefits from letters of comfort from Volvo Cars and Geely.</w:t>
      </w:r>
    </w:p>
    <w:p>
      <w:pPr>
        <w:spacing w:after="0" w:line="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On June 28, 2024, Polestar entered into a non-recourse trade receivables factoring agreement with BNP Paribas Fortis Factor N.V. ("BNP Paribas Fortis Factor") whereby BNP Paribas Fortis Factor agreed to purchase up to €120,000 in eligible trade receivables from Polestar. Polestar pays a factoring fee calculated as a specified base rate plus an applicable</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margin. Additionally, Polestar continues to service collection of the trade receivables. As of the date these financial statements were ready for issuance, Polestar has received €45,000 for the sale of trade receivables to BNP Paribas Fortis Factor.</w:t>
      </w:r>
    </w:p>
    <w:p>
      <w:pPr>
        <w:spacing w:after="0" w:line="4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On August 2, 2024, Polestar entered into a 12-month working capital loan for $196,000 with China CITIC Bank Hangzhou Branch. This loan carries an interest rate of 7.8% per annum due quarterly. This loan benefits from letters of comfort from Geely.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31 - Restatement of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8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2" w:name="page133"/>
    <w:bookmarkEnd w:id="132"/>
    <w:p>
      <w:pPr>
        <w:jc w:val="center"/>
        <w:ind w:righ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Prior Restatement</w:t>
      </w:r>
    </w:p>
    <w:p>
      <w:pPr>
        <w:spacing w:after="0" w:line="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comparative disclosures for the 2021 and 2022 annual consolidated financial statements were previously restated as a result of misstatements identified by management</w:t>
      </w:r>
    </w:p>
    <w:p>
      <w:pPr>
        <w:spacing w:after="0" w:line="6" w:lineRule="exact"/>
        <w:rPr>
          <w:sz w:val="20"/>
          <w:szCs w:val="20"/>
          <w:color w:val="auto"/>
        </w:rPr>
      </w:pP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subsequent to the issuance of the annual consolidated financial statements filed on Form 20-F for the years ended December 31, 2021, and December 31, 2022 on April 14, 2023. These Prior Restatement errors were identified during the preparation of our consolidated financial statements as of and for the year ended December 31, 2023. Accordingly, these misstatements were corrected, including the previously recorded out of period adjustments, for all periods presented by revising the comparative figures in the 2023 consolidated</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annual consolidated financial statements issued on August 14, 2024. The Prior Restatement was related to the following categories of misstatements:</w:t>
      </w:r>
    </w:p>
    <w:p>
      <w:pPr>
        <w:spacing w:after="0" w:line="143" w:lineRule="exact"/>
        <w:rPr>
          <w:sz w:val="20"/>
          <w:szCs w:val="20"/>
          <w:color w:val="auto"/>
        </w:rPr>
      </w:pPr>
    </w:p>
    <w:p>
      <w:pPr>
        <w:ind w:left="307" w:hanging="307"/>
        <w:spacing w:after="0"/>
        <w:tabs>
          <w:tab w:leader="none" w:pos="307"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Inventories</w:t>
      </w:r>
    </w:p>
    <w:p>
      <w:pPr>
        <w:spacing w:after="0" w:line="75"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5"/>
          <w:szCs w:val="15"/>
          <w:color w:val="auto"/>
        </w:rPr>
        <w:t>The errors identified in the Inventories category encompass errors relating to incorrect valuation, classification, recognition, and allocation of costs associated with</w:t>
      </w:r>
    </w:p>
    <w:p>
      <w:pPr>
        <w:spacing w:after="0" w:line="6" w:lineRule="exact"/>
        <w:rPr>
          <w:sz w:val="20"/>
          <w:szCs w:val="20"/>
          <w:color w:val="auto"/>
        </w:rPr>
      </w:pPr>
    </w:p>
    <w:p>
      <w:pPr>
        <w:jc w:val="both"/>
        <w:ind w:left="547"/>
        <w:spacing w:after="0" w:line="224" w:lineRule="auto"/>
        <w:rPr>
          <w:sz w:val="20"/>
          <w:szCs w:val="20"/>
          <w:color w:val="auto"/>
        </w:rPr>
      </w:pPr>
      <w:r>
        <w:rPr>
          <w:rFonts w:ascii="Times New Roman" w:cs="Times New Roman" w:eastAsia="Times New Roman" w:hAnsi="Times New Roman"/>
          <w:sz w:val="15"/>
          <w:szCs w:val="15"/>
          <w:color w:val="auto"/>
        </w:rPr>
        <w:t>inventory. The most significant errors in this category include the incorrect treatment of certain launch costs, capitalization of inventory cost allocation, failed sale/lease transactions, and vehicles with repurchase obligations. The net impact of the inventory related error corrections on the Consolidated Statements of Loss and Comprehensive Loss was a reduction of the loss of $16,539 and $16,491 in 2022 and 2021, respectively.</w:t>
      </w:r>
    </w:p>
    <w:p>
      <w:pPr>
        <w:spacing w:after="0" w:line="145" w:lineRule="exact"/>
        <w:rPr>
          <w:sz w:val="20"/>
          <w:szCs w:val="20"/>
          <w:color w:val="auto"/>
        </w:rPr>
      </w:pPr>
    </w:p>
    <w:p>
      <w:pPr>
        <w:ind w:left="387" w:hanging="387"/>
        <w:spacing w:after="0"/>
        <w:tabs>
          <w:tab w:leader="none" w:pos="387"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Accruals and Deferrals</w:t>
      </w:r>
    </w:p>
    <w:p>
      <w:pPr>
        <w:spacing w:after="0" w:line="75" w:lineRule="exact"/>
        <w:rPr>
          <w:sz w:val="20"/>
          <w:szCs w:val="20"/>
          <w:color w:val="auto"/>
        </w:rPr>
      </w:pPr>
    </w:p>
    <w:p>
      <w:pPr>
        <w:jc w:val="both"/>
        <w:ind w:left="547" w:right="20"/>
        <w:spacing w:after="0" w:line="228" w:lineRule="auto"/>
        <w:rPr>
          <w:sz w:val="20"/>
          <w:szCs w:val="20"/>
          <w:color w:val="auto"/>
        </w:rPr>
      </w:pPr>
      <w:r>
        <w:rPr>
          <w:rFonts w:ascii="Times New Roman" w:cs="Times New Roman" w:eastAsia="Times New Roman" w:hAnsi="Times New Roman"/>
          <w:sz w:val="15"/>
          <w:szCs w:val="15"/>
          <w:color w:val="auto"/>
        </w:rPr>
        <w:t>The errors identified in the Accruals and Deferrals category encompass errors relating to the recognition and measurement of accruals and deferrals. These errors include both the understatement and overstatement of accruals and deferrals before the issuance of the financial statements, despite the availability of accurate information. The most</w:t>
      </w:r>
    </w:p>
    <w:p>
      <w:pPr>
        <w:spacing w:after="0" w:line="1" w:lineRule="exact"/>
        <w:rPr>
          <w:sz w:val="20"/>
          <w:szCs w:val="20"/>
          <w:color w:val="auto"/>
        </w:rPr>
      </w:pPr>
    </w:p>
    <w:p>
      <w:pPr>
        <w:jc w:val="both"/>
        <w:ind w:left="547"/>
        <w:spacing w:after="0" w:line="224" w:lineRule="auto"/>
        <w:rPr>
          <w:sz w:val="20"/>
          <w:szCs w:val="20"/>
          <w:color w:val="auto"/>
        </w:rPr>
      </w:pPr>
      <w:r>
        <w:rPr>
          <w:rFonts w:ascii="Times New Roman" w:cs="Times New Roman" w:eastAsia="Times New Roman" w:hAnsi="Times New Roman"/>
          <w:sz w:val="15"/>
          <w:szCs w:val="15"/>
          <w:color w:val="auto"/>
        </w:rPr>
        <w:t>significant transactions in this category include incorrect warranty accrual release, over accrual of operating expenses in North America and timing of revenue recognition and deferred revenue related to vehicle subscription services. The net impact of the accrual and deferral related error corrections on the Consolidated Statements of Loss and Comprehensive Loss was an increase of the loss by $6,688 in 2022 and a reduction of the loss of $20,090 in 2021.</w:t>
      </w:r>
    </w:p>
    <w:p>
      <w:pPr>
        <w:spacing w:after="0" w:line="145" w:lineRule="exact"/>
        <w:rPr>
          <w:sz w:val="20"/>
          <w:szCs w:val="20"/>
          <w:color w:val="auto"/>
        </w:rPr>
      </w:pPr>
    </w:p>
    <w:p>
      <w:pPr>
        <w:ind w:left="387" w:hanging="387"/>
        <w:spacing w:after="0"/>
        <w:tabs>
          <w:tab w:leader="none" w:pos="387"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Capitalization of expenses</w:t>
      </w:r>
    </w:p>
    <w:p>
      <w:pPr>
        <w:spacing w:after="0" w:line="75" w:lineRule="exact"/>
        <w:rPr>
          <w:sz w:val="20"/>
          <w:szCs w:val="20"/>
          <w:color w:val="auto"/>
        </w:rPr>
      </w:pPr>
    </w:p>
    <w:p>
      <w:pPr>
        <w:jc w:val="both"/>
        <w:ind w:left="547" w:right="20"/>
        <w:spacing w:after="0" w:line="228" w:lineRule="auto"/>
        <w:rPr>
          <w:sz w:val="20"/>
          <w:szCs w:val="20"/>
          <w:color w:val="auto"/>
        </w:rPr>
      </w:pPr>
      <w:r>
        <w:rPr>
          <w:rFonts w:ascii="Times New Roman" w:cs="Times New Roman" w:eastAsia="Times New Roman" w:hAnsi="Times New Roman"/>
          <w:sz w:val="15"/>
          <w:szCs w:val="15"/>
          <w:color w:val="auto"/>
        </w:rPr>
        <w:t>The errors identified in the Capitalization of Expenses category encompass errors relating to expenses that were erroneously capitalized as an asset and vice-versa as of and for the years ended December 31, 2022 and December 31, 2021. The most significant transactions in this category include incorrect recognition of certain assets in China,</w:t>
      </w:r>
    </w:p>
    <w:p>
      <w:pPr>
        <w:spacing w:after="0" w:line="1" w:lineRule="exact"/>
        <w:rPr>
          <w:sz w:val="20"/>
          <w:szCs w:val="20"/>
          <w:color w:val="auto"/>
        </w:rPr>
      </w:pPr>
    </w:p>
    <w:p>
      <w:pPr>
        <w:jc w:val="both"/>
        <w:ind w:left="547"/>
        <w:spacing w:after="0" w:line="224" w:lineRule="auto"/>
        <w:rPr>
          <w:sz w:val="20"/>
          <w:szCs w:val="20"/>
          <w:color w:val="auto"/>
        </w:rPr>
      </w:pPr>
      <w:r>
        <w:rPr>
          <w:rFonts w:ascii="Times New Roman" w:cs="Times New Roman" w:eastAsia="Times New Roman" w:hAnsi="Times New Roman"/>
          <w:sz w:val="15"/>
          <w:szCs w:val="15"/>
          <w:color w:val="auto"/>
        </w:rPr>
        <w:t>and the incorrect capitalization of manufacturing engineering expenses as an intangible asset related to services provided to certain contract manufacturing facilities. The net impact of the capitalization related error corrections on the Consolidated Statements of Loss and Comprehensive Loss was an increase in the loss of $8,187 and $1,837 in 2022 and 2021, respectively.</w:t>
      </w:r>
    </w:p>
    <w:p>
      <w:pPr>
        <w:spacing w:after="0" w:line="145" w:lineRule="exact"/>
        <w:rPr>
          <w:sz w:val="20"/>
          <w:szCs w:val="20"/>
          <w:color w:val="auto"/>
        </w:rPr>
      </w:pPr>
    </w:p>
    <w:p>
      <w:pPr>
        <w:ind w:left="367" w:hanging="367"/>
        <w:spacing w:after="0"/>
        <w:tabs>
          <w:tab w:leader="none" w:pos="367"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Other - Reclassifications</w:t>
      </w:r>
    </w:p>
    <w:p>
      <w:pPr>
        <w:spacing w:after="0" w:line="75" w:lineRule="exact"/>
        <w:rPr>
          <w:sz w:val="20"/>
          <w:szCs w:val="20"/>
          <w:color w:val="auto"/>
        </w:rPr>
      </w:pPr>
    </w:p>
    <w:p>
      <w:pPr>
        <w:jc w:val="both"/>
        <w:ind w:left="547"/>
        <w:spacing w:after="0" w:line="228" w:lineRule="auto"/>
        <w:rPr>
          <w:sz w:val="20"/>
          <w:szCs w:val="20"/>
          <w:color w:val="auto"/>
        </w:rPr>
      </w:pPr>
      <w:r>
        <w:rPr>
          <w:rFonts w:ascii="Times New Roman" w:cs="Times New Roman" w:eastAsia="Times New Roman" w:hAnsi="Times New Roman"/>
          <w:sz w:val="15"/>
          <w:szCs w:val="15"/>
          <w:color w:val="auto"/>
        </w:rPr>
        <w:t>The errors identified in the Other - Reclassifications category encompass errors arising from misallocations of assets and liabilities between different financial statement captions and misallocations of assets and liabilities between current and non-current. The most significant adjustments in this category include non-current reclassification</w:t>
      </w:r>
    </w:p>
    <w:p>
      <w:pPr>
        <w:spacing w:after="0" w:line="1" w:lineRule="exact"/>
        <w:rPr>
          <w:sz w:val="20"/>
          <w:szCs w:val="20"/>
          <w:color w:val="auto"/>
        </w:rPr>
      </w:pPr>
    </w:p>
    <w:p>
      <w:pPr>
        <w:jc w:val="both"/>
        <w:ind w:left="547"/>
        <w:spacing w:after="0" w:line="214" w:lineRule="auto"/>
        <w:rPr>
          <w:sz w:val="20"/>
          <w:szCs w:val="20"/>
          <w:color w:val="auto"/>
        </w:rPr>
      </w:pPr>
      <w:r>
        <w:rPr>
          <w:rFonts w:ascii="Times New Roman" w:cs="Times New Roman" w:eastAsia="Times New Roman" w:hAnsi="Times New Roman"/>
          <w:sz w:val="15"/>
          <w:szCs w:val="15"/>
          <w:color w:val="auto"/>
        </w:rPr>
        <w:t>misstatements related to certain buyback liabilities, an error in lease asset and liability in the United Kingdom, and overstatement of advances from customers and accounts receivable in Germany. There is a marginal impact to the Consolidated Statements of Loss and Comprehensive Loss for the twelve months ended December 31, 2021, and December 31, 2022, due to reclassifications relating to lease expense reversals upon the reclassification of a lease liability to a financing obligation in Korea. Furthermore,</w:t>
      </w:r>
    </w:p>
    <w:p>
      <w:pPr>
        <w:spacing w:after="0" w:line="2" w:lineRule="exact"/>
        <w:rPr>
          <w:sz w:val="20"/>
          <w:szCs w:val="20"/>
          <w:color w:val="auto"/>
        </w:rPr>
      </w:pPr>
    </w:p>
    <w:p>
      <w:pPr>
        <w:jc w:val="both"/>
        <w:ind w:left="547"/>
        <w:spacing w:after="0" w:line="224" w:lineRule="auto"/>
        <w:rPr>
          <w:sz w:val="20"/>
          <w:szCs w:val="20"/>
          <w:color w:val="auto"/>
        </w:rPr>
      </w:pPr>
      <w:r>
        <w:rPr>
          <w:rFonts w:ascii="Times New Roman" w:cs="Times New Roman" w:eastAsia="Times New Roman" w:hAnsi="Times New Roman"/>
          <w:sz w:val="15"/>
          <w:szCs w:val="15"/>
          <w:color w:val="auto"/>
        </w:rPr>
        <w:t>related party balances from Other non-current interest-bearing liabilities and Interest-bearing current liabilities have been reclassified to respective related party line items on the Consolidated Statements of Financial Position as of December 31, 2021, and December 31, 2022, to maintain consistency with the Consolidated Statement of Financial Position as of December 31, 2023.</w:t>
      </w:r>
    </w:p>
    <w:p>
      <w:pPr>
        <w:spacing w:after="0" w:line="145" w:lineRule="exact"/>
        <w:rPr>
          <w:sz w:val="20"/>
          <w:szCs w:val="20"/>
          <w:color w:val="auto"/>
        </w:rPr>
      </w:pPr>
    </w:p>
    <w:p>
      <w:pPr>
        <w:ind w:left="327" w:hanging="327"/>
        <w:spacing w:after="0"/>
        <w:tabs>
          <w:tab w:leader="none" w:pos="327"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Deferred Taxes and Income Taxes</w:t>
      </w:r>
    </w:p>
    <w:p>
      <w:pPr>
        <w:spacing w:after="0" w:line="75" w:lineRule="exact"/>
        <w:rPr>
          <w:sz w:val="20"/>
          <w:szCs w:val="20"/>
          <w:color w:val="auto"/>
        </w:rPr>
      </w:pPr>
    </w:p>
    <w:p>
      <w:pPr>
        <w:jc w:val="both"/>
        <w:ind w:left="547"/>
        <w:spacing w:after="0" w:line="222" w:lineRule="auto"/>
        <w:rPr>
          <w:sz w:val="20"/>
          <w:szCs w:val="20"/>
          <w:color w:val="auto"/>
        </w:rPr>
      </w:pPr>
      <w:r>
        <w:rPr>
          <w:rFonts w:ascii="Times New Roman" w:cs="Times New Roman" w:eastAsia="Times New Roman" w:hAnsi="Times New Roman"/>
          <w:sz w:val="15"/>
          <w:szCs w:val="15"/>
          <w:color w:val="auto"/>
        </w:rPr>
        <w:t>The errors identified in the Deferred Taxes and Income Taxes category encompass errors relating to the recognition, measurement, and reporting of the Group’s Deferred tax assets, Deferred tax liabilities, and income tax expenses as of and for the years ended December 31, 2022 and December 31, 2021. These errors include improper estimation of deferred tax amounts, errors in tax calculations, and errors pertaining to the treatment of value added tax. The most significant transactions in this category include</w:t>
      </w:r>
    </w:p>
    <w:p>
      <w:pPr>
        <w:jc w:val="both"/>
        <w:ind w:left="547"/>
        <w:spacing w:after="0" w:line="214" w:lineRule="auto"/>
        <w:rPr>
          <w:sz w:val="20"/>
          <w:szCs w:val="20"/>
          <w:color w:val="auto"/>
        </w:rPr>
      </w:pPr>
      <w:r>
        <w:rPr>
          <w:rFonts w:ascii="Times New Roman" w:cs="Times New Roman" w:eastAsia="Times New Roman" w:hAnsi="Times New Roman"/>
          <w:sz w:val="15"/>
          <w:szCs w:val="15"/>
          <w:color w:val="auto"/>
        </w:rPr>
        <w:t>incorrect recognition of Deferred tax assets and deferred liabilities at the Sweden tax rate, instead of the local market rate, and incorrect recording of Deferred taxes and Income tax expense in North America resulting from the other misstatement categories explained. The tax impact of all misstatement corrections has also been recognized. The net impact of the tax related error corrections and the tax effect of the other error corrections on the Consolidated Statements of Loss and Comprehensive Loss was an</w:t>
      </w:r>
    </w:p>
    <w:p>
      <w:pPr>
        <w:spacing w:after="0" w:line="2"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5"/>
          <w:szCs w:val="15"/>
          <w:color w:val="auto"/>
        </w:rPr>
        <w:t>increase in the loss of $12,876 in 2022 and a reduction of the loss of $3,411 in 2021, respectively.</w:t>
      </w:r>
    </w:p>
    <w:p>
      <w:pPr>
        <w:spacing w:after="0" w:line="1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Current Restatement</w:t>
      </w:r>
    </w:p>
    <w:p>
      <w:pPr>
        <w:spacing w:after="0" w:line="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Subsequent to the issuance of the consolidated financial statements included within the Annual Reports on Form 20-F for the years ended December 31, 2022, and December 31,</w:t>
      </w:r>
    </w:p>
    <w:p>
      <w:pPr>
        <w:spacing w:after="0" w:line="6" w:lineRule="exact"/>
        <w:rPr>
          <w:sz w:val="20"/>
          <w:szCs w:val="20"/>
          <w:color w:val="auto"/>
        </w:rPr>
      </w:pPr>
    </w:p>
    <w:p>
      <w:pPr>
        <w:ind w:left="7" w:right="20"/>
        <w:spacing w:after="0" w:line="232" w:lineRule="auto"/>
        <w:rPr>
          <w:sz w:val="20"/>
          <w:szCs w:val="20"/>
          <w:color w:val="auto"/>
        </w:rPr>
      </w:pPr>
      <w:r>
        <w:rPr>
          <w:rFonts w:ascii="Times New Roman" w:cs="Times New Roman" w:eastAsia="Times New Roman" w:hAnsi="Times New Roman"/>
          <w:sz w:val="15"/>
          <w:szCs w:val="15"/>
          <w:color w:val="auto"/>
        </w:rPr>
        <w:t>2023, management identified misstatements in connection with the preparation of our consolidated financial statements as of and for the year ended December 31, 2024 that warranted the restatement of the 2022 and 2023 annual consolidated financial statements. The Current Restatement relates to the following misstatements:</w:t>
      </w:r>
    </w:p>
    <w:p>
      <w:pPr>
        <w:spacing w:after="0" w:line="133" w:lineRule="exact"/>
        <w:rPr>
          <w:sz w:val="20"/>
          <w:szCs w:val="20"/>
          <w:color w:val="auto"/>
        </w:rPr>
      </w:pPr>
    </w:p>
    <w:p>
      <w:pPr>
        <w:ind w:left="267" w:hanging="267"/>
        <w:spacing w:after="0"/>
        <w:tabs>
          <w:tab w:leader="none" w:pos="267"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Unique Tooling Assets Under Construction</w:t>
      </w:r>
    </w:p>
    <w:p>
      <w:pPr>
        <w:spacing w:after="0" w:line="3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7405"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8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5" w:right="319" w:bottom="1440" w:gutter="0" w:footer="0" w:header="0"/>
        </w:sectPr>
      </w:pPr>
    </w:p>
    <w:bookmarkStart w:id="133" w:name="page134"/>
    <w:bookmarkEnd w:id="133"/>
    <w:p>
      <w:pPr>
        <w:jc w:val="center"/>
        <w:ind w:righ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left="547"/>
        <w:spacing w:after="0" w:line="228" w:lineRule="auto"/>
        <w:rPr>
          <w:sz w:val="20"/>
          <w:szCs w:val="20"/>
          <w:color w:val="auto"/>
        </w:rPr>
      </w:pPr>
      <w:r>
        <w:rPr>
          <w:rFonts w:ascii="Times New Roman" w:cs="Times New Roman" w:eastAsia="Times New Roman" w:hAnsi="Times New Roman"/>
          <w:sz w:val="15"/>
          <w:szCs w:val="15"/>
          <w:color w:val="auto"/>
        </w:rPr>
        <w:t>This error is the primary reason for the restatement decision. The Company owns unique tooling which is used in the manufacturing of its vehicles. This unique tooling had previously been recognized as property, plant and equipment once either the production standard part process test is conducted or production utilizing the unique vendor</w:t>
      </w:r>
    </w:p>
    <w:p>
      <w:pPr>
        <w:spacing w:after="0" w:line="1" w:lineRule="exact"/>
        <w:rPr>
          <w:sz w:val="20"/>
          <w:szCs w:val="20"/>
          <w:color w:val="auto"/>
        </w:rPr>
      </w:pPr>
    </w:p>
    <w:p>
      <w:pPr>
        <w:jc w:val="both"/>
        <w:ind w:left="547"/>
        <w:spacing w:after="0" w:line="214" w:lineRule="auto"/>
        <w:rPr>
          <w:sz w:val="20"/>
          <w:szCs w:val="20"/>
          <w:color w:val="auto"/>
        </w:rPr>
      </w:pPr>
      <w:r>
        <w:rPr>
          <w:rFonts w:ascii="Times New Roman" w:cs="Times New Roman" w:eastAsia="Times New Roman" w:hAnsi="Times New Roman"/>
          <w:sz w:val="15"/>
          <w:szCs w:val="15"/>
          <w:color w:val="auto"/>
        </w:rPr>
        <w:t>tools has occurred, whichever is earlier. Management determined due to contractual terms that certain unique tooling should have instead been recognized as assets under construction (“AUC”) in the Property, plant, and equipment financial statement caption according to the progression of work, resulting in a material understatement of AUC and a corresponding understatement of Other current liabilities and Other non-current liabilities in the 2022 and 2023 Consolidated Statement of Financial Position. The</w:t>
      </w:r>
    </w:p>
    <w:p>
      <w:pPr>
        <w:spacing w:after="0" w:line="2" w:lineRule="exact"/>
        <w:rPr>
          <w:sz w:val="20"/>
          <w:szCs w:val="20"/>
          <w:color w:val="auto"/>
        </w:rPr>
      </w:pPr>
    </w:p>
    <w:p>
      <w:pPr>
        <w:jc w:val="both"/>
        <w:ind w:left="547"/>
        <w:spacing w:after="0" w:line="232" w:lineRule="auto"/>
        <w:rPr>
          <w:sz w:val="20"/>
          <w:szCs w:val="20"/>
          <w:color w:val="auto"/>
        </w:rPr>
      </w:pPr>
      <w:r>
        <w:rPr>
          <w:rFonts w:ascii="Times New Roman" w:cs="Times New Roman" w:eastAsia="Times New Roman" w:hAnsi="Times New Roman"/>
          <w:sz w:val="15"/>
          <w:szCs w:val="15"/>
          <w:color w:val="auto"/>
        </w:rPr>
        <w:t>reconsideration of the AUC recognition changes the timing of recognizing AUC but does not change the expected total amount of AUC to be acquired. There is no impact on the 2022 and 2023 Consolidated Statements of Loss and Comprehensive Loss as a result of the AUC misstatement.</w:t>
      </w:r>
    </w:p>
    <w:p>
      <w:pPr>
        <w:spacing w:after="0" w:line="133" w:lineRule="exact"/>
        <w:rPr>
          <w:sz w:val="20"/>
          <w:szCs w:val="20"/>
          <w:color w:val="auto"/>
        </w:rPr>
      </w:pPr>
    </w:p>
    <w:p>
      <w:pPr>
        <w:ind w:left="307" w:hanging="307"/>
        <w:spacing w:after="0"/>
        <w:tabs>
          <w:tab w:leader="none" w:pos="307"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Reclassification of Cash Flows</w:t>
      </w:r>
    </w:p>
    <w:p>
      <w:pPr>
        <w:spacing w:after="0" w:line="86" w:lineRule="exact"/>
        <w:rPr>
          <w:sz w:val="20"/>
          <w:szCs w:val="20"/>
          <w:color w:val="auto"/>
        </w:rPr>
      </w:pPr>
    </w:p>
    <w:p>
      <w:pPr>
        <w:jc w:val="both"/>
        <w:ind w:left="547"/>
        <w:spacing w:after="0" w:line="232" w:lineRule="auto"/>
        <w:rPr>
          <w:sz w:val="20"/>
          <w:szCs w:val="20"/>
          <w:color w:val="auto"/>
        </w:rPr>
      </w:pPr>
      <w:r>
        <w:rPr>
          <w:rFonts w:ascii="Times New Roman" w:cs="Times New Roman" w:eastAsia="Times New Roman" w:hAnsi="Times New Roman"/>
          <w:sz w:val="15"/>
          <w:szCs w:val="15"/>
          <w:color w:val="auto"/>
        </w:rPr>
        <w:t>There was a classification error between investing and operating activities in the Consolidated Statement of Cash Flows related to cash paid for intellectual property (IP). While this error had no impact to the Consolidated Statements of Loss and Comprehensive Loss, it led to an overstatement of cash used for investing activities and an understatement of cash used for operating activities in the amount of $21,400.</w:t>
      </w:r>
    </w:p>
    <w:p>
      <w:pPr>
        <w:spacing w:after="0" w:line="144" w:lineRule="exact"/>
        <w:rPr>
          <w:sz w:val="20"/>
          <w:szCs w:val="20"/>
          <w:color w:val="auto"/>
        </w:rPr>
      </w:pPr>
    </w:p>
    <w:p>
      <w:pPr>
        <w:ind w:left="347" w:hanging="347"/>
        <w:spacing w:after="0"/>
        <w:tabs>
          <w:tab w:leader="none" w:pos="34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Other – Reclassifications</w:t>
      </w:r>
    </w:p>
    <w:p>
      <w:pPr>
        <w:spacing w:after="0" w:line="75" w:lineRule="exact"/>
        <w:rPr>
          <w:sz w:val="20"/>
          <w:szCs w:val="20"/>
          <w:color w:val="auto"/>
        </w:rPr>
      </w:pPr>
    </w:p>
    <w:p>
      <w:pPr>
        <w:ind w:left="547"/>
        <w:spacing w:after="0" w:line="228" w:lineRule="auto"/>
        <w:rPr>
          <w:sz w:val="20"/>
          <w:szCs w:val="20"/>
          <w:color w:val="auto"/>
        </w:rPr>
      </w:pPr>
      <w:r>
        <w:rPr>
          <w:rFonts w:ascii="Times New Roman" w:cs="Times New Roman" w:eastAsia="Times New Roman" w:hAnsi="Times New Roman"/>
          <w:sz w:val="15"/>
          <w:szCs w:val="15"/>
          <w:color w:val="auto"/>
        </w:rPr>
        <w:t>The errors identified in the Other – Reclassification category encompass errors arising from misallocations of assets and liabilities between different financial statement captions, misallocations of assets and liabilities between current and non-current and misallocations of revenue and expenses. There is no resulting impact on the net loss or</w:t>
      </w:r>
    </w:p>
    <w:p>
      <w:pPr>
        <w:spacing w:after="0" w:line="1"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5"/>
          <w:szCs w:val="15"/>
          <w:color w:val="auto"/>
        </w:rPr>
        <w:t>total comprehensive net loss included in the Consolidated Statements of Loss and Comprehensive Loss, respectively, from correcting these errors.</w:t>
      </w:r>
    </w:p>
    <w:p>
      <w:pPr>
        <w:spacing w:after="0" w:line="143" w:lineRule="exact"/>
        <w:rPr>
          <w:sz w:val="20"/>
          <w:szCs w:val="20"/>
          <w:color w:val="auto"/>
        </w:rPr>
      </w:pPr>
    </w:p>
    <w:p>
      <w:pPr>
        <w:ind w:left="267" w:hanging="267"/>
        <w:spacing w:after="0"/>
        <w:tabs>
          <w:tab w:leader="none" w:pos="267"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Other – Miscellaneous</w:t>
      </w:r>
    </w:p>
    <w:p>
      <w:pPr>
        <w:spacing w:after="0" w:line="75"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5"/>
          <w:szCs w:val="15"/>
          <w:color w:val="auto"/>
        </w:rPr>
        <w:t>The errors identified in the Other – Miscellaneous category encompass several insignificant errors that were corrected as part of the restatement process. These errors have</w:t>
      </w:r>
    </w:p>
    <w:p>
      <w:pPr>
        <w:spacing w:after="0" w:line="6" w:lineRule="exact"/>
        <w:rPr>
          <w:sz w:val="20"/>
          <w:szCs w:val="20"/>
          <w:color w:val="auto"/>
        </w:rPr>
      </w:pPr>
    </w:p>
    <w:p>
      <w:pPr>
        <w:ind w:left="547"/>
        <w:spacing w:after="0" w:line="232" w:lineRule="auto"/>
        <w:rPr>
          <w:sz w:val="20"/>
          <w:szCs w:val="20"/>
          <w:color w:val="auto"/>
        </w:rPr>
      </w:pPr>
      <w:r>
        <w:rPr>
          <w:rFonts w:ascii="Times New Roman" w:cs="Times New Roman" w:eastAsia="Times New Roman" w:hAnsi="Times New Roman"/>
          <w:sz w:val="15"/>
          <w:szCs w:val="15"/>
          <w:color w:val="auto"/>
        </w:rPr>
        <w:t>an immaterial impact on the 2022 and 2023 Consolidated Statements of Loss and Comprehensive Loss. The errors in this category relate to vehicles with repurchase obligations errors, tax calculation errors, as well as both the understatement and overstatement of accruals and other provisions.</w:t>
      </w:r>
    </w:p>
    <w:p>
      <w:pPr>
        <w:spacing w:after="0" w:line="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tables below present the effect of the correction of the misstatements and the revision on the Consolidated Statements of Loss and Comprehensive Loss, Consolidated Statements</w:t>
      </w:r>
    </w:p>
    <w:p>
      <w:pPr>
        <w:spacing w:after="0" w:line="6" w:lineRule="exact"/>
        <w:rPr>
          <w:sz w:val="20"/>
          <w:szCs w:val="20"/>
          <w:color w:val="auto"/>
        </w:rPr>
      </w:pPr>
    </w:p>
    <w:p>
      <w:pPr>
        <w:jc w:val="both"/>
        <w:ind w:left="7"/>
        <w:spacing w:after="0" w:line="214" w:lineRule="auto"/>
        <w:rPr>
          <w:sz w:val="20"/>
          <w:szCs w:val="20"/>
          <w:color w:val="auto"/>
        </w:rPr>
      </w:pPr>
      <w:r>
        <w:rPr>
          <w:rFonts w:ascii="Times New Roman" w:cs="Times New Roman" w:eastAsia="Times New Roman" w:hAnsi="Times New Roman"/>
          <w:sz w:val="15"/>
          <w:szCs w:val="15"/>
          <w:color w:val="auto"/>
        </w:rPr>
        <w:t>of Financial Position and Consolidated Statements of Cash Flows as of and for the years ended December 31, 2023, and December 31, 2022. The adjustments identified related to the Consolidated Statements of Cash Flows for the years ended December 31, 2023, and December 31, 2022 only impact the classifications between cash flows (used in)/from operating, investing and financing, and do not result in a change in Cash and cash equivalents for the years ended December 31, 2023 and December 31, 2022, from the originally reported</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amounts.</w:t>
      </w:r>
    </w:p>
    <w:p>
      <w:pPr>
        <w:spacing w:after="0" w:line="1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Consolidated Statement of Loss and Comprehensive Loss for the year ended December 31, 2023</w:t>
      </w:r>
    </w:p>
    <w:p>
      <w:pPr>
        <w:spacing w:after="0" w:line="106"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408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218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As originally filed</w:t>
            </w:r>
          </w:p>
        </w:tc>
        <w:tc>
          <w:tcPr>
            <w:tcW w:w="160" w:type="dxa"/>
            <w:vAlign w:val="bottom"/>
            <w:shd w:val="clear" w:color="auto" w:fill="DBDBDB"/>
          </w:tcPr>
          <w:p>
            <w:pPr>
              <w:spacing w:after="0"/>
              <w:rPr>
                <w:sz w:val="15"/>
                <w:szCs w:val="15"/>
                <w:color w:val="auto"/>
              </w:rPr>
            </w:pPr>
          </w:p>
        </w:tc>
        <w:tc>
          <w:tcPr>
            <w:tcW w:w="1080" w:type="dxa"/>
            <w:vAlign w:val="bottom"/>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157"/>
        </w:trPr>
        <w:tc>
          <w:tcPr>
            <w:tcW w:w="4080" w:type="dxa"/>
            <w:vAlign w:val="bottom"/>
            <w:vMerge w:val="continue"/>
            <w:shd w:val="clear" w:color="auto" w:fill="DBDBDB"/>
          </w:tcPr>
          <w:p>
            <w:pPr>
              <w:spacing w:after="0"/>
              <w:rPr>
                <w:sz w:val="13"/>
                <w:szCs w:val="13"/>
                <w:color w:val="auto"/>
              </w:rPr>
            </w:pPr>
          </w:p>
        </w:tc>
        <w:tc>
          <w:tcPr>
            <w:tcW w:w="21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shd w:val="clear" w:color="auto" w:fill="DBDBDB"/>
          </w:tcPr>
          <w:p>
            <w:pPr>
              <w:jc w:val="center"/>
              <w:ind w:right="43"/>
              <w:spacing w:after="0" w:line="158" w:lineRule="exact"/>
              <w:rPr>
                <w:sz w:val="20"/>
                <w:szCs w:val="20"/>
                <w:color w:val="auto"/>
              </w:rPr>
            </w:pPr>
            <w:r>
              <w:rPr>
                <w:rFonts w:ascii="Times New Roman" w:cs="Times New Roman" w:eastAsia="Times New Roman" w:hAnsi="Times New Roman"/>
                <w:sz w:val="15"/>
                <w:szCs w:val="15"/>
                <w:b w:val="1"/>
                <w:bCs w:val="1"/>
                <w:color w:val="auto"/>
              </w:rPr>
              <w:t>on August 14,</w:t>
            </w:r>
          </w:p>
        </w:tc>
        <w:tc>
          <w:tcPr>
            <w:tcW w:w="160" w:type="dxa"/>
            <w:vAlign w:val="bottom"/>
            <w:shd w:val="clear" w:color="auto" w:fill="DBDBDB"/>
          </w:tcPr>
          <w:p>
            <w:pPr>
              <w:spacing w:after="0"/>
              <w:rPr>
                <w:sz w:val="13"/>
                <w:szCs w:val="13"/>
                <w:color w:val="auto"/>
              </w:rPr>
            </w:pPr>
          </w:p>
        </w:tc>
        <w:tc>
          <w:tcPr>
            <w:tcW w:w="1080" w:type="dxa"/>
            <w:vAlign w:val="bottom"/>
            <w:shd w:val="clear" w:color="auto" w:fill="DBDBDB"/>
          </w:tcPr>
          <w:p>
            <w:pPr>
              <w:jc w:val="center"/>
              <w:ind w:right="63"/>
              <w:spacing w:after="0" w:line="158"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8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60" w:type="dxa"/>
            <w:vAlign w:val="bottom"/>
            <w:shd w:val="clear" w:color="auto" w:fill="DBDBDB"/>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197"/>
        </w:trPr>
        <w:tc>
          <w:tcPr>
            <w:tcW w:w="4080" w:type="dxa"/>
            <w:vAlign w:val="bottom"/>
            <w:shd w:val="clear" w:color="auto" w:fill="DBDBDB"/>
          </w:tcPr>
          <w:p>
            <w:pPr>
              <w:spacing w:after="0"/>
              <w:rPr>
                <w:sz w:val="17"/>
                <w:szCs w:val="17"/>
                <w:color w:val="auto"/>
              </w:rPr>
            </w:pPr>
          </w:p>
        </w:tc>
        <w:tc>
          <w:tcPr>
            <w:tcW w:w="218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2,378,562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(10,477)</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2,368,085</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18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(2,791,643)</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13,421</w:t>
            </w: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(2,778,222)</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 (ix)</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21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(413,081)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2,944</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(410,137)</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2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(949,683)</w:t>
            </w:r>
          </w:p>
        </w:tc>
        <w:tc>
          <w:tcPr>
            <w:tcW w:w="16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5,506</w:t>
            </w:r>
          </w:p>
        </w:tc>
        <w:tc>
          <w:tcPr>
            <w:tcW w:w="18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(944,177)</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(158,406)</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(157,280)</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operating income (expense), net</w:t>
            </w:r>
          </w:p>
        </w:tc>
        <w:tc>
          <w:tcPr>
            <w:tcW w:w="21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41,204</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42,080</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40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218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21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(1,479,966)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10,452</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(1,469,514)</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Finance income</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69,454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69,565</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Finance expense</w:t>
            </w:r>
          </w:p>
        </w:tc>
        <w:tc>
          <w:tcPr>
            <w:tcW w:w="21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(213,321)</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(213,242)</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443,168</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443,168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21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22,000</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22,000</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Share of losses in associates</w:t>
            </w:r>
          </w:p>
        </w:tc>
        <w:tc>
          <w:tcPr>
            <w:tcW w:w="218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(43,304)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(43,304)</w:t>
            </w:r>
          </w:p>
        </w:tc>
        <w:tc>
          <w:tcPr>
            <w:tcW w:w="12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21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(1,201,969)</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10,642</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(1,191,327)</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21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7,138</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9,452</w:t>
            </w:r>
          </w:p>
        </w:tc>
        <w:tc>
          <w:tcPr>
            <w:tcW w:w="126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88"/>
        </w:trPr>
        <w:tc>
          <w:tcPr>
            <w:tcW w:w="40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218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(1,194,831)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12,956</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loss per share (in U.S. dollars)</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Class A - Basic and Diluted</w:t>
            </w:r>
          </w:p>
        </w:tc>
        <w:tc>
          <w:tcPr>
            <w:tcW w:w="21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(0.57)</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(0.56)</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Class B - Basic and Diluted</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(0.57)</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4080" w:type="dxa"/>
            <w:vAlign w:val="bottom"/>
          </w:tcPr>
          <w:p>
            <w:pPr>
              <w:spacing w:after="0"/>
              <w:rPr>
                <w:sz w:val="24"/>
                <w:szCs w:val="24"/>
                <w:color w:val="auto"/>
              </w:rPr>
            </w:pPr>
          </w:p>
        </w:tc>
        <w:tc>
          <w:tcPr>
            <w:tcW w:w="2300" w:type="dxa"/>
            <w:vAlign w:val="bottom"/>
            <w:gridSpan w:val="2"/>
          </w:tcPr>
          <w:p>
            <w:pPr>
              <w:jc w:val="right"/>
              <w:ind w:right="543"/>
              <w:spacing w:after="0"/>
              <w:rPr>
                <w:sz w:val="20"/>
                <w:szCs w:val="20"/>
                <w:color w:val="auto"/>
              </w:rPr>
            </w:pPr>
            <w:r>
              <w:rPr>
                <w:rFonts w:ascii="Times New Roman" w:cs="Times New Roman" w:eastAsia="Times New Roman" w:hAnsi="Times New Roman"/>
                <w:sz w:val="15"/>
                <w:szCs w:val="15"/>
                <w:color w:val="auto"/>
              </w:rPr>
              <w:t>F-68</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08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8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8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04" w:right="31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 of Comprehensive Loss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(1,194,831)</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12,956</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(1,181,875)</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Other comprehensive income:</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Items that may be subsequently reclassified to the Consolidated Statement of Loss: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Exchange rate differences from translation of foreign operations</w:t>
            </w:r>
          </w:p>
        </w:tc>
        <w:tc>
          <w:tcPr>
            <w:tcW w:w="9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(10,237)</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(10,143)</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other comprehensive (loss) income</w:t>
            </w:r>
          </w:p>
        </w:tc>
        <w:tc>
          <w:tcPr>
            <w:tcW w:w="9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(10,237)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(10,143)</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96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(1,205,068)</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13,050</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(1,192,018)</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Statement of Financial Position as of December 31, 2023</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50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5300" w:type="dxa"/>
            <w:vAlign w:val="bottom"/>
            <w:gridSpan w:val="2"/>
            <w:vMerge w:val="restart"/>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960" w:type="dxa"/>
            <w:vAlign w:val="bottom"/>
            <w:shd w:val="clear" w:color="auto" w:fill="DBDBDB"/>
          </w:tcPr>
          <w:p>
            <w:pPr>
              <w:spacing w:after="0"/>
              <w:rPr>
                <w:sz w:val="13"/>
                <w:szCs w:val="13"/>
                <w:color w:val="auto"/>
              </w:rPr>
            </w:pPr>
          </w:p>
        </w:tc>
        <w:tc>
          <w:tcPr>
            <w:tcW w:w="1240" w:type="dxa"/>
            <w:vAlign w:val="bottom"/>
            <w:gridSpan w:val="2"/>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As originally filed</w:t>
            </w:r>
          </w:p>
        </w:tc>
        <w:tc>
          <w:tcPr>
            <w:tcW w:w="160" w:type="dxa"/>
            <w:vAlign w:val="bottom"/>
            <w:shd w:val="clear" w:color="auto" w:fill="DBDBDB"/>
          </w:tcPr>
          <w:p>
            <w:pPr>
              <w:spacing w:after="0"/>
              <w:rPr>
                <w:sz w:val="13"/>
                <w:szCs w:val="13"/>
                <w:color w:val="auto"/>
              </w:rPr>
            </w:pPr>
          </w:p>
        </w:tc>
        <w:tc>
          <w:tcPr>
            <w:tcW w:w="1080" w:type="dxa"/>
            <w:vAlign w:val="bottom"/>
            <w:shd w:val="clear" w:color="auto" w:fill="DBDBDB"/>
          </w:tcPr>
          <w:p>
            <w:pPr>
              <w:jc w:val="center"/>
              <w:ind w:right="63"/>
              <w:spacing w:after="0" w:line="151" w:lineRule="exact"/>
              <w:rPr>
                <w:sz w:val="20"/>
                <w:szCs w:val="20"/>
                <w:color w:val="auto"/>
              </w:rPr>
            </w:pPr>
            <w:r>
              <w:rPr>
                <w:rFonts w:ascii="Times New Roman" w:cs="Times New Roman" w:eastAsia="Times New Roman" w:hAnsi="Times New Roman"/>
                <w:sz w:val="15"/>
                <w:szCs w:val="15"/>
                <w:b w:val="1"/>
                <w:bCs w:val="1"/>
                <w:color w:val="auto"/>
              </w:rPr>
              <w:t>Current</w:t>
            </w:r>
          </w:p>
        </w:tc>
        <w:tc>
          <w:tcPr>
            <w:tcW w:w="1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26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155"/>
        </w:trPr>
        <w:tc>
          <w:tcPr>
            <w:tcW w:w="5300" w:type="dxa"/>
            <w:vAlign w:val="bottom"/>
            <w:gridSpan w:val="2"/>
            <w:vMerge w:val="continue"/>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shd w:val="clear" w:color="auto" w:fill="DBDBDB"/>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on August 14,</w:t>
            </w:r>
          </w:p>
        </w:tc>
        <w:tc>
          <w:tcPr>
            <w:tcW w:w="160" w:type="dxa"/>
            <w:vAlign w:val="bottom"/>
            <w:shd w:val="clear" w:color="auto" w:fill="DBDBDB"/>
          </w:tcPr>
          <w:p>
            <w:pPr>
              <w:spacing w:after="0"/>
              <w:rPr>
                <w:sz w:val="13"/>
                <w:szCs w:val="13"/>
                <w:color w:val="auto"/>
              </w:rPr>
            </w:pPr>
          </w:p>
        </w:tc>
        <w:tc>
          <w:tcPr>
            <w:tcW w:w="1080" w:type="dxa"/>
            <w:vAlign w:val="bottom"/>
            <w:shd w:val="clear" w:color="auto" w:fill="DBDBDB"/>
          </w:tcPr>
          <w:p>
            <w:pPr>
              <w:jc w:val="center"/>
              <w:ind w:right="63"/>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8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60" w:type="dxa"/>
            <w:vAlign w:val="bottom"/>
            <w:shd w:val="clear" w:color="auto" w:fill="DBDBDB"/>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204"/>
        </w:trPr>
        <w:tc>
          <w:tcPr>
            <w:tcW w:w="450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17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Non-current assets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Intangible assets and goodwill</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1,412,729</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5,978</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1,418,707</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316,867</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159,172</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476,039</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w:t>
            </w: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Vehicles under operating leases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67,931</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2,292</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70,223</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7,212</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2,521</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9,733</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Deferred tax assets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43,041</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(705)</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42,336</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investments</w:t>
            </w:r>
          </w:p>
        </w:tc>
        <w:tc>
          <w:tcPr>
            <w:tcW w:w="9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2,414</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2,414</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0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9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1,850,194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169,258</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2,019,452</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9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768,927</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(663)</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768,264</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126,205</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511</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126,716</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Trade receivables - related parties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61,026</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61,026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Accrued income - related parties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152,605</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152,605</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939,359</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(11,673)</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927,686</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Current tax assets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9,270</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3,387</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12,657</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Assets held for sale</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current assets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204,142</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10,086</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214,228</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color w:val="auto"/>
              </w:rPr>
              <w:t>Other current assets - related parties</w:t>
            </w:r>
          </w:p>
        </w:tc>
        <w:tc>
          <w:tcPr>
            <w:tcW w:w="96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9,576</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9,576</w:t>
            </w:r>
          </w:p>
        </w:tc>
        <w:tc>
          <w:tcPr>
            <w:tcW w:w="12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96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2,271,110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1,648</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2,272,758</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0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9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4,121,304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170,906</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4,292,210</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9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Share capital</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(21,168)</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(21,168)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contributed capital</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(3,615,187)</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(3,615,187)</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Foreign currency translation reserve</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26,010</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(371)</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25,639</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Accumulated deficit</w:t>
            </w:r>
          </w:p>
        </w:tc>
        <w:tc>
          <w:tcPr>
            <w:tcW w:w="96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4,872,644</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(10,937)</w:t>
            </w: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4,861,707</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9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1,262,299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(11,308)</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1,250,991</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9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Non-current contract liabilities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(63,063)</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(63,153)</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Deferred tax liabilities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(3,335)</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(3,335)</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provisions</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(104,681)</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1,073</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(103,608)</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(73,149)</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(54,274)</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(127,423)</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 (ix)</w:t>
            </w:r>
          </w:p>
        </w:tc>
        <w:tc>
          <w:tcPr>
            <w:tcW w:w="0" w:type="dxa"/>
            <w:vAlign w:val="bottom"/>
          </w:tcPr>
          <w:p>
            <w:pPr>
              <w:spacing w:after="0"/>
              <w:rPr>
                <w:sz w:val="1"/>
                <w:szCs w:val="1"/>
                <w:color w:val="auto"/>
              </w:rPr>
            </w:pPr>
          </w:p>
        </w:tc>
      </w:tr>
      <w:tr>
        <w:trPr>
          <w:trHeight w:val="197"/>
        </w:trPr>
        <w:tc>
          <w:tcPr>
            <w:tcW w:w="530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Earn-out liability</w:t>
            </w: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(155,402)</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(155,402)</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Other non-current interest-bearing liabilities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(54,439)</w:t>
            </w: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(54,439)</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5"/>
        </w:trPr>
        <w:tc>
          <w:tcPr>
            <w:tcW w:w="4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2"/>
          </w:tcPr>
          <w:p>
            <w:pPr>
              <w:jc w:val="right"/>
              <w:ind w:right="543"/>
              <w:spacing w:after="0"/>
              <w:rPr>
                <w:sz w:val="20"/>
                <w:szCs w:val="20"/>
                <w:color w:val="auto"/>
              </w:rPr>
            </w:pPr>
            <w:r>
              <w:rPr>
                <w:rFonts w:ascii="Times New Roman" w:cs="Times New Roman" w:eastAsia="Times New Roman" w:hAnsi="Times New Roman"/>
                <w:sz w:val="15"/>
                <w:szCs w:val="15"/>
                <w:color w:val="auto"/>
              </w:rPr>
              <w:t>F-69</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5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8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8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interest-bearing liabilities - related parties</w:t>
            </w: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(1,409,244)</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(4,013)</w:t>
            </w:r>
          </w:p>
        </w:tc>
        <w:tc>
          <w:tcPr>
            <w:tcW w:w="2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(1,413,257)</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 (ix)</w:t>
            </w:r>
          </w:p>
        </w:tc>
        <w:tc>
          <w:tcPr>
            <w:tcW w:w="0" w:type="dxa"/>
            <w:vAlign w:val="bottom"/>
          </w:tcPr>
          <w:p>
            <w:pPr>
              <w:spacing w:after="0"/>
              <w:rPr>
                <w:sz w:val="1"/>
                <w:szCs w:val="1"/>
                <w:color w:val="auto"/>
              </w:rPr>
            </w:pPr>
          </w:p>
        </w:tc>
      </w:tr>
      <w:tr>
        <w:trPr>
          <w:trHeight w:val="188"/>
        </w:trPr>
        <w:tc>
          <w:tcPr>
            <w:tcW w:w="626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(1,863,313)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(57,304)</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(1,920,617)</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2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Trade payables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(92,441)</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(92,441)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payables - related parties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(275,704)</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(275,704)</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Accrued expenses - related parties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(450,000)</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3,962</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(446,038)</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 (ix)</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Advance payments from customers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(16,415)</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(16,415)</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Current provisions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(94,887)</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6,142</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(88,745)</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Liabilities to credit institutions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(2,023,582)</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(2,026,665)</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Current tax liabilities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(12,812)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(11,363)</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Interest-bearing current liabilities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(19,547)</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(19,547)</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Interest-bearing current liabilities - related parties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(68,332)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(73,814)</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 (ix)</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Current contract liabilities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(112,062)</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37,183</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(74,879)</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Class C Shares liability</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(6,000)</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(6,000)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(347,902)</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(141,845)</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(489,747)</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 (viii), (ix)</w:t>
            </w:r>
          </w:p>
        </w:tc>
        <w:tc>
          <w:tcPr>
            <w:tcW w:w="0" w:type="dxa"/>
            <w:vAlign w:val="bottom"/>
          </w:tcPr>
          <w:p>
            <w:pPr>
              <w:spacing w:after="0"/>
              <w:rPr>
                <w:sz w:val="1"/>
                <w:szCs w:val="1"/>
                <w:color w:val="auto"/>
              </w:rPr>
            </w:pPr>
          </w:p>
        </w:tc>
      </w:tr>
      <w:tr>
        <w:trPr>
          <w:trHeight w:val="197"/>
        </w:trPr>
        <w:tc>
          <w:tcPr>
            <w:tcW w:w="6260" w:type="dxa"/>
            <w:vAlign w:val="bottom"/>
            <w:tcBorders>
              <w:bottom w:val="single" w:sz="8" w:color="DBDBDB"/>
            </w:tcBorders>
            <w:gridSpan w:val="2"/>
          </w:tcPr>
          <w:p>
            <w:pPr>
              <w:ind w:left="100"/>
              <w:spacing w:after="0"/>
              <w:rPr>
                <w:sz w:val="20"/>
                <w:szCs w:val="20"/>
                <w:color w:val="auto"/>
              </w:rPr>
            </w:pPr>
            <w:r>
              <w:rPr>
                <w:rFonts w:ascii="Times New Roman" w:cs="Times New Roman" w:eastAsia="Times New Roman" w:hAnsi="Times New Roman"/>
                <w:sz w:val="15"/>
                <w:szCs w:val="15"/>
                <w:color w:val="auto"/>
              </w:rPr>
              <w:t>Other current liabilities - related parties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(606)</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(1,226)</w:t>
            </w:r>
          </w:p>
        </w:tc>
        <w:tc>
          <w:tcPr>
            <w:tcW w:w="126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88"/>
        </w:trPr>
        <w:tc>
          <w:tcPr>
            <w:tcW w:w="62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(3,520,290)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(102,294)</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(3,622,584)</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(5,383,603)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(159,598)</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(5,543,201)</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equity and liabilities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(4,121,304)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(170,906)</w:t>
            </w: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(4,292,210)</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Statement of Cash Flows as for the year ended December 31, 2023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DBDBDB"/>
            </w:tcBorders>
          </w:tcPr>
          <w:p>
            <w:pPr>
              <w:spacing w:after="0" w:line="20" w:lineRule="exact"/>
              <w:rPr>
                <w:sz w:val="1"/>
                <w:szCs w:val="1"/>
                <w:color w:val="auto"/>
              </w:rPr>
            </w:pPr>
          </w:p>
        </w:tc>
        <w:tc>
          <w:tcPr>
            <w:tcW w:w="118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60" w:type="dxa"/>
            <w:vAlign w:val="bottom"/>
            <w:gridSpan w:val="2"/>
            <w:vMerge w:val="restart"/>
            <w:shd w:val="clear" w:color="auto" w:fill="DBDBDB"/>
          </w:tcPr>
          <w:p>
            <w:pPr>
              <w:ind w:left="80"/>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1240" w:type="dxa"/>
            <w:vAlign w:val="bottom"/>
            <w:gridSpan w:val="2"/>
            <w:shd w:val="clear" w:color="auto" w:fill="DBDBDB"/>
          </w:tcPr>
          <w:p>
            <w:pPr>
              <w:jc w:val="center"/>
              <w:spacing w:after="0" w:line="137" w:lineRule="exact"/>
              <w:rPr>
                <w:sz w:val="20"/>
                <w:szCs w:val="20"/>
                <w:color w:val="auto"/>
              </w:rPr>
            </w:pPr>
            <w:r>
              <w:rPr>
                <w:rFonts w:ascii="Times New Roman" w:cs="Times New Roman" w:eastAsia="Times New Roman" w:hAnsi="Times New Roman"/>
                <w:sz w:val="15"/>
                <w:szCs w:val="15"/>
                <w:b w:val="1"/>
                <w:bCs w:val="1"/>
                <w:color w:val="auto"/>
              </w:rPr>
              <w:t>As originally filed</w:t>
            </w:r>
          </w:p>
        </w:tc>
        <w:tc>
          <w:tcPr>
            <w:tcW w:w="160" w:type="dxa"/>
            <w:vAlign w:val="bottom"/>
            <w:shd w:val="clear" w:color="auto" w:fill="DBDBDB"/>
          </w:tcPr>
          <w:p>
            <w:pPr>
              <w:spacing w:after="0"/>
              <w:rPr>
                <w:sz w:val="11"/>
                <w:szCs w:val="11"/>
                <w:color w:val="auto"/>
              </w:rPr>
            </w:pPr>
          </w:p>
        </w:tc>
        <w:tc>
          <w:tcPr>
            <w:tcW w:w="1060" w:type="dxa"/>
            <w:vAlign w:val="bottom"/>
            <w:shd w:val="clear" w:color="auto" w:fill="DBDBDB"/>
          </w:tcPr>
          <w:p>
            <w:pPr>
              <w:jc w:val="center"/>
              <w:ind w:right="43"/>
              <w:spacing w:after="0" w:line="137" w:lineRule="exact"/>
              <w:rPr>
                <w:sz w:val="20"/>
                <w:szCs w:val="20"/>
                <w:color w:val="auto"/>
              </w:rPr>
            </w:pPr>
            <w:r>
              <w:rPr>
                <w:rFonts w:ascii="Times New Roman" w:cs="Times New Roman" w:eastAsia="Times New Roman" w:hAnsi="Times New Roman"/>
                <w:sz w:val="15"/>
                <w:szCs w:val="15"/>
                <w:b w:val="1"/>
                <w:bCs w:val="1"/>
                <w:color w:val="auto"/>
              </w:rPr>
              <w:t>Current</w:t>
            </w:r>
          </w:p>
        </w:tc>
        <w:tc>
          <w:tcPr>
            <w:tcW w:w="20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1260" w:type="dxa"/>
            <w:vAlign w:val="bottom"/>
            <w:shd w:val="clear" w:color="auto" w:fill="DBDBDB"/>
          </w:tcPr>
          <w:p>
            <w:pPr>
              <w:jc w:val="center"/>
              <w:spacing w:after="0" w:line="137" w:lineRule="exact"/>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155"/>
        </w:trPr>
        <w:tc>
          <w:tcPr>
            <w:tcW w:w="6260" w:type="dxa"/>
            <w:vAlign w:val="bottom"/>
            <w:gridSpan w:val="2"/>
            <w:vMerge w:val="continue"/>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shd w:val="clear" w:color="auto" w:fill="DBDBDB"/>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on August 14,</w:t>
            </w:r>
          </w:p>
        </w:tc>
        <w:tc>
          <w:tcPr>
            <w:tcW w:w="160" w:type="dxa"/>
            <w:vAlign w:val="bottom"/>
            <w:shd w:val="clear" w:color="auto" w:fill="DBDBDB"/>
          </w:tcPr>
          <w:p>
            <w:pPr>
              <w:spacing w:after="0"/>
              <w:rPr>
                <w:sz w:val="13"/>
                <w:szCs w:val="13"/>
                <w:color w:val="auto"/>
              </w:rPr>
            </w:pPr>
          </w:p>
        </w:tc>
        <w:tc>
          <w:tcPr>
            <w:tcW w:w="1060" w:type="dxa"/>
            <w:vAlign w:val="bottom"/>
            <w:shd w:val="clear" w:color="auto" w:fill="DBDBDB"/>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20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60" w:type="dxa"/>
            <w:vAlign w:val="bottom"/>
            <w:shd w:val="clear" w:color="auto" w:fill="DBDBDB"/>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2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177"/>
        </w:trPr>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(1,194,831)</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12,956</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(1,181,875)</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97"/>
        </w:trPr>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flows: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115,010</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115,445</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Warranty provisions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65,543</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66,158</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Impairment of inventory</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134,877</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11,673</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146,550</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50"/>
        </w:trPr>
        <w:tc>
          <w:tcPr>
            <w:tcW w:w="626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5"/>
                <w:szCs w:val="15"/>
                <w:color w:val="auto"/>
              </w:rPr>
              <w:t>Impairment of property, plant, and equipment, vehicles under operating leases, and intangible</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assets</w:t>
            </w:r>
          </w:p>
        </w:tc>
        <w:tc>
          <w:tcPr>
            <w:tcW w:w="12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351,241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(11,673)</w:t>
            </w:r>
          </w:p>
        </w:tc>
        <w:tc>
          <w:tcPr>
            <w:tcW w:w="20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339,568</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Finance income</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(69,454)</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(69,565)</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Finance expense</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213,321</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213,242</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(443,168)</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(443,168)</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(22,000)</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(22,000)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Listing expense</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(7,138)</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(9,452)</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Share of losses in associates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43,304</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43,304</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Gain on sale of asset grouping</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(16,334)</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(16,334)</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Loss on derecognition and disposal of property, plant, and equipment and intangible assets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10,892</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10,892</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Litigation provisions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35,676</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25,676</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provisions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19,890</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19,890</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Unrealized exchange (loss) gain on trade payables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26,787</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26,787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non-cash expense and income</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(8,510)</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(8,945)</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(358,392)</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(358,392)</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77,424</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77,424</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gridSpan w:val="2"/>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 prepaid expenses, and other assets</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(151,634)</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(5,226)</w:t>
            </w:r>
          </w:p>
        </w:tc>
        <w:tc>
          <w:tcPr>
            <w:tcW w:w="2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(156,860)</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648"/>
        </w:trPr>
        <w:tc>
          <w:tcPr>
            <w:tcW w:w="5080" w:type="dxa"/>
            <w:vAlign w:val="bottom"/>
          </w:tcPr>
          <w:p>
            <w:pPr>
              <w:spacing w:after="0"/>
              <w:rPr>
                <w:sz w:val="24"/>
                <w:szCs w:val="24"/>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F-70</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0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8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8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7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Trade payables, accrued expenses, and other liabilities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(459,002)</w:t>
            </w:r>
          </w:p>
        </w:tc>
        <w:tc>
          <w:tcPr>
            <w:tcW w:w="16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(29,840)</w:t>
            </w: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(488,842)</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 (viii), (ix)</w:t>
            </w: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received</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32,280</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32,280</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(220,147)</w:t>
            </w: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(220,147)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Taxes paid</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(35,477)</w:t>
            </w:r>
          </w:p>
        </w:tc>
        <w:tc>
          <w:tcPr>
            <w:tcW w:w="1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(35,477)</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Cash used for operating activities</w:t>
            </w:r>
          </w:p>
        </w:tc>
        <w:tc>
          <w:tcPr>
            <w:tcW w:w="480" w:type="dxa"/>
            <w:vAlign w:val="bottom"/>
            <w:tcBorders>
              <w:bottom w:val="single" w:sz="8" w:color="DBDBDB"/>
            </w:tcBorders>
          </w:tcPr>
          <w:p>
            <w:pPr>
              <w:spacing w:after="0"/>
              <w:rPr>
                <w:sz w:val="16"/>
                <w:szCs w:val="16"/>
                <w:color w:val="auto"/>
              </w:rPr>
            </w:pPr>
          </w:p>
        </w:tc>
        <w:tc>
          <w:tcPr>
            <w:tcW w:w="780" w:type="dxa"/>
            <w:vAlign w:val="bottom"/>
            <w:tcBorders>
              <w:bottom w:val="single" w:sz="8" w:color="DBDBDB"/>
            </w:tcBorders>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(1,859,842)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(33,999)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(1,893,841)</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4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(137,400)</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(137,400)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Additions to intangible assets</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(457,364)</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21,780</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(435,584)</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 (viii), (ix)</w:t>
            </w: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other investments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6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1,779</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1,779</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Proceeds from sale of asset grouping</w:t>
            </w:r>
          </w:p>
        </w:tc>
        <w:tc>
          <w:tcPr>
            <w:tcW w:w="48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153,586</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153,586</w:t>
            </w:r>
          </w:p>
        </w:tc>
        <w:tc>
          <w:tcPr>
            <w:tcW w:w="12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used for investing activities</w:t>
            </w:r>
          </w:p>
        </w:tc>
        <w:tc>
          <w:tcPr>
            <w:tcW w:w="4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(439,399)</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21,780</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(417,619)</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Change in restricted deposits</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(1,906)</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(1,906)</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short-term borrowings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3,262,831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11,057</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3,273,888</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long-term borrowings</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1,381,738</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1,381,738</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related party capital contribution</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25,565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25,565</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0" w:type="dxa"/>
            <w:vAlign w:val="bottom"/>
            <w:gridSpan w:val="5"/>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issuance of share capital and other contributed capital</w:t>
            </w: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(2,553,008)</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(2,553,008)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Repayments of lease liabilities</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(21,916)</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(21,916)</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Transaction costs</w:t>
            </w:r>
          </w:p>
        </w:tc>
        <w:tc>
          <w:tcPr>
            <w:tcW w:w="48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provided by financing activities</w:t>
            </w:r>
          </w:p>
        </w:tc>
        <w:tc>
          <w:tcPr>
            <w:tcW w:w="4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2,093,304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11,057</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2,104,361</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0" w:type="dxa"/>
            <w:vAlign w:val="bottom"/>
            <w:tcBorders>
              <w:bottom w:val="single" w:sz="8" w:color="DBDBDB"/>
            </w:tcBorders>
            <w:gridSpan w:val="5"/>
          </w:tcPr>
          <w:p>
            <w:pPr>
              <w:spacing w:after="0"/>
              <w:rPr>
                <w:sz w:val="20"/>
                <w:szCs w:val="20"/>
                <w:color w:val="auto"/>
              </w:rPr>
            </w:pPr>
            <w:r>
              <w:rPr>
                <w:rFonts w:ascii="Times New Roman" w:cs="Times New Roman" w:eastAsia="Times New Roman" w:hAnsi="Times New Roman"/>
                <w:sz w:val="15"/>
                <w:szCs w:val="15"/>
                <w:color w:val="auto"/>
              </w:rPr>
              <w:t>Effect of foreign exchange rate changes on cash and cash equivalents</w:t>
            </w:r>
          </w:p>
        </w:tc>
        <w:tc>
          <w:tcPr>
            <w:tcW w:w="14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987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1,486</w:t>
            </w:r>
          </w:p>
        </w:tc>
        <w:tc>
          <w:tcPr>
            <w:tcW w:w="126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88"/>
        </w:trPr>
        <w:tc>
          <w:tcPr>
            <w:tcW w:w="376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cash and cash equivalents</w:t>
            </w:r>
          </w:p>
        </w:tc>
        <w:tc>
          <w:tcPr>
            <w:tcW w:w="1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(204,950)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(663)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(205,613)</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DBDBDB"/>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beginning of the period</w:t>
            </w:r>
          </w:p>
        </w:tc>
        <w:tc>
          <w:tcPr>
            <w:tcW w:w="14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973,877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973,877</w:t>
            </w: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end of the period</w:t>
            </w:r>
          </w:p>
        </w:tc>
        <w:tc>
          <w:tcPr>
            <w:tcW w:w="1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768,927</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(663)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768,264</w:t>
            </w: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60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Statement of Loss and Comprehensive Loss for the year ended December 31, 2022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0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2500" w:type="dxa"/>
            <w:vAlign w:val="bottom"/>
            <w:gridSpan w:val="4"/>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As originally filed Prior Restatement</w:t>
            </w:r>
          </w:p>
        </w:tc>
        <w:tc>
          <w:tcPr>
            <w:tcW w:w="14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As Originally</w:t>
            </w: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jc w:val="center"/>
              <w:ind w:right="63"/>
              <w:spacing w:after="0" w:line="158" w:lineRule="exact"/>
              <w:rPr>
                <w:sz w:val="20"/>
                <w:szCs w:val="20"/>
                <w:color w:val="auto"/>
              </w:rPr>
            </w:pPr>
            <w:r>
              <w:rPr>
                <w:rFonts w:ascii="Times New Roman" w:cs="Times New Roman" w:eastAsia="Times New Roman" w:hAnsi="Times New Roman"/>
                <w:sz w:val="15"/>
                <w:szCs w:val="15"/>
                <w:b w:val="1"/>
                <w:bCs w:val="1"/>
                <w:color w:val="auto"/>
                <w:w w:val="98"/>
              </w:rPr>
              <w:t>Current</w:t>
            </w:r>
          </w:p>
        </w:tc>
        <w:tc>
          <w:tcPr>
            <w:tcW w:w="1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40" w:type="dxa"/>
            <w:vAlign w:val="bottom"/>
            <w:gridSpan w:val="2"/>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Prior Restatement</w:t>
            </w:r>
          </w:p>
        </w:tc>
        <w:tc>
          <w:tcPr>
            <w:tcW w:w="1260" w:type="dxa"/>
            <w:vAlign w:val="bottom"/>
            <w:shd w:val="clear" w:color="auto" w:fill="DBDBDB"/>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150"/>
        </w:trPr>
        <w:tc>
          <w:tcPr>
            <w:tcW w:w="2500" w:type="dxa"/>
            <w:vAlign w:val="bottom"/>
            <w:vMerge w:val="continue"/>
            <w:shd w:val="clear" w:color="auto" w:fill="DBDBDB"/>
          </w:tcPr>
          <w:p>
            <w:pPr>
              <w:spacing w:after="0"/>
              <w:rPr>
                <w:sz w:val="13"/>
                <w:szCs w:val="13"/>
                <w:color w:val="auto"/>
              </w:rPr>
            </w:pPr>
          </w:p>
        </w:tc>
        <w:tc>
          <w:tcPr>
            <w:tcW w:w="2500" w:type="dxa"/>
            <w:vAlign w:val="bottom"/>
            <w:gridSpan w:val="4"/>
            <w:vMerge w:val="continue"/>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gridSpan w:val="2"/>
            <w:vMerge w:val="continue"/>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jc w:val="center"/>
              <w:ind w:right="63"/>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40" w:type="dxa"/>
            <w:vAlign w:val="bottom"/>
            <w:gridSpan w:val="2"/>
            <w:vMerge w:val="continue"/>
            <w:shd w:val="clear" w:color="auto" w:fill="DBDBDB"/>
          </w:tcPr>
          <w:p>
            <w:pPr>
              <w:spacing w:after="0"/>
              <w:rPr>
                <w:sz w:val="13"/>
                <w:szCs w:val="13"/>
                <w:color w:val="auto"/>
              </w:rPr>
            </w:pPr>
          </w:p>
        </w:tc>
        <w:tc>
          <w:tcPr>
            <w:tcW w:w="126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208"/>
        </w:trPr>
        <w:tc>
          <w:tcPr>
            <w:tcW w:w="2500" w:type="dxa"/>
            <w:vAlign w:val="bottom"/>
            <w:shd w:val="clear" w:color="auto" w:fill="DBDBDB"/>
          </w:tcPr>
          <w:p>
            <w:pPr>
              <w:spacing w:after="0"/>
              <w:rPr>
                <w:sz w:val="18"/>
                <w:szCs w:val="18"/>
                <w:color w:val="auto"/>
              </w:rPr>
            </w:pPr>
          </w:p>
        </w:tc>
        <w:tc>
          <w:tcPr>
            <w:tcW w:w="12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on April 14, 2023</w:t>
            </w:r>
          </w:p>
        </w:tc>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gridSpan w:val="2"/>
            <w:shd w:val="clear" w:color="auto" w:fill="DBDBDB"/>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Reference</w:t>
            </w:r>
          </w:p>
        </w:tc>
        <w:tc>
          <w:tcPr>
            <w:tcW w:w="12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2,461,896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(17,791)</w:t>
            </w:r>
          </w:p>
        </w:tc>
        <w:tc>
          <w:tcPr>
            <w:tcW w:w="14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2,444,105</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(3,287)</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2,440,818</w:t>
            </w:r>
          </w:p>
        </w:tc>
        <w:tc>
          <w:tcPr>
            <w:tcW w:w="120" w:type="dxa"/>
            <w:vAlign w:val="bottom"/>
          </w:tcPr>
          <w:p>
            <w:pPr>
              <w:spacing w:after="0"/>
              <w:rPr>
                <w:sz w:val="16"/>
                <w:szCs w:val="16"/>
                <w:color w:val="auto"/>
              </w:rPr>
            </w:pP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(i),(ii),(iv)</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48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(2,342,453)</w:t>
            </w: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color w:val="auto"/>
              </w:rPr>
              <w:t>(2,343,302)</w:t>
            </w: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3,606</w:t>
            </w:r>
          </w:p>
        </w:tc>
        <w:tc>
          <w:tcPr>
            <w:tcW w:w="1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(2,339,696)</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color w:val="auto"/>
              </w:rPr>
              <w:t>(i),(ii),(iii),(iv)</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 (ix)</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119,443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(18,640)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100,803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101,122</w:t>
            </w:r>
          </w:p>
        </w:tc>
        <w:tc>
          <w:tcPr>
            <w:tcW w:w="120" w:type="dxa"/>
            <w:vAlign w:val="bottom"/>
            <w:tcBorders>
              <w:bottom w:val="single" w:sz="8" w:color="DBDBDB"/>
            </w:tcBorders>
          </w:tcPr>
          <w:p>
            <w:pPr>
              <w:spacing w:after="0"/>
              <w:rPr>
                <w:sz w:val="16"/>
                <w:szCs w:val="16"/>
                <w:color w:val="auto"/>
              </w:rPr>
            </w:pPr>
          </w:p>
        </w:tc>
        <w:tc>
          <w:tcPr>
            <w:tcW w:w="112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DBDBDB"/>
          </w:tcPr>
          <w:p>
            <w:pPr>
              <w:spacing w:after="0" w:line="131"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48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expense</w:t>
            </w:r>
          </w:p>
        </w:tc>
        <w:tc>
          <w:tcPr>
            <w:tcW w:w="48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(864,598)</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26,231</w:t>
            </w:r>
          </w:p>
        </w:tc>
        <w:tc>
          <w:tcPr>
            <w:tcW w:w="14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color w:val="auto"/>
              </w:rPr>
              <w:t>(838,367)</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(1,784)</w:t>
            </w:r>
          </w:p>
        </w:tc>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(840,151)</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color w:val="auto"/>
              </w:rPr>
              <w:t>(i),(ii),(iii),(iv)</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(167,242)</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(7,674)</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(174,916)</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(174,916)</w:t>
            </w:r>
          </w:p>
        </w:tc>
        <w:tc>
          <w:tcPr>
            <w:tcW w:w="120" w:type="dxa"/>
            <w:vAlign w:val="bottom"/>
          </w:tcPr>
          <w:p>
            <w:pPr>
              <w:spacing w:after="0"/>
              <w:rPr>
                <w:sz w:val="17"/>
                <w:szCs w:val="17"/>
                <w:color w:val="auto"/>
              </w:rPr>
            </w:pP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(i),(ii),(iii)</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Other operating income (expense), net</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(1,565)</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14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color w:val="auto"/>
              </w:rPr>
              <w:t>(305)</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color w:val="auto"/>
              </w:rPr>
              <w:t>(i)</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Listing expense</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(372,318)</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1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480" w:type="dxa"/>
            <w:vAlign w:val="bottom"/>
            <w:tcBorders>
              <w:bottom w:val="single" w:sz="8" w:color="auto"/>
            </w:tcBorders>
            <w:shd w:val="clear" w:color="auto" w:fill="DBDBDB"/>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(1,286,280)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1,177</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(1,285,103)</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(1,465)</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(1,286,568)</w:t>
            </w:r>
          </w:p>
        </w:tc>
        <w:tc>
          <w:tcPr>
            <w:tcW w:w="1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Finance income</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8,552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Finance expense</w:t>
            </w:r>
          </w:p>
        </w:tc>
        <w:tc>
          <w:tcPr>
            <w:tcW w:w="48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(108,435)</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5"/>
                <w:szCs w:val="15"/>
                <w:color w:val="auto"/>
              </w:rPr>
              <w:t>(108,402)</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(108,402)</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color w:val="auto"/>
              </w:rPr>
              <w:t>(i)</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902,068</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48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5"/>
                <w:szCs w:val="15"/>
                <w:color w:val="auto"/>
              </w:rPr>
              <w:t>35,090</w:t>
            </w: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(449,005)</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1,210</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(447,795)</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(1,465)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(449,260)</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9"/>
        </w:trPr>
        <w:tc>
          <w:tcPr>
            <w:tcW w:w="2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8"/>
              </w:rPr>
              <w:t>F-71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5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9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9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00" w:type="dxa"/>
            <w:vAlign w:val="bottom"/>
            <w:tcBorders>
              <w:top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340" w:type="dxa"/>
            <w:vAlign w:val="bottom"/>
            <w:tcBorders>
              <w:top w:val="single" w:sz="8" w:color="auto"/>
              <w:bottom w:val="single" w:sz="8" w:color="auto"/>
            </w:tcBorders>
            <w:shd w:val="clear" w:color="auto" w:fill="DBDBDB"/>
          </w:tcPr>
          <w:p>
            <w:pPr>
              <w:spacing w:after="0"/>
              <w:rPr>
                <w:sz w:val="18"/>
                <w:szCs w:val="18"/>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(16,784)</w:t>
            </w:r>
          </w:p>
        </w:tc>
        <w:tc>
          <w:tcPr>
            <w:tcW w:w="14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(12,876)</w:t>
            </w:r>
          </w:p>
        </w:tc>
        <w:tc>
          <w:tcPr>
            <w:tcW w:w="140" w:type="dxa"/>
            <w:vAlign w:val="bottom"/>
            <w:tcBorders>
              <w:top w:val="single" w:sz="8" w:color="auto"/>
              <w:bottom w:val="single" w:sz="8" w:color="auto"/>
            </w:tcBorders>
            <w:shd w:val="clear" w:color="auto" w:fill="DBDBDB"/>
          </w:tcPr>
          <w:p>
            <w:pPr>
              <w:spacing w:after="0"/>
              <w:rPr>
                <w:sz w:val="18"/>
                <w:szCs w:val="18"/>
                <w:color w:val="auto"/>
              </w:rPr>
            </w:pP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(29,660)</w:t>
            </w:r>
          </w:p>
        </w:tc>
        <w:tc>
          <w:tcPr>
            <w:tcW w:w="14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6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(29,757)</w:t>
            </w:r>
          </w:p>
        </w:tc>
        <w:tc>
          <w:tcPr>
            <w:tcW w:w="1240" w:type="dxa"/>
            <w:vAlign w:val="bottom"/>
            <w:tcBorders>
              <w:top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w:t>
            </w:r>
          </w:p>
        </w:tc>
        <w:tc>
          <w:tcPr>
            <w:tcW w:w="1260" w:type="dxa"/>
            <w:vAlign w:val="bottom"/>
            <w:tcBorders>
              <w:top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(465,789)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(11,666)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(477,455)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124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loss per share (in U.S. dollars)</w:t>
            </w:r>
          </w:p>
        </w:tc>
        <w:tc>
          <w:tcPr>
            <w:tcW w:w="3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Class A - Basic and Diluted</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Class B - Basic and Diluted</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50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Consolidated Statement of</w:t>
            </w:r>
          </w:p>
        </w:tc>
        <w:tc>
          <w:tcPr>
            <w:tcW w:w="34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3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(465,789)</w:t>
            </w: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(11,666)</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(477,455)</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(1,562)</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(479,017)</w:t>
            </w: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comprehensive loss: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Items that may be subsequently</w:t>
            </w:r>
          </w:p>
        </w:tc>
        <w:tc>
          <w:tcPr>
            <w:tcW w:w="34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00" w:type="dxa"/>
            <w:vAlign w:val="bottom"/>
            <w:shd w:val="clear" w:color="auto" w:fill="DBDBDB"/>
          </w:tcPr>
          <w:p>
            <w:pPr>
              <w:spacing w:after="0" w:line="159" w:lineRule="exact"/>
              <w:rPr>
                <w:sz w:val="20"/>
                <w:szCs w:val="20"/>
                <w:color w:val="auto"/>
              </w:rPr>
            </w:pPr>
            <w:r>
              <w:rPr>
                <w:rFonts w:ascii="Times New Roman" w:cs="Times New Roman" w:eastAsia="Times New Roman" w:hAnsi="Times New Roman"/>
                <w:sz w:val="15"/>
                <w:szCs w:val="15"/>
                <w:color w:val="auto"/>
              </w:rPr>
              <w:t>reclassified to the Consolidated</w:t>
            </w:r>
          </w:p>
        </w:tc>
        <w:tc>
          <w:tcPr>
            <w:tcW w:w="34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Statement of Loss: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Exchange rate differences from</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color w:val="auto"/>
              </w:rPr>
              <w:t>(i), (ii), (iii), (iv),</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translation of foreign operations</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24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(v)</w:t>
            </w:r>
          </w:p>
        </w:tc>
        <w:tc>
          <w:tcPr>
            <w:tcW w:w="12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5"/>
                <w:szCs w:val="15"/>
                <w:color w:val="auto"/>
              </w:rPr>
              <w:t>(viii), (ix)</w:t>
            </w:r>
          </w:p>
        </w:tc>
        <w:tc>
          <w:tcPr>
            <w:tcW w:w="0" w:type="dxa"/>
            <w:vAlign w:val="bottom"/>
          </w:tcPr>
          <w:p>
            <w:pPr>
              <w:spacing w:after="0"/>
              <w:rPr>
                <w:sz w:val="1"/>
                <w:szCs w:val="1"/>
                <w:color w:val="auto"/>
              </w:rPr>
            </w:pPr>
          </w:p>
        </w:tc>
      </w:tr>
      <w:tr>
        <w:trPr>
          <w:trHeight w:val="131"/>
        </w:trPr>
        <w:tc>
          <w:tcPr>
            <w:tcW w:w="2500" w:type="dxa"/>
            <w:vAlign w:val="bottom"/>
            <w:shd w:val="clear" w:color="auto" w:fill="DBDBDB"/>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Total other comprehensive (loss)</w:t>
            </w:r>
          </w:p>
        </w:tc>
        <w:tc>
          <w:tcPr>
            <w:tcW w:w="340" w:type="dxa"/>
            <w:vAlign w:val="bottom"/>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4,519</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(4,339)</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180</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251</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431</w:t>
            </w:r>
          </w:p>
        </w:tc>
        <w:tc>
          <w:tcPr>
            <w:tcW w:w="124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340" w:type="dxa"/>
            <w:vAlign w:val="bottom"/>
            <w:tcBorders>
              <w:bottom w:val="single" w:sz="8" w:color="auto"/>
            </w:tcBorders>
            <w:vMerge w:val="continue"/>
            <w:shd w:val="clear" w:color="auto" w:fill="DBDBDB"/>
          </w:tcPr>
          <w:p>
            <w:pPr>
              <w:spacing w:after="0"/>
              <w:rPr>
                <w:sz w:val="18"/>
                <w:szCs w:val="18"/>
                <w:color w:val="auto"/>
              </w:rPr>
            </w:pPr>
          </w:p>
        </w:tc>
        <w:tc>
          <w:tcPr>
            <w:tcW w:w="920" w:type="dxa"/>
            <w:vAlign w:val="bottom"/>
            <w:tcBorders>
              <w:bottom w:val="single" w:sz="8" w:color="auto"/>
            </w:tcBorders>
            <w:vMerge w:val="continue"/>
            <w:shd w:val="clear" w:color="auto" w:fill="DBDBDB"/>
          </w:tcPr>
          <w:p>
            <w:pPr>
              <w:spacing w:after="0"/>
              <w:rPr>
                <w:sz w:val="18"/>
                <w:szCs w:val="18"/>
                <w:color w:val="auto"/>
              </w:rPr>
            </w:pPr>
          </w:p>
        </w:tc>
        <w:tc>
          <w:tcPr>
            <w:tcW w:w="140" w:type="dxa"/>
            <w:vAlign w:val="bottom"/>
            <w:tcBorders>
              <w:bottom w:val="single" w:sz="8" w:color="auto"/>
            </w:tcBorders>
            <w:vMerge w:val="continue"/>
            <w:shd w:val="clear" w:color="auto" w:fill="DBDBDB"/>
          </w:tcPr>
          <w:p>
            <w:pPr>
              <w:spacing w:after="0"/>
              <w:rPr>
                <w:sz w:val="18"/>
                <w:szCs w:val="18"/>
                <w:color w:val="auto"/>
              </w:rPr>
            </w:pPr>
          </w:p>
        </w:tc>
        <w:tc>
          <w:tcPr>
            <w:tcW w:w="1100" w:type="dxa"/>
            <w:vAlign w:val="bottom"/>
            <w:tcBorders>
              <w:bottom w:val="single" w:sz="8" w:color="auto"/>
            </w:tcBorders>
            <w:gridSpan w:val="2"/>
            <w:vMerge w:val="continue"/>
            <w:shd w:val="clear" w:color="auto" w:fill="DBDBDB"/>
          </w:tcPr>
          <w:p>
            <w:pPr>
              <w:spacing w:after="0"/>
              <w:rPr>
                <w:sz w:val="18"/>
                <w:szCs w:val="18"/>
                <w:color w:val="auto"/>
              </w:rPr>
            </w:pPr>
          </w:p>
        </w:tc>
        <w:tc>
          <w:tcPr>
            <w:tcW w:w="140" w:type="dxa"/>
            <w:vAlign w:val="bottom"/>
            <w:tcBorders>
              <w:bottom w:val="single" w:sz="8" w:color="auto"/>
            </w:tcBorders>
            <w:vMerge w:val="continue"/>
            <w:shd w:val="clear" w:color="auto" w:fill="DBDBDB"/>
          </w:tcPr>
          <w:p>
            <w:pPr>
              <w:spacing w:after="0"/>
              <w:rPr>
                <w:sz w:val="18"/>
                <w:szCs w:val="18"/>
                <w:color w:val="auto"/>
              </w:rPr>
            </w:pPr>
          </w:p>
        </w:tc>
        <w:tc>
          <w:tcPr>
            <w:tcW w:w="1120" w:type="dxa"/>
            <w:vAlign w:val="bottom"/>
            <w:tcBorders>
              <w:bottom w:val="single" w:sz="8" w:color="auto"/>
            </w:tcBorders>
            <w:vMerge w:val="continue"/>
            <w:shd w:val="clear" w:color="auto" w:fill="DBDBDB"/>
          </w:tcPr>
          <w:p>
            <w:pPr>
              <w:spacing w:after="0"/>
              <w:rPr>
                <w:sz w:val="18"/>
                <w:szCs w:val="18"/>
                <w:color w:val="auto"/>
              </w:rPr>
            </w:pPr>
          </w:p>
        </w:tc>
        <w:tc>
          <w:tcPr>
            <w:tcW w:w="140" w:type="dxa"/>
            <w:vAlign w:val="bottom"/>
            <w:tcBorders>
              <w:bottom w:val="single" w:sz="8" w:color="auto"/>
            </w:tcBorders>
            <w:vMerge w:val="continue"/>
            <w:shd w:val="clear" w:color="auto" w:fill="DBDBDB"/>
          </w:tcPr>
          <w:p>
            <w:pPr>
              <w:spacing w:after="0"/>
              <w:rPr>
                <w:sz w:val="18"/>
                <w:szCs w:val="18"/>
                <w:color w:val="auto"/>
              </w:rPr>
            </w:pPr>
          </w:p>
        </w:tc>
        <w:tc>
          <w:tcPr>
            <w:tcW w:w="110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100" w:type="dxa"/>
            <w:vAlign w:val="bottom"/>
            <w:tcBorders>
              <w:bottom w:val="single" w:sz="8" w:color="auto"/>
            </w:tcBorders>
            <w:vMerge w:val="continue"/>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(461,270)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(16,005)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(477,275)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(478,586)</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4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Statement of Financial Position as of December 31, 2022</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0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2500" w:type="dxa"/>
            <w:vAlign w:val="bottom"/>
            <w:gridSpan w:val="5"/>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As originally filed Prior Restatement</w:t>
            </w:r>
          </w:p>
        </w:tc>
        <w:tc>
          <w:tcPr>
            <w:tcW w:w="14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As Originally</w:t>
            </w: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jc w:val="center"/>
              <w:ind w:right="63"/>
              <w:spacing w:after="0" w:line="158" w:lineRule="exact"/>
              <w:rPr>
                <w:sz w:val="20"/>
                <w:szCs w:val="20"/>
                <w:color w:val="auto"/>
              </w:rPr>
            </w:pPr>
            <w:r>
              <w:rPr>
                <w:rFonts w:ascii="Times New Roman" w:cs="Times New Roman" w:eastAsia="Times New Roman" w:hAnsi="Times New Roman"/>
                <w:sz w:val="15"/>
                <w:szCs w:val="15"/>
                <w:b w:val="1"/>
                <w:bCs w:val="1"/>
                <w:color w:val="auto"/>
                <w:w w:val="98"/>
              </w:rPr>
              <w:t>Current</w:t>
            </w:r>
          </w:p>
        </w:tc>
        <w:tc>
          <w:tcPr>
            <w:tcW w:w="1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Prior Restatement</w:t>
            </w:r>
          </w:p>
        </w:tc>
        <w:tc>
          <w:tcPr>
            <w:tcW w:w="1260" w:type="dxa"/>
            <w:vAlign w:val="bottom"/>
            <w:shd w:val="clear" w:color="auto" w:fill="DBDBDB"/>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150"/>
        </w:trPr>
        <w:tc>
          <w:tcPr>
            <w:tcW w:w="2500" w:type="dxa"/>
            <w:vAlign w:val="bottom"/>
            <w:vMerge w:val="continue"/>
            <w:shd w:val="clear" w:color="auto" w:fill="DBDBDB"/>
          </w:tcPr>
          <w:p>
            <w:pPr>
              <w:spacing w:after="0"/>
              <w:rPr>
                <w:sz w:val="13"/>
                <w:szCs w:val="13"/>
                <w:color w:val="auto"/>
              </w:rPr>
            </w:pPr>
          </w:p>
        </w:tc>
        <w:tc>
          <w:tcPr>
            <w:tcW w:w="2500" w:type="dxa"/>
            <w:vAlign w:val="bottom"/>
            <w:gridSpan w:val="5"/>
            <w:vMerge w:val="continue"/>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vMerge w:val="continue"/>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jc w:val="center"/>
              <w:ind w:right="63"/>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40" w:type="dxa"/>
            <w:vAlign w:val="bottom"/>
            <w:vMerge w:val="continue"/>
            <w:shd w:val="clear" w:color="auto" w:fill="DBDBDB"/>
          </w:tcPr>
          <w:p>
            <w:pPr>
              <w:spacing w:after="0"/>
              <w:rPr>
                <w:sz w:val="13"/>
                <w:szCs w:val="13"/>
                <w:color w:val="auto"/>
              </w:rPr>
            </w:pPr>
          </w:p>
        </w:tc>
        <w:tc>
          <w:tcPr>
            <w:tcW w:w="126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208"/>
        </w:trPr>
        <w:tc>
          <w:tcPr>
            <w:tcW w:w="2500" w:type="dxa"/>
            <w:vAlign w:val="bottom"/>
            <w:shd w:val="clear" w:color="auto" w:fill="DBDBDB"/>
          </w:tcPr>
          <w:p>
            <w:pPr>
              <w:spacing w:after="0"/>
              <w:rPr>
                <w:sz w:val="18"/>
                <w:szCs w:val="18"/>
                <w:color w:val="auto"/>
              </w:rPr>
            </w:pPr>
          </w:p>
        </w:tc>
        <w:tc>
          <w:tcPr>
            <w:tcW w:w="12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on April 14, 2023</w:t>
            </w:r>
          </w:p>
        </w:tc>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gridSpan w:val="2"/>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vMerge w:val="continue"/>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Reference</w:t>
            </w:r>
          </w:p>
        </w:tc>
        <w:tc>
          <w:tcPr>
            <w:tcW w:w="12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177"/>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Non-current assets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Intangible assets and goodwill</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1,396,477</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(2,195)</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1,394,282</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1,393,539</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(i), (iii)</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258,048</w:t>
            </w: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17,906</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275,954</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76,386</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352,340</w:t>
            </w: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(iii), (iv)</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w:t>
            </w: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Vehicles under operating leases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92,198</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4,988</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97,186</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97,186</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 (iv)</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5,306</w:t>
            </w:r>
          </w:p>
        </w:tc>
        <w:tc>
          <w:tcPr>
            <w:tcW w:w="1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5,306</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1,513</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6,819</w:t>
            </w: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assets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7,755</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3,532</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10,836</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investments</w:t>
            </w:r>
          </w:p>
        </w:tc>
        <w:tc>
          <w:tcPr>
            <w:tcW w:w="3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14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1,762,117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24,231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1,786,348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76,705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1,863,053</w:t>
            </w:r>
          </w:p>
        </w:tc>
        <w:tc>
          <w:tcPr>
            <w:tcW w:w="124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973,877</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973,877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973,877</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Marketable securities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receivables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246,107</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(6,529)</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239,578</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1,854</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241,432</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 (iv)</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 - related parties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74,996</w:t>
            </w: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4,229</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79,225</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79,225</w:t>
            </w: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income - related parties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49,060</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49,060</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49,060</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658,559</w:t>
            </w: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(28,405)</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630,154</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630,154</w:t>
            </w: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(iv)</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tax assets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Assets held for sale</w:t>
            </w:r>
          </w:p>
        </w:tc>
        <w:tc>
          <w:tcPr>
            <w:tcW w:w="3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63,224</w:t>
            </w:r>
          </w:p>
        </w:tc>
        <w:tc>
          <w:tcPr>
            <w:tcW w:w="1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(7,223)</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56,001</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56,001</w:t>
            </w: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Other current assets</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107,327</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5,656</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112,983</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109,747</w:t>
            </w:r>
          </w:p>
        </w:tc>
        <w:tc>
          <w:tcPr>
            <w:tcW w:w="124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(iii), (v)</w:t>
            </w:r>
          </w:p>
        </w:tc>
        <w:tc>
          <w:tcPr>
            <w:tcW w:w="126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c>
          <w:tcPr>
            <w:tcW w:w="0" w:type="dxa"/>
            <w:vAlign w:val="bottom"/>
          </w:tcPr>
          <w:p>
            <w:pPr>
              <w:spacing w:after="0"/>
              <w:rPr>
                <w:sz w:val="1"/>
                <w:szCs w:val="1"/>
                <w:color w:val="auto"/>
              </w:rPr>
            </w:pPr>
          </w:p>
        </w:tc>
      </w:tr>
      <w:tr>
        <w:trPr>
          <w:trHeight w:val="18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2,180,334</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(32,272)</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2,148,062</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(1,382)</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2,146,680</w:t>
            </w:r>
          </w:p>
        </w:tc>
        <w:tc>
          <w:tcPr>
            <w:tcW w:w="124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39"/>
        </w:trPr>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w w:val="98"/>
              </w:rPr>
              <w:t>F-72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9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9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3,942,451</w:t>
            </w: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(8,041)</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3,934,410</w:t>
            </w:r>
          </w:p>
        </w:tc>
        <w:tc>
          <w:tcPr>
            <w:tcW w:w="42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75,323</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4,009,733</w:t>
            </w:r>
          </w:p>
        </w:tc>
        <w:tc>
          <w:tcPr>
            <w:tcW w:w="1360" w:type="dxa"/>
            <w:vAlign w:val="bottom"/>
            <w:tcBorders>
              <w:bottom w:val="single" w:sz="8" w:color="DBDBDB"/>
            </w:tcBorders>
          </w:tcPr>
          <w:p>
            <w:pPr>
              <w:spacing w:after="0"/>
              <w:rPr>
                <w:sz w:val="18"/>
                <w:szCs w:val="18"/>
                <w:color w:val="auto"/>
              </w:rPr>
            </w:pPr>
          </w:p>
        </w:tc>
        <w:tc>
          <w:tcPr>
            <w:tcW w:w="11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Share capital</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(21,165)</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(21,165)</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(21,165)</w:t>
            </w: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contributed capital</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(3,584,232)</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(3,584,232)</w:t>
            </w:r>
          </w:p>
        </w:tc>
        <w:tc>
          <w:tcPr>
            <w:tcW w:w="42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(3,584,232)</w:t>
            </w:r>
          </w:p>
        </w:tc>
        <w:tc>
          <w:tcPr>
            <w:tcW w:w="1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center"/>
              <w:ind w:right="43"/>
              <w:spacing w:after="0" w:line="151" w:lineRule="exact"/>
              <w:rPr>
                <w:sz w:val="20"/>
                <w:szCs w:val="20"/>
                <w:color w:val="auto"/>
              </w:rPr>
            </w:pPr>
            <w:r>
              <w:rPr>
                <w:rFonts w:ascii="Times New Roman" w:cs="Times New Roman" w:eastAsia="Times New Roman" w:hAnsi="Times New Roman"/>
                <w:sz w:val="15"/>
                <w:szCs w:val="15"/>
                <w:color w:val="auto"/>
              </w:rPr>
              <w:t>(i), (ii), (iii), (iv),</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currency translation reserve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15,773</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15,496</w:t>
            </w:r>
          </w:p>
        </w:tc>
        <w:tc>
          <w:tcPr>
            <w:tcW w:w="136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(v)</w:t>
            </w:r>
          </w:p>
        </w:tc>
        <w:tc>
          <w:tcPr>
            <w:tcW w:w="1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51"/>
        </w:trPr>
        <w:tc>
          <w:tcPr>
            <w:tcW w:w="250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5"/>
                <w:szCs w:val="15"/>
                <w:color w:val="auto"/>
              </w:rPr>
              <w:t>Accumulated deficit</w:t>
            </w:r>
            <w:r>
              <w:rPr>
                <w:rFonts w:ascii="Times New Roman" w:cs="Times New Roman" w:eastAsia="Times New Roman" w:hAnsi="Times New Roman"/>
                <w:sz w:val="20"/>
                <w:szCs w:val="20"/>
                <w:color w:val="auto"/>
                <w:vertAlign w:val="superscript"/>
              </w:rPr>
              <w:t>1</w:t>
            </w:r>
          </w:p>
        </w:tc>
        <w:tc>
          <w:tcPr>
            <w:tcW w:w="3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360" w:type="dxa"/>
            <w:vAlign w:val="bottom"/>
            <w:shd w:val="clear" w:color="auto" w:fill="DBDBDB"/>
          </w:tcPr>
          <w:p>
            <w:pPr>
              <w:jc w:val="center"/>
              <w:ind w:right="43"/>
              <w:spacing w:after="0" w:line="151" w:lineRule="exact"/>
              <w:rPr>
                <w:sz w:val="20"/>
                <w:szCs w:val="20"/>
                <w:color w:val="auto"/>
              </w:rPr>
            </w:pPr>
            <w:r>
              <w:rPr>
                <w:rFonts w:ascii="Times New Roman" w:cs="Times New Roman" w:eastAsia="Times New Roman" w:hAnsi="Times New Roman"/>
                <w:sz w:val="15"/>
                <w:szCs w:val="15"/>
                <w:color w:val="auto"/>
              </w:rPr>
              <w:t>(i), (ii), (iii), (iv),</w:t>
            </w:r>
          </w:p>
        </w:tc>
        <w:tc>
          <w:tcPr>
            <w:tcW w:w="11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00" w:type="dxa"/>
            <w:vAlign w:val="bottom"/>
            <w:vMerge w:val="continue"/>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3,726,775</w:t>
            </w:r>
          </w:p>
        </w:tc>
        <w:tc>
          <w:tcPr>
            <w:tcW w:w="40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(48,962)</w:t>
            </w:r>
          </w:p>
        </w:tc>
        <w:tc>
          <w:tcPr>
            <w:tcW w:w="3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3,677,813</w:t>
            </w:r>
          </w:p>
        </w:tc>
        <w:tc>
          <w:tcPr>
            <w:tcW w:w="42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2,019</w:t>
            </w:r>
          </w:p>
        </w:tc>
        <w:tc>
          <w:tcPr>
            <w:tcW w:w="3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3,679,832</w:t>
            </w:r>
          </w:p>
        </w:tc>
        <w:tc>
          <w:tcPr>
            <w:tcW w:w="136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(v)</w:t>
            </w:r>
          </w:p>
        </w:tc>
        <w:tc>
          <w:tcPr>
            <w:tcW w:w="11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133,643</w:t>
            </w: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(45,454)</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88,189</w:t>
            </w: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1,742</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89,931</w:t>
            </w:r>
          </w:p>
        </w:tc>
        <w:tc>
          <w:tcPr>
            <w:tcW w:w="1280" w:type="dxa"/>
            <w:vAlign w:val="bottom"/>
            <w:tcBorders>
              <w:bottom w:val="single" w:sz="8" w:color="DBDBDB"/>
            </w:tcBorders>
          </w:tcPr>
          <w:p>
            <w:pPr>
              <w:spacing w:after="0"/>
              <w:rPr>
                <w:sz w:val="17"/>
                <w:szCs w:val="17"/>
                <w:color w:val="auto"/>
              </w:rPr>
            </w:pPr>
          </w:p>
        </w:tc>
        <w:tc>
          <w:tcPr>
            <w:tcW w:w="1220" w:type="dxa"/>
            <w:vAlign w:val="bottom"/>
            <w:tcBorders>
              <w:bottom w:val="single" w:sz="8" w:color="DBDBDB"/>
            </w:tcBorders>
          </w:tcPr>
          <w:p>
            <w:pPr>
              <w:spacing w:after="0"/>
              <w:rPr>
                <w:sz w:val="17"/>
                <w:szCs w:val="17"/>
                <w:color w:val="auto"/>
              </w:rPr>
            </w:pPr>
          </w:p>
        </w:tc>
      </w:tr>
      <w:tr>
        <w:trPr>
          <w:trHeight w:val="17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36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r>
      <w:tr>
        <w:trPr>
          <w:trHeight w:val="197"/>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Non-current contract liabilities</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(50,252)</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(49,018)</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(49,018)</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220" w:type="dxa"/>
            <w:vAlign w:val="bottom"/>
            <w:shd w:val="clear" w:color="auto" w:fill="DBDBDB"/>
          </w:tcPr>
          <w:p>
            <w:pPr>
              <w:spacing w:after="0"/>
              <w:rPr>
                <w:sz w:val="17"/>
                <w:szCs w:val="17"/>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liabilities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(11,994)</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(12,470)</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(12,470)</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w:t>
            </w:r>
          </w:p>
        </w:tc>
        <w:tc>
          <w:tcPr>
            <w:tcW w:w="1220" w:type="dxa"/>
            <w:vAlign w:val="bottom"/>
          </w:tcPr>
          <w:p>
            <w:pPr>
              <w:spacing w:after="0"/>
              <w:rPr>
                <w:sz w:val="17"/>
                <w:szCs w:val="17"/>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non-current provisions</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(73,985)</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(75,362)</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3,390</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(71,972)</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(iv)</w:t>
            </w:r>
          </w:p>
        </w:tc>
        <w:tc>
          <w:tcPr>
            <w:tcW w:w="12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(viii)</w:t>
            </w: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(14,753)</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(13,106)</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(27,859)</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(78,088)</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(105,947)</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w:t>
            </w: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Earn-out liability</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(598,570)</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(598,570)</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(598,570)</w:t>
            </w:r>
          </w:p>
        </w:tc>
        <w:tc>
          <w:tcPr>
            <w:tcW w:w="12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r>
      <w:tr>
        <w:trPr>
          <w:trHeight w:val="150"/>
        </w:trPr>
        <w:tc>
          <w:tcPr>
            <w:tcW w:w="250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Other non-current interest-bearing</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8"/>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liabilities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(85,556)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54,230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(31,326)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(31,326)</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220" w:type="dxa"/>
            <w:vAlign w:val="bottom"/>
          </w:tcPr>
          <w:p>
            <w:pPr>
              <w:spacing w:after="0"/>
              <w:rPr>
                <w:sz w:val="18"/>
                <w:szCs w:val="18"/>
                <w:color w:val="auto"/>
              </w:rPr>
            </w:pPr>
          </w:p>
        </w:tc>
      </w:tr>
      <w:tr>
        <w:trPr>
          <w:trHeight w:val="151"/>
        </w:trPr>
        <w:tc>
          <w:tcPr>
            <w:tcW w:w="2500" w:type="dxa"/>
            <w:vAlign w:val="bottom"/>
            <w:shd w:val="clear" w:color="auto" w:fill="DBDBDB"/>
          </w:tcPr>
          <w:p>
            <w:pPr>
              <w:ind w:left="100"/>
              <w:spacing w:after="0" w:line="151" w:lineRule="exact"/>
              <w:rPr>
                <w:sz w:val="20"/>
                <w:szCs w:val="20"/>
                <w:color w:val="auto"/>
              </w:rPr>
            </w:pPr>
            <w:r>
              <w:rPr>
                <w:rFonts w:ascii="Times New Roman" w:cs="Times New Roman" w:eastAsia="Times New Roman" w:hAnsi="Times New Roman"/>
                <w:sz w:val="15"/>
                <w:szCs w:val="15"/>
                <w:color w:val="auto"/>
              </w:rPr>
              <w:t>Other non-current interest-bearing</w:t>
            </w:r>
          </w:p>
        </w:tc>
        <w:tc>
          <w:tcPr>
            <w:tcW w:w="3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r>
      <w:tr>
        <w:trPr>
          <w:trHeight w:val="208"/>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liabilities - related parties</w:t>
            </w:r>
          </w:p>
        </w:tc>
        <w:tc>
          <w:tcPr>
            <w:tcW w:w="3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(43,643)</w:t>
            </w:r>
          </w:p>
        </w:tc>
        <w:tc>
          <w:tcPr>
            <w:tcW w:w="3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(43,643)</w:t>
            </w:r>
          </w:p>
        </w:tc>
        <w:tc>
          <w:tcPr>
            <w:tcW w:w="40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(43,643)</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(iv)</w:t>
            </w:r>
          </w:p>
        </w:tc>
        <w:tc>
          <w:tcPr>
            <w:tcW w:w="1220" w:type="dxa"/>
            <w:vAlign w:val="bottom"/>
            <w:shd w:val="clear" w:color="auto" w:fill="DBDBDB"/>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(823,592)</w:t>
            </w: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(14,656)</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(838,248)</w:t>
            </w: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(74,698)</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(912,946)</w:t>
            </w:r>
          </w:p>
        </w:tc>
        <w:tc>
          <w:tcPr>
            <w:tcW w:w="134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spacing w:after="0"/>
              <w:rPr>
                <w:sz w:val="17"/>
                <w:szCs w:val="17"/>
                <w:color w:val="auto"/>
              </w:rPr>
            </w:pPr>
          </w:p>
        </w:tc>
      </w:tr>
      <w:tr>
        <w:trPr>
          <w:trHeight w:val="177"/>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payables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(98,458)</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(97,418)</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(97,418)</w:t>
            </w:r>
          </w:p>
        </w:tc>
        <w:tc>
          <w:tcPr>
            <w:tcW w:w="13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(i)</w:t>
            </w:r>
          </w:p>
        </w:tc>
        <w:tc>
          <w:tcPr>
            <w:tcW w:w="1160" w:type="dxa"/>
            <w:vAlign w:val="bottom"/>
          </w:tcPr>
          <w:p>
            <w:pPr>
              <w:spacing w:after="0"/>
              <w:rPr>
                <w:sz w:val="17"/>
                <w:szCs w:val="17"/>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payables - related parties</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(957,497)</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22,336</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(935,161)</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(935,161)</w:t>
            </w:r>
          </w:p>
        </w:tc>
        <w:tc>
          <w:tcPr>
            <w:tcW w:w="134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w:t>
            </w:r>
          </w:p>
        </w:tc>
        <w:tc>
          <w:tcPr>
            <w:tcW w:w="1160" w:type="dxa"/>
            <w:vAlign w:val="bottom"/>
            <w:shd w:val="clear" w:color="auto" w:fill="DBDBDB"/>
          </w:tcPr>
          <w:p>
            <w:pPr>
              <w:spacing w:after="0"/>
              <w:rPr>
                <w:sz w:val="17"/>
                <w:szCs w:val="17"/>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expenses - related parties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(164,902)</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7,476</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(157,426)</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(157,426)</w:t>
            </w:r>
          </w:p>
        </w:tc>
        <w:tc>
          <w:tcPr>
            <w:tcW w:w="13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w w:val="99"/>
              </w:rPr>
              <w:t>(i), (ii)</w:t>
            </w:r>
          </w:p>
        </w:tc>
        <w:tc>
          <w:tcPr>
            <w:tcW w:w="1160" w:type="dxa"/>
            <w:vAlign w:val="bottom"/>
          </w:tcPr>
          <w:p>
            <w:pPr>
              <w:spacing w:after="0"/>
              <w:rPr>
                <w:sz w:val="17"/>
                <w:szCs w:val="17"/>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Advance payments from customers</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(40,869)</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5,152</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(35,717)</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(35,717)</w:t>
            </w:r>
          </w:p>
        </w:tc>
        <w:tc>
          <w:tcPr>
            <w:tcW w:w="134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(iv)</w:t>
            </w:r>
          </w:p>
        </w:tc>
        <w:tc>
          <w:tcPr>
            <w:tcW w:w="1160" w:type="dxa"/>
            <w:vAlign w:val="bottom"/>
            <w:shd w:val="clear" w:color="auto" w:fill="DBDBDB"/>
          </w:tcPr>
          <w:p>
            <w:pPr>
              <w:spacing w:after="0"/>
              <w:rPr>
                <w:sz w:val="17"/>
                <w:szCs w:val="17"/>
                <w:color w:val="auto"/>
              </w:rPr>
            </w:pP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provisions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(74,907)</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(72,849)</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3,811</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(69,038)</w:t>
            </w:r>
          </w:p>
        </w:tc>
        <w:tc>
          <w:tcPr>
            <w:tcW w:w="13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w w:val="99"/>
              </w:rPr>
              <w:t>(i), (ii)</w:t>
            </w:r>
          </w:p>
        </w:tc>
        <w:tc>
          <w:tcPr>
            <w:tcW w:w="116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(ix)</w:t>
            </w: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Liabilities to credit institutions</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(1,328,752)</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2,364</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(1,326,388)</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(1,327,102)</w:t>
            </w:r>
          </w:p>
        </w:tc>
        <w:tc>
          <w:tcPr>
            <w:tcW w:w="134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(iv)</w:t>
            </w:r>
          </w:p>
        </w:tc>
        <w:tc>
          <w:tcPr>
            <w:tcW w:w="116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w w:val="99"/>
              </w:rPr>
              <w:t>(viii)</w:t>
            </w: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tax liabilities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(10,617)</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(3,777)</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(14,394)</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(14,039)</w:t>
            </w:r>
          </w:p>
        </w:tc>
        <w:tc>
          <w:tcPr>
            <w:tcW w:w="134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(v)</w:t>
            </w:r>
          </w:p>
        </w:tc>
        <w:tc>
          <w:tcPr>
            <w:tcW w:w="116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w w:val="99"/>
              </w:rPr>
              <w:t>(viii)</w:t>
            </w: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Interest-bearing current liabilities</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(21,545)</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9,610</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(11,935)</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(11,935)</w:t>
            </w:r>
          </w:p>
        </w:tc>
        <w:tc>
          <w:tcPr>
            <w:tcW w:w="134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(iv)</w:t>
            </w:r>
          </w:p>
        </w:tc>
        <w:tc>
          <w:tcPr>
            <w:tcW w:w="1160" w:type="dxa"/>
            <w:vAlign w:val="bottom"/>
            <w:shd w:val="clear" w:color="auto" w:fill="DBDBDB"/>
          </w:tcPr>
          <w:p>
            <w:pPr>
              <w:spacing w:after="0"/>
              <w:rPr>
                <w:sz w:val="17"/>
                <w:szCs w:val="17"/>
                <w:color w:val="auto"/>
              </w:rPr>
            </w:pPr>
          </w:p>
        </w:tc>
      </w:tr>
      <w:tr>
        <w:trPr>
          <w:trHeight w:val="150"/>
        </w:trPr>
        <w:tc>
          <w:tcPr>
            <w:tcW w:w="250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Interest-bearing current liabilities -</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8"/>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related parties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(16,690)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(26,618)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(27,061)</w:t>
            </w:r>
          </w:p>
        </w:tc>
        <w:tc>
          <w:tcPr>
            <w:tcW w:w="134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(i), (iv)</w:t>
            </w:r>
          </w:p>
        </w:tc>
        <w:tc>
          <w:tcPr>
            <w:tcW w:w="116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w w:val="99"/>
              </w:rPr>
              <w:t>(viii)</w:t>
            </w: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Current contract liabilities</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(46,217)</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1,098</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(45,119)</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12,735</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(32,384)</w:t>
            </w:r>
          </w:p>
        </w:tc>
        <w:tc>
          <w:tcPr>
            <w:tcW w:w="134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w w:val="99"/>
              </w:rPr>
              <w:t>(i), (ii)</w:t>
            </w:r>
          </w:p>
        </w:tc>
        <w:tc>
          <w:tcPr>
            <w:tcW w:w="116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(ix)</w:t>
            </w:r>
          </w:p>
        </w:tc>
      </w:tr>
      <w:tr>
        <w:trPr>
          <w:trHeight w:val="197"/>
        </w:trPr>
        <w:tc>
          <w:tcPr>
            <w:tcW w:w="25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Class C Shares liability</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(28,000)</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(28,000)</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(28,000)</w:t>
            </w: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7"/>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(393,790)</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29,526</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(364,264)</w:t>
            </w:r>
          </w:p>
        </w:tc>
        <w:tc>
          <w:tcPr>
            <w:tcW w:w="4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(18,111)</w:t>
            </w:r>
          </w:p>
        </w:tc>
        <w:tc>
          <w:tcPr>
            <w:tcW w:w="3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(382,375)</w:t>
            </w:r>
          </w:p>
        </w:tc>
        <w:tc>
          <w:tcPr>
            <w:tcW w:w="134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 (ii), (iii)</w:t>
            </w:r>
          </w:p>
        </w:tc>
        <w:tc>
          <w:tcPr>
            <w:tcW w:w="1160" w:type="dxa"/>
            <w:vAlign w:val="bottom"/>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color w:val="auto"/>
              </w:rPr>
              <w:t>(ix)</w:t>
            </w:r>
          </w:p>
        </w:tc>
      </w:tr>
      <w:tr>
        <w:trPr>
          <w:trHeight w:val="150"/>
        </w:trPr>
        <w:tc>
          <w:tcPr>
            <w:tcW w:w="250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Other current liabilities - related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8"/>
        </w:trPr>
        <w:tc>
          <w:tcPr>
            <w:tcW w:w="2500" w:type="dxa"/>
            <w:vAlign w:val="bottom"/>
            <w:tcBorders>
              <w:bottom w:val="single" w:sz="8" w:color="DBDBDB"/>
            </w:tcBorders>
          </w:tcPr>
          <w:p>
            <w:pPr>
              <w:ind w:left="100"/>
              <w:spacing w:after="0"/>
              <w:rPr>
                <w:sz w:val="20"/>
                <w:szCs w:val="20"/>
                <w:color w:val="auto"/>
              </w:rPr>
            </w:pPr>
            <w:r>
              <w:rPr>
                <w:rFonts w:ascii="Times New Roman" w:cs="Times New Roman" w:eastAsia="Times New Roman" w:hAnsi="Times New Roman"/>
                <w:sz w:val="15"/>
                <w:szCs w:val="15"/>
                <w:color w:val="auto"/>
              </w:rPr>
              <w:t>parties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(70,258)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1,196</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(69,062)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(69,062)</w:t>
            </w:r>
          </w:p>
        </w:tc>
        <w:tc>
          <w:tcPr>
            <w:tcW w:w="1340" w:type="dxa"/>
            <w:vAlign w:val="bottom"/>
            <w:tcBorders>
              <w:bottom w:val="single" w:sz="8" w:color="DBDBDB"/>
            </w:tcBorders>
          </w:tcPr>
          <w:p>
            <w:pPr>
              <w:jc w:val="center"/>
              <w:ind w:right="23"/>
              <w:spacing w:after="0"/>
              <w:rPr>
                <w:sz w:val="20"/>
                <w:szCs w:val="20"/>
                <w:color w:val="auto"/>
              </w:rPr>
            </w:pPr>
            <w:r>
              <w:rPr>
                <w:rFonts w:ascii="Times New Roman" w:cs="Times New Roman" w:eastAsia="Times New Roman" w:hAnsi="Times New Roman"/>
                <w:sz w:val="15"/>
                <w:szCs w:val="15"/>
                <w:color w:val="auto"/>
              </w:rPr>
              <w:t>(i), (iv)</w:t>
            </w:r>
          </w:p>
        </w:tc>
        <w:tc>
          <w:tcPr>
            <w:tcW w:w="1160" w:type="dxa"/>
            <w:vAlign w:val="bottom"/>
            <w:tcBorders>
              <w:bottom w:val="single" w:sz="8" w:color="DBDBDB"/>
            </w:tcBorders>
          </w:tcPr>
          <w:p>
            <w:pPr>
              <w:spacing w:after="0"/>
              <w:rPr>
                <w:sz w:val="18"/>
                <w:szCs w:val="18"/>
                <w:color w:val="auto"/>
              </w:rPr>
            </w:pPr>
          </w:p>
        </w:tc>
      </w:tr>
      <w:tr>
        <w:trPr>
          <w:trHeight w:val="189"/>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(3,252,502)</w:t>
            </w:r>
          </w:p>
        </w:tc>
        <w:tc>
          <w:tcPr>
            <w:tcW w:w="40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68,151</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(3,184,351)</w:t>
            </w:r>
          </w:p>
        </w:tc>
        <w:tc>
          <w:tcPr>
            <w:tcW w:w="40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(2,367)</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(3,186,718)</w:t>
            </w:r>
          </w:p>
        </w:tc>
        <w:tc>
          <w:tcPr>
            <w:tcW w:w="134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r>
      <w:tr>
        <w:trPr>
          <w:trHeight w:val="188"/>
        </w:trPr>
        <w:tc>
          <w:tcPr>
            <w:tcW w:w="25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(4,076,094)</w:t>
            </w: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53,495</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(4,022,599)</w:t>
            </w: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(77,065)</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(4,099,664)</w:t>
            </w:r>
          </w:p>
        </w:tc>
        <w:tc>
          <w:tcPr>
            <w:tcW w:w="1340" w:type="dxa"/>
            <w:vAlign w:val="bottom"/>
            <w:tcBorders>
              <w:bottom w:val="single" w:sz="8" w:color="DBDBDB"/>
            </w:tcBorders>
          </w:tcPr>
          <w:p>
            <w:pPr>
              <w:spacing w:after="0"/>
              <w:rPr>
                <w:sz w:val="16"/>
                <w:szCs w:val="16"/>
                <w:color w:val="auto"/>
              </w:rPr>
            </w:pPr>
          </w:p>
        </w:tc>
        <w:tc>
          <w:tcPr>
            <w:tcW w:w="1160" w:type="dxa"/>
            <w:vAlign w:val="bottom"/>
            <w:tcBorders>
              <w:bottom w:val="single" w:sz="8" w:color="DBDBDB"/>
            </w:tcBorders>
          </w:tcPr>
          <w:p>
            <w:pPr>
              <w:spacing w:after="0"/>
              <w:rPr>
                <w:sz w:val="16"/>
                <w:szCs w:val="16"/>
                <w:color w:val="auto"/>
              </w:rPr>
            </w:pPr>
          </w:p>
        </w:tc>
      </w:tr>
      <w:tr>
        <w:trPr>
          <w:trHeight w:val="188"/>
        </w:trPr>
        <w:tc>
          <w:tcPr>
            <w:tcW w:w="25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Total equity and liabilities</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(3,942,451)</w:t>
            </w:r>
          </w:p>
        </w:tc>
        <w:tc>
          <w:tcPr>
            <w:tcW w:w="40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8,041</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(3,934,410)</w:t>
            </w:r>
          </w:p>
        </w:tc>
        <w:tc>
          <w:tcPr>
            <w:tcW w:w="400" w:type="dxa"/>
            <w:vAlign w:val="bottom"/>
            <w:tcBorders>
              <w:bottom w:val="single" w:sz="8" w:color="auto"/>
            </w:tcBorders>
            <w:shd w:val="clear" w:color="auto" w:fill="DBDBDB"/>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(75,323)</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(4,009,733)</w:t>
            </w:r>
          </w:p>
        </w:tc>
        <w:tc>
          <w:tcPr>
            <w:tcW w:w="134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The current restatement adjustments to this line are inclusive of the $702 roll-forward impact of the FY21 errors impacting the income statement.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Consolidated Statement of Cash Flows as for the year ended December 31, 2022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7177405"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9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As originally</w:t>
            </w:r>
          </w:p>
        </w:tc>
        <w:tc>
          <w:tcPr>
            <w:tcW w:w="1000" w:type="dxa"/>
            <w:vAlign w:val="bottom"/>
            <w:shd w:val="clear" w:color="auto" w:fill="DBDBDB"/>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Prior</w:t>
            </w:r>
          </w:p>
        </w:tc>
        <w:tc>
          <w:tcPr>
            <w:tcW w:w="1060" w:type="dxa"/>
            <w:vAlign w:val="bottom"/>
            <w:vMerge w:val="restart"/>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As Originally</w:t>
            </w:r>
          </w:p>
        </w:tc>
        <w:tc>
          <w:tcPr>
            <w:tcW w:w="1020" w:type="dxa"/>
            <w:vAlign w:val="bottom"/>
            <w:shd w:val="clear" w:color="auto" w:fill="DBDBDB"/>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940" w:type="dxa"/>
            <w:vAlign w:val="bottom"/>
            <w:shd w:val="clear" w:color="auto" w:fill="DBDBDB"/>
          </w:tcPr>
          <w:p>
            <w:pPr>
              <w:spacing w:after="0"/>
              <w:rPr>
                <w:sz w:val="15"/>
                <w:szCs w:val="15"/>
                <w:color w:val="auto"/>
              </w:rPr>
            </w:pP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Prior</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150"/>
        </w:trPr>
        <w:tc>
          <w:tcPr>
            <w:tcW w:w="4200" w:type="dxa"/>
            <w:vAlign w:val="bottom"/>
            <w:vMerge w:val="continue"/>
            <w:shd w:val="clear" w:color="auto" w:fill="DBDBDB"/>
          </w:tcPr>
          <w:p>
            <w:pPr>
              <w:spacing w:after="0"/>
              <w:rPr>
                <w:sz w:val="13"/>
                <w:szCs w:val="13"/>
                <w:color w:val="auto"/>
              </w:rPr>
            </w:pPr>
          </w:p>
        </w:tc>
        <w:tc>
          <w:tcPr>
            <w:tcW w:w="104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filed on April</w:t>
            </w:r>
          </w:p>
        </w:tc>
        <w:tc>
          <w:tcPr>
            <w:tcW w:w="1000" w:type="dxa"/>
            <w:vAlign w:val="bottom"/>
            <w:shd w:val="clear" w:color="auto" w:fill="DBDBDB"/>
          </w:tcPr>
          <w:p>
            <w:pPr>
              <w:jc w:val="center"/>
              <w:ind w:right="3"/>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060" w:type="dxa"/>
            <w:vAlign w:val="bottom"/>
            <w:vMerge w:val="continue"/>
            <w:shd w:val="clear" w:color="auto" w:fill="DBDBDB"/>
          </w:tcPr>
          <w:p>
            <w:pPr>
              <w:spacing w:after="0"/>
              <w:rPr>
                <w:sz w:val="13"/>
                <w:szCs w:val="13"/>
                <w:color w:val="auto"/>
              </w:rPr>
            </w:pPr>
          </w:p>
        </w:tc>
        <w:tc>
          <w:tcPr>
            <w:tcW w:w="1020" w:type="dxa"/>
            <w:vAlign w:val="bottom"/>
            <w:shd w:val="clear" w:color="auto" w:fill="DBDBDB"/>
          </w:tcPr>
          <w:p>
            <w:pPr>
              <w:jc w:val="center"/>
              <w:ind w:right="3"/>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940" w:type="dxa"/>
            <w:vAlign w:val="bottom"/>
            <w:vMerge w:val="restart"/>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00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00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208"/>
        </w:trPr>
        <w:tc>
          <w:tcPr>
            <w:tcW w:w="4200" w:type="dxa"/>
            <w:vAlign w:val="bottom"/>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14, 2023</w:t>
            </w:r>
          </w:p>
        </w:tc>
        <w:tc>
          <w:tcPr>
            <w:tcW w:w="1000" w:type="dxa"/>
            <w:vAlign w:val="bottom"/>
            <w:tcBorders>
              <w:bottom w:val="single" w:sz="8" w:color="auto"/>
            </w:tcBorders>
            <w:shd w:val="clear" w:color="auto" w:fill="DBDBDB"/>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60" w:type="dxa"/>
            <w:vAlign w:val="bottom"/>
            <w:tcBorders>
              <w:bottom w:val="single" w:sz="8" w:color="auto"/>
            </w:tcBorders>
            <w:shd w:val="clear" w:color="auto" w:fill="DBDBDB"/>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02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940" w:type="dxa"/>
            <w:vAlign w:val="bottom"/>
            <w:tcBorders>
              <w:bottom w:val="single" w:sz="8" w:color="auto"/>
            </w:tcBorders>
            <w:vMerge w:val="continue"/>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10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2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100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color w:val="auto"/>
              </w:rPr>
              <w:t>(i), (ii), (iii),</w:t>
            </w:r>
          </w:p>
        </w:tc>
        <w:tc>
          <w:tcPr>
            <w:tcW w:w="10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(465,789)</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(11,666)</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(477,455)</w:t>
            </w:r>
          </w:p>
        </w:tc>
        <w:tc>
          <w:tcPr>
            <w:tcW w:w="10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(1,562)</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(479,017)</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 (v)</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flows: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158,392</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(15,401)</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142,991</w:t>
            </w:r>
          </w:p>
        </w:tc>
        <w:tc>
          <w:tcPr>
            <w:tcW w:w="102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(2,185)</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140,806</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(i), (iii)</w:t>
            </w:r>
          </w:p>
        </w:tc>
        <w:tc>
          <w:tcPr>
            <w:tcW w:w="10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5"/>
                <w:szCs w:val="15"/>
                <w:color w:val="auto"/>
              </w:rPr>
              <w:t>(viii)</w:t>
            </w:r>
          </w:p>
        </w:tc>
        <w:tc>
          <w:tcPr>
            <w:tcW w:w="0" w:type="dxa"/>
            <w:vAlign w:val="bottom"/>
          </w:tcPr>
          <w:p>
            <w:pPr>
              <w:spacing w:after="0"/>
              <w:rPr>
                <w:sz w:val="1"/>
                <w:szCs w:val="1"/>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Warranty provisions</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84,992</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6,291</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91,283</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91,245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(i), (ii)</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w:t>
            </w: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Impairment of inventory</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27,877</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(13,047)</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14,830</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14,830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(iv)</w:t>
            </w: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Finance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Finance expense</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108,435</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108,402</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108,402</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w:t>
            </w: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Fair value change - Earn-out rights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(902,068)</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Fair value change - Class C Shares</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(35,090)</w:t>
            </w:r>
          </w:p>
        </w:tc>
        <w:tc>
          <w:tcPr>
            <w:tcW w:w="10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Listing expense</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372,318</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372,318</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372,318</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16,784</w:t>
            </w:r>
          </w:p>
        </w:tc>
        <w:tc>
          <w:tcPr>
            <w:tcW w:w="10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12,876</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29,660</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96</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29,756</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 (v)</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w:t>
            </w:r>
          </w:p>
        </w:tc>
        <w:tc>
          <w:tcPr>
            <w:tcW w:w="0" w:type="dxa"/>
            <w:vAlign w:val="bottom"/>
          </w:tcPr>
          <w:p>
            <w:pPr>
              <w:spacing w:after="0"/>
              <w:rPr>
                <w:sz w:val="1"/>
                <w:szCs w:val="1"/>
                <w:color w:val="auto"/>
              </w:rPr>
            </w:pPr>
          </w:p>
        </w:tc>
      </w:tr>
      <w:tr>
        <w:trPr>
          <w:trHeight w:val="150"/>
        </w:trPr>
        <w:tc>
          <w:tcPr>
            <w:tcW w:w="420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Loss on derecognition and disposal of property, plant, and</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equipment and intangible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11,036</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11,036</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11,036</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provisions</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23,367</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23,367</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23,367</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Unrealized exchange (loss) gain on trade payables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(26,672)</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(26,672)</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(26,672)</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non-cash expense and income</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18,997</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(7,731)</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11,266</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2,185</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13,451</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0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5"/>
                <w:szCs w:val="15"/>
                <w:color w:val="auto"/>
              </w:rPr>
              <w:t>(viii)</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(226,638)</w:t>
            </w:r>
          </w:p>
        </w:tc>
        <w:tc>
          <w:tcPr>
            <w:tcW w:w="100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40,245</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(186,393)</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(186,393)</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(iii), (iv)</w:t>
            </w: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13,373</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8,256</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21,629</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2,034</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23,663</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 (ii), (iv)</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50"/>
        </w:trPr>
        <w:tc>
          <w:tcPr>
            <w:tcW w:w="42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1000" w:type="dxa"/>
            <w:vAlign w:val="bottom"/>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color w:val="auto"/>
              </w:rPr>
              <w:t>(i), (ii), (iii),</w:t>
            </w:r>
          </w:p>
        </w:tc>
        <w:tc>
          <w:tcPr>
            <w:tcW w:w="10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 prepaid expenses, and other assets</w:t>
            </w: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(220,118)</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(2,573)</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(222,691)</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8,527</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(214,164)</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(viii),(ix)</w:t>
            </w:r>
          </w:p>
        </w:tc>
        <w:tc>
          <w:tcPr>
            <w:tcW w:w="0" w:type="dxa"/>
            <w:vAlign w:val="bottom"/>
          </w:tcPr>
          <w:p>
            <w:pPr>
              <w:spacing w:after="0"/>
              <w:rPr>
                <w:sz w:val="1"/>
                <w:szCs w:val="1"/>
                <w:color w:val="auto"/>
              </w:rPr>
            </w:pPr>
          </w:p>
        </w:tc>
      </w:tr>
      <w:tr>
        <w:trPr>
          <w:trHeight w:val="150"/>
        </w:trPr>
        <w:tc>
          <w:tcPr>
            <w:tcW w:w="4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color w:val="auto"/>
              </w:rPr>
              <w:t>(i), (ii), (iii),</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payables, accrued expenses, and other liabilities</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52,801</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(30,820)</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21,981</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(713)</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21,268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received</w:t>
            </w:r>
          </w:p>
        </w:tc>
        <w:tc>
          <w:tcPr>
            <w:tcW w:w="10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5"/>
                <w:szCs w:val="15"/>
                <w:color w:val="auto"/>
              </w:rPr>
              <w:t>8,552</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8,552</w:t>
            </w:r>
          </w:p>
        </w:tc>
        <w:tc>
          <w:tcPr>
            <w:tcW w:w="1020" w:type="dxa"/>
            <w:vAlign w:val="bottom"/>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10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(68,130)</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(68,130)</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(68,130)</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Taxes paid</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(19,559)</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(19,559)</w:t>
            </w:r>
          </w:p>
        </w:tc>
        <w:tc>
          <w:tcPr>
            <w:tcW w:w="1020" w:type="dxa"/>
            <w:vAlign w:val="bottom"/>
            <w:tcBorders>
              <w:bottom w:val="single" w:sz="8" w:color="auto"/>
            </w:tcBorders>
            <w:shd w:val="clear" w:color="auto" w:fill="DBDBDB"/>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(19,559)</w:t>
            </w:r>
          </w:p>
        </w:tc>
        <w:tc>
          <w:tcPr>
            <w:tcW w:w="10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Cash used for operating activities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(1,083,423)</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(5,872)</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(1,089,295)</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8,344</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(1,080,951)</w:t>
            </w:r>
          </w:p>
        </w:tc>
        <w:tc>
          <w:tcPr>
            <w:tcW w:w="2000" w:type="dxa"/>
            <w:vAlign w:val="bottom"/>
            <w:tcBorders>
              <w:bottom w:val="single" w:sz="8" w:color="DBDBDB"/>
            </w:tcBorders>
          </w:tcPr>
          <w:p>
            <w:pPr>
              <w:spacing w:after="0"/>
              <w:rPr>
                <w:sz w:val="17"/>
                <w:szCs w:val="17"/>
                <w:color w:val="auto"/>
              </w:rPr>
            </w:pPr>
          </w:p>
        </w:tc>
      </w:tr>
      <w:tr>
        <w:trPr>
          <w:trHeight w:val="17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2000" w:type="dxa"/>
            <w:vAlign w:val="bottom"/>
            <w:shd w:val="clear" w:color="auto" w:fill="DBDBDB"/>
          </w:tcPr>
          <w:p>
            <w:pPr>
              <w:spacing w:after="0"/>
              <w:rPr>
                <w:sz w:val="15"/>
                <w:szCs w:val="15"/>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(32,269)</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(32,269)</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(32,269)</w:t>
            </w:r>
          </w:p>
        </w:tc>
        <w:tc>
          <w:tcPr>
            <w:tcW w:w="2000" w:type="dxa"/>
            <w:vAlign w:val="bottom"/>
          </w:tcPr>
          <w:p>
            <w:pPr>
              <w:spacing w:after="0"/>
              <w:rPr>
                <w:sz w:val="17"/>
                <w:szCs w:val="17"/>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Additions to intangible assets</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(681,204)</w:t>
            </w:r>
          </w:p>
        </w:tc>
        <w:tc>
          <w:tcPr>
            <w:tcW w:w="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6,929</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(674,275)</w:t>
            </w:r>
          </w:p>
        </w:tc>
        <w:tc>
          <w:tcPr>
            <w:tcW w:w="36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(674,275)</w:t>
            </w:r>
          </w:p>
        </w:tc>
        <w:tc>
          <w:tcPr>
            <w:tcW w:w="2000" w:type="dxa"/>
            <w:vAlign w:val="bottom"/>
            <w:shd w:val="clear" w:color="auto" w:fill="DBDBDB"/>
          </w:tcPr>
          <w:p>
            <w:pPr>
              <w:ind w:left="420"/>
              <w:spacing w:after="0"/>
              <w:rPr>
                <w:sz w:val="20"/>
                <w:szCs w:val="20"/>
                <w:color w:val="auto"/>
              </w:rPr>
            </w:pPr>
            <w:r>
              <w:rPr>
                <w:rFonts w:ascii="Times New Roman" w:cs="Times New Roman" w:eastAsia="Times New Roman" w:hAnsi="Times New Roman"/>
                <w:sz w:val="15"/>
                <w:szCs w:val="15"/>
                <w:color w:val="auto"/>
              </w:rPr>
              <w:t>(iii)</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other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200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Borders>
              <w:top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used for investing activities</w:t>
            </w:r>
          </w:p>
        </w:tc>
        <w:tc>
          <w:tcPr>
            <w:tcW w:w="1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(715,973)</w:t>
            </w:r>
          </w:p>
        </w:tc>
        <w:tc>
          <w:tcPr>
            <w:tcW w:w="340" w:type="dxa"/>
            <w:vAlign w:val="bottom"/>
            <w:tcBorders>
              <w:top w:val="single" w:sz="8" w:color="auto"/>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6,929</w:t>
            </w:r>
          </w:p>
        </w:tc>
        <w:tc>
          <w:tcPr>
            <w:tcW w:w="220" w:type="dxa"/>
            <w:vAlign w:val="bottom"/>
            <w:tcBorders>
              <w:top w:val="single" w:sz="8" w:color="auto"/>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(709,044)</w:t>
            </w:r>
          </w:p>
        </w:tc>
        <w:tc>
          <w:tcPr>
            <w:tcW w:w="320" w:type="dxa"/>
            <w:vAlign w:val="bottom"/>
            <w:tcBorders>
              <w:top w:val="single" w:sz="8" w:color="auto"/>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(709,044)</w:t>
            </w:r>
          </w:p>
        </w:tc>
        <w:tc>
          <w:tcPr>
            <w:tcW w:w="2000" w:type="dxa"/>
            <w:vAlign w:val="bottom"/>
            <w:tcBorders>
              <w:top w:val="single" w:sz="8" w:color="DBDBDB"/>
            </w:tcBorders>
            <w:shd w:val="clear" w:color="auto" w:fill="DBDBDB"/>
          </w:tcPr>
          <w:p>
            <w:pPr>
              <w:spacing w:after="0"/>
              <w:rPr>
                <w:sz w:val="16"/>
                <w:szCs w:val="16"/>
                <w:color w:val="auto"/>
              </w:rPr>
            </w:pPr>
          </w:p>
        </w:tc>
      </w:tr>
      <w:tr>
        <w:trPr>
          <w:trHeight w:val="177"/>
        </w:trPr>
        <w:tc>
          <w:tcPr>
            <w:tcW w:w="4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Proceeds from short-term borrowings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2,149,799</w:t>
            </w:r>
          </w:p>
        </w:tc>
        <w:tc>
          <w:tcPr>
            <w:tcW w:w="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2,149,799</w:t>
            </w:r>
          </w:p>
        </w:tc>
        <w:tc>
          <w:tcPr>
            <w:tcW w:w="3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1,156</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2,150,955</w:t>
            </w:r>
          </w:p>
        </w:tc>
        <w:tc>
          <w:tcPr>
            <w:tcW w:w="2000" w:type="dxa"/>
            <w:vAlign w:val="bottom"/>
            <w:shd w:val="clear" w:color="auto" w:fill="DBDBDB"/>
          </w:tcPr>
          <w:p>
            <w:pPr>
              <w:ind w:left="1340"/>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(1,426,935)</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(1,426,935)</w:t>
            </w:r>
          </w:p>
        </w:tc>
        <w:tc>
          <w:tcPr>
            <w:tcW w:w="32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(9,481)</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(1,436,416)</w:t>
            </w:r>
          </w:p>
        </w:tc>
        <w:tc>
          <w:tcPr>
            <w:tcW w:w="200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Repayments of lease liabilities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(18,905)</w:t>
            </w:r>
          </w:p>
        </w:tc>
        <w:tc>
          <w:tcPr>
            <w:tcW w:w="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(19,448)</w:t>
            </w:r>
          </w:p>
        </w:tc>
        <w:tc>
          <w:tcPr>
            <w:tcW w:w="3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(19,448)</w:t>
            </w:r>
          </w:p>
        </w:tc>
        <w:tc>
          <w:tcPr>
            <w:tcW w:w="20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5"/>
                <w:szCs w:val="15"/>
                <w:color w:val="auto"/>
              </w:rPr>
              <w:t>(i), (iv)</w:t>
            </w:r>
          </w:p>
        </w:tc>
      </w:tr>
      <w:tr>
        <w:trPr>
          <w:trHeight w:val="150"/>
        </w:trPr>
        <w:tc>
          <w:tcPr>
            <w:tcW w:w="420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Proceeds from issuance of share capital and other contributed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capital</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1,417,973</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1,417,973</w:t>
            </w:r>
          </w:p>
        </w:tc>
        <w:tc>
          <w:tcPr>
            <w:tcW w:w="320" w:type="dxa"/>
            <w:vAlign w:val="bottom"/>
          </w:tcPr>
          <w:p>
            <w:pPr>
              <w:spacing w:after="0"/>
              <w:rPr>
                <w:sz w:val="18"/>
                <w:szCs w:val="18"/>
                <w:color w:val="auto"/>
              </w:rPr>
            </w:pP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1,417,973</w:t>
            </w:r>
          </w:p>
        </w:tc>
        <w:tc>
          <w:tcPr>
            <w:tcW w:w="2000" w:type="dxa"/>
            <w:vAlign w:val="bottom"/>
          </w:tcPr>
          <w:p>
            <w:pPr>
              <w:spacing w:after="0"/>
              <w:rPr>
                <w:sz w:val="18"/>
                <w:szCs w:val="18"/>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Transaction costs</w:t>
            </w:r>
          </w:p>
        </w:tc>
        <w:tc>
          <w:tcPr>
            <w:tcW w:w="18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(38,903)</w:t>
            </w:r>
          </w:p>
        </w:tc>
        <w:tc>
          <w:tcPr>
            <w:tcW w:w="34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(38,903)</w:t>
            </w:r>
          </w:p>
        </w:tc>
        <w:tc>
          <w:tcPr>
            <w:tcW w:w="32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(38,903)</w:t>
            </w:r>
          </w:p>
        </w:tc>
        <w:tc>
          <w:tcPr>
            <w:tcW w:w="2000" w:type="dxa"/>
            <w:vAlign w:val="bottom"/>
            <w:shd w:val="clear" w:color="auto" w:fill="DBDBDB"/>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Cash provided by financing activities</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2,083,029</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(543)</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2,082,486</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(8,325)</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2,074,161</w:t>
            </w:r>
          </w:p>
        </w:tc>
        <w:tc>
          <w:tcPr>
            <w:tcW w:w="106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r>
      <w:tr>
        <w:trPr>
          <w:trHeight w:val="130"/>
        </w:trPr>
        <w:tc>
          <w:tcPr>
            <w:tcW w:w="4200" w:type="dxa"/>
            <w:vAlign w:val="bottom"/>
            <w:shd w:val="clear" w:color="auto" w:fill="DBDBDB"/>
          </w:tcPr>
          <w:p>
            <w:pPr>
              <w:spacing w:after="0" w:line="131" w:lineRule="exact"/>
              <w:rPr>
                <w:sz w:val="20"/>
                <w:szCs w:val="20"/>
                <w:color w:val="auto"/>
              </w:rPr>
            </w:pPr>
            <w:r>
              <w:rPr>
                <w:rFonts w:ascii="Times New Roman" w:cs="Times New Roman" w:eastAsia="Times New Roman" w:hAnsi="Times New Roman"/>
                <w:sz w:val="15"/>
                <w:szCs w:val="15"/>
                <w:color w:val="auto"/>
              </w:rPr>
              <w:t>Effect of foreign exchange rate changes on cash and cash</w:t>
            </w:r>
          </w:p>
        </w:tc>
        <w:tc>
          <w:tcPr>
            <w:tcW w:w="22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060" w:type="dxa"/>
            <w:vAlign w:val="bottom"/>
            <w:shd w:val="clear" w:color="auto" w:fill="DBDBDB"/>
          </w:tcPr>
          <w:p>
            <w:pPr>
              <w:ind w:left="140"/>
              <w:spacing w:after="0" w:line="131" w:lineRule="exact"/>
              <w:rPr>
                <w:sz w:val="20"/>
                <w:szCs w:val="20"/>
                <w:color w:val="auto"/>
              </w:rPr>
            </w:pPr>
            <w:r>
              <w:rPr>
                <w:rFonts w:ascii="Times New Roman" w:cs="Times New Roman" w:eastAsia="Times New Roman" w:hAnsi="Times New Roman"/>
                <w:sz w:val="15"/>
                <w:szCs w:val="15"/>
                <w:color w:val="auto"/>
              </w:rPr>
              <w:t>(i), (ii), (iii),</w:t>
            </w:r>
          </w:p>
        </w:tc>
        <w:tc>
          <w:tcPr>
            <w:tcW w:w="940" w:type="dxa"/>
            <w:vAlign w:val="bottom"/>
            <w:shd w:val="clear" w:color="auto" w:fill="DBDBDB"/>
          </w:tcPr>
          <w:p>
            <w:pPr>
              <w:spacing w:after="0"/>
              <w:rPr>
                <w:sz w:val="11"/>
                <w:szCs w:val="11"/>
                <w:color w:val="auto"/>
              </w:rPr>
            </w:pPr>
          </w:p>
        </w:tc>
      </w:tr>
      <w:tr>
        <w:trPr>
          <w:trHeight w:val="20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equivalents</w:t>
            </w:r>
          </w:p>
        </w:tc>
        <w:tc>
          <w:tcPr>
            <w:tcW w:w="220" w:type="dxa"/>
            <w:vAlign w:val="bottom"/>
            <w:tcBorders>
              <w:bottom w:val="single" w:sz="8" w:color="auto"/>
            </w:tcBorders>
            <w:shd w:val="clear" w:color="auto" w:fill="DBDBDB"/>
          </w:tcPr>
          <w:p>
            <w:pPr>
              <w:spacing w:after="0"/>
              <w:rPr>
                <w:sz w:val="18"/>
                <w:szCs w:val="18"/>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(66,433)</w:t>
            </w:r>
          </w:p>
        </w:tc>
        <w:tc>
          <w:tcPr>
            <w:tcW w:w="18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24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(66,947)</w:t>
            </w:r>
          </w:p>
        </w:tc>
        <w:tc>
          <w:tcPr>
            <w:tcW w:w="32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20" w:type="dxa"/>
            <w:vAlign w:val="bottom"/>
            <w:tcBorders>
              <w:bottom w:val="single" w:sz="8" w:color="auto"/>
            </w:tcBorders>
            <w:shd w:val="clear" w:color="auto" w:fill="DBDBDB"/>
          </w:tcPr>
          <w:p>
            <w:pPr>
              <w:spacing w:after="0"/>
              <w:rPr>
                <w:sz w:val="18"/>
                <w:szCs w:val="18"/>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(66,966)</w:t>
            </w:r>
          </w:p>
        </w:tc>
        <w:tc>
          <w:tcPr>
            <w:tcW w:w="106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5"/>
                <w:szCs w:val="15"/>
                <w:color w:val="auto"/>
              </w:rPr>
              <w:t>(iv), (v)</w:t>
            </w:r>
          </w:p>
        </w:tc>
        <w:tc>
          <w:tcPr>
            <w:tcW w:w="940" w:type="dxa"/>
            <w:vAlign w:val="bottom"/>
            <w:shd w:val="clear" w:color="auto" w:fill="DBDBDB"/>
          </w:tcPr>
          <w:p>
            <w:pPr>
              <w:ind w:left="160"/>
              <w:spacing w:after="0"/>
              <w:rPr>
                <w:sz w:val="20"/>
                <w:szCs w:val="20"/>
                <w:color w:val="auto"/>
              </w:rPr>
            </w:pPr>
            <w:r>
              <w:rPr>
                <w:rFonts w:ascii="Times New Roman" w:cs="Times New Roman" w:eastAsia="Times New Roman" w:hAnsi="Times New Roman"/>
                <w:sz w:val="15"/>
                <w:szCs w:val="15"/>
                <w:color w:val="auto"/>
              </w:rPr>
              <w:t>(viii),(ix)</w:t>
            </w:r>
          </w:p>
        </w:tc>
      </w:tr>
      <w:tr>
        <w:trPr>
          <w:trHeight w:val="640"/>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F-74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4"/>
        </w:trPr>
        <w:tc>
          <w:tcPr>
            <w:tcW w:w="4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9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9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8"/>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color w:val="0000FF"/>
                <w:w w:val="95"/>
              </w:rPr>
              <w:t>Table of Contents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76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cash and cash equivalents</w:t>
            </w:r>
          </w:p>
        </w:tc>
        <w:tc>
          <w:tcPr>
            <w:tcW w:w="14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DBDBDB"/>
            </w:tcBorders>
            <w:gridSpan w:val="7"/>
            <w:vMerge w:val="continue"/>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300" w:type="dxa"/>
            <w:vAlign w:val="bottom"/>
            <w:tcBorders>
              <w:bottom w:val="single" w:sz="8" w:color="DBDBDB"/>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217,200</w:t>
            </w: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217,200</w:t>
            </w: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217,200</w:t>
            </w:r>
          </w:p>
        </w:tc>
        <w:tc>
          <w:tcPr>
            <w:tcW w:w="200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gridSpan w:val="7"/>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beginning of the period</w:t>
            </w: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756,677</w:t>
            </w:r>
          </w:p>
        </w:tc>
        <w:tc>
          <w:tcPr>
            <w:tcW w:w="32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gridSpan w:val="3"/>
            <w:shd w:val="clear" w:color="auto" w:fill="DBDBDB"/>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 $</w:t>
            </w:r>
          </w:p>
        </w:tc>
        <w:tc>
          <w:tcPr>
            <w:tcW w:w="900" w:type="dxa"/>
            <w:vAlign w:val="bottom"/>
            <w:tcBorders>
              <w:bottom w:val="single" w:sz="8" w:color="auto"/>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756,677</w:t>
            </w:r>
          </w:p>
        </w:tc>
        <w:tc>
          <w:tcPr>
            <w:tcW w:w="440" w:type="dxa"/>
            <w:vAlign w:val="bottom"/>
            <w:tcBorders>
              <w:bottom w:val="single" w:sz="8" w:color="auto"/>
            </w:tcBorders>
            <w:shd w:val="clear" w:color="auto" w:fill="DBDBDB"/>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5"/>
                <w:szCs w:val="15"/>
                <w:b w:val="1"/>
                <w:bCs w:val="1"/>
                <w:color w:val="auto"/>
              </w:rPr>
              <w:t>— $</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756,677</w:t>
            </w:r>
          </w:p>
        </w:tc>
        <w:tc>
          <w:tcPr>
            <w:tcW w:w="20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end of the period</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973,877</w:t>
            </w:r>
          </w:p>
        </w:tc>
        <w:tc>
          <w:tcPr>
            <w:tcW w:w="3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w:t>
            </w: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973,877</w:t>
            </w: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973,877</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6360" w:type="dxa"/>
            <w:vAlign w:val="bottom"/>
            <w:gridSpan w:val="17"/>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Statement of Loss and Comprehensive Loss for the year ended December 31, 2021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8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jc w:val="center"/>
              <w:ind w:right="23"/>
              <w:spacing w:after="0" w:line="158"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180" w:type="dxa"/>
            <w:vAlign w:val="bottom"/>
            <w:tcBorders>
              <w:top w:val="single" w:sz="8" w:color="auto"/>
            </w:tcBorders>
            <w:shd w:val="clear" w:color="auto" w:fill="DBDBDB"/>
          </w:tcPr>
          <w:p>
            <w:pPr>
              <w:spacing w:after="0"/>
              <w:rPr>
                <w:sz w:val="13"/>
                <w:szCs w:val="13"/>
                <w:color w:val="auto"/>
              </w:rPr>
            </w:pPr>
          </w:p>
        </w:tc>
        <w:tc>
          <w:tcPr>
            <w:tcW w:w="70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300" w:type="dxa"/>
            <w:vAlign w:val="bottom"/>
            <w:tcBorders>
              <w:top w:val="single" w:sz="8" w:color="auto"/>
            </w:tcBorders>
            <w:shd w:val="clear" w:color="auto" w:fill="DBDBDB"/>
          </w:tcPr>
          <w:p>
            <w:pPr>
              <w:spacing w:after="0"/>
              <w:rPr>
                <w:sz w:val="13"/>
                <w:szCs w:val="13"/>
                <w:color w:val="auto"/>
              </w:rPr>
            </w:pPr>
          </w:p>
        </w:tc>
        <w:tc>
          <w:tcPr>
            <w:tcW w:w="44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220" w:type="dxa"/>
            <w:vAlign w:val="bottom"/>
            <w:tcBorders>
              <w:top w:val="single" w:sz="8" w:color="auto"/>
            </w:tcBorders>
            <w:shd w:val="clear" w:color="auto" w:fill="DBDBDB"/>
          </w:tcPr>
          <w:p>
            <w:pPr>
              <w:spacing w:after="0"/>
              <w:rPr>
                <w:sz w:val="13"/>
                <w:szCs w:val="13"/>
                <w:color w:val="auto"/>
              </w:rPr>
            </w:pPr>
          </w:p>
        </w:tc>
        <w:tc>
          <w:tcPr>
            <w:tcW w:w="220" w:type="dxa"/>
            <w:vAlign w:val="bottom"/>
            <w:tcBorders>
              <w:top w:val="single" w:sz="8" w:color="auto"/>
            </w:tcBorders>
            <w:shd w:val="clear" w:color="auto" w:fill="DBDBDB"/>
          </w:tcPr>
          <w:p>
            <w:pPr>
              <w:spacing w:after="0"/>
              <w:rPr>
                <w:sz w:val="13"/>
                <w:szCs w:val="13"/>
                <w:color w:val="auto"/>
              </w:rPr>
            </w:pPr>
          </w:p>
        </w:tc>
        <w:tc>
          <w:tcPr>
            <w:tcW w:w="320" w:type="dxa"/>
            <w:vAlign w:val="bottom"/>
            <w:tcBorders>
              <w:top w:val="single" w:sz="8" w:color="auto"/>
            </w:tcBorders>
            <w:shd w:val="clear" w:color="auto" w:fill="DBDBDB"/>
          </w:tcPr>
          <w:p>
            <w:pPr>
              <w:spacing w:after="0"/>
              <w:rPr>
                <w:sz w:val="13"/>
                <w:szCs w:val="13"/>
                <w:color w:val="auto"/>
              </w:rPr>
            </w:pPr>
          </w:p>
        </w:tc>
        <w:tc>
          <w:tcPr>
            <w:tcW w:w="580" w:type="dxa"/>
            <w:vAlign w:val="bottom"/>
            <w:tcBorders>
              <w:top w:val="single" w:sz="8" w:color="auto"/>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Particulars</w:t>
            </w: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right="23"/>
              <w:spacing w:after="0" w:line="155" w:lineRule="exact"/>
              <w:rPr>
                <w:sz w:val="20"/>
                <w:szCs w:val="20"/>
                <w:color w:val="auto"/>
              </w:rPr>
            </w:pPr>
            <w:r>
              <w:rPr>
                <w:rFonts w:ascii="Times New Roman" w:cs="Times New Roman" w:eastAsia="Times New Roman" w:hAnsi="Times New Roman"/>
                <w:sz w:val="15"/>
                <w:szCs w:val="15"/>
                <w:b w:val="1"/>
                <w:bCs w:val="1"/>
                <w:color w:val="auto"/>
              </w:rPr>
              <w:t>originally</w:t>
            </w:r>
          </w:p>
        </w:tc>
        <w:tc>
          <w:tcPr>
            <w:tcW w:w="18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Prior</w:t>
            </w:r>
          </w:p>
        </w:tc>
        <w:tc>
          <w:tcPr>
            <w:tcW w:w="12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140" w:type="dxa"/>
            <w:vAlign w:val="bottom"/>
            <w:shd w:val="clear" w:color="auto" w:fill="DBDBDB"/>
          </w:tcPr>
          <w:p>
            <w:pPr>
              <w:spacing w:after="0"/>
              <w:rPr>
                <w:sz w:val="13"/>
                <w:szCs w:val="13"/>
                <w:color w:val="auto"/>
              </w:rPr>
            </w:pPr>
          </w:p>
        </w:tc>
        <w:tc>
          <w:tcPr>
            <w:tcW w:w="740" w:type="dxa"/>
            <w:vAlign w:val="bottom"/>
            <w:gridSpan w:val="2"/>
            <w:vMerge w:val="restart"/>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60" w:type="dxa"/>
            <w:vAlign w:val="bottom"/>
            <w:gridSpan w:val="3"/>
            <w:vMerge w:val="restart"/>
            <w:shd w:val="clear" w:color="auto" w:fill="DBDBDB"/>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Prior</w:t>
            </w:r>
          </w:p>
        </w:tc>
        <w:tc>
          <w:tcPr>
            <w:tcW w:w="8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8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right="23"/>
              <w:spacing w:after="0" w:line="158" w:lineRule="exact"/>
              <w:rPr>
                <w:sz w:val="20"/>
                <w:szCs w:val="20"/>
                <w:color w:val="auto"/>
              </w:rPr>
            </w:pPr>
            <w:r>
              <w:rPr>
                <w:rFonts w:ascii="Times New Roman" w:cs="Times New Roman" w:eastAsia="Times New Roman" w:hAnsi="Times New Roman"/>
                <w:sz w:val="15"/>
                <w:szCs w:val="15"/>
                <w:b w:val="1"/>
                <w:bCs w:val="1"/>
                <w:color w:val="auto"/>
              </w:rPr>
              <w:t>filed on</w:t>
            </w:r>
          </w:p>
        </w:tc>
        <w:tc>
          <w:tcPr>
            <w:tcW w:w="180" w:type="dxa"/>
            <w:vAlign w:val="bottom"/>
            <w:shd w:val="clear" w:color="auto" w:fill="DBDBDB"/>
          </w:tcPr>
          <w:p>
            <w:pPr>
              <w:spacing w:after="0"/>
              <w:rPr>
                <w:sz w:val="13"/>
                <w:szCs w:val="13"/>
                <w:color w:val="auto"/>
              </w:rPr>
            </w:pPr>
          </w:p>
        </w:tc>
        <w:tc>
          <w:tcPr>
            <w:tcW w:w="700" w:type="dxa"/>
            <w:vAlign w:val="bottom"/>
            <w:vMerge w:val="continue"/>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40" w:type="dxa"/>
            <w:vAlign w:val="bottom"/>
            <w:vMerge w:val="continue"/>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740" w:type="dxa"/>
            <w:vAlign w:val="bottom"/>
            <w:gridSpan w:val="2"/>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60" w:type="dxa"/>
            <w:vAlign w:val="bottom"/>
            <w:gridSpan w:val="3"/>
            <w:vMerge w:val="continue"/>
            <w:shd w:val="clear" w:color="auto" w:fill="DBDBDB"/>
          </w:tcPr>
          <w:p>
            <w:pPr>
              <w:spacing w:after="0"/>
              <w:rPr>
                <w:sz w:val="13"/>
                <w:szCs w:val="13"/>
                <w:color w:val="auto"/>
              </w:rPr>
            </w:pPr>
          </w:p>
        </w:tc>
        <w:tc>
          <w:tcPr>
            <w:tcW w:w="840" w:type="dxa"/>
            <w:vAlign w:val="bottom"/>
            <w:vMerge w:val="continue"/>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jc w:val="center"/>
              <w:ind w:right="3"/>
              <w:spacing w:after="0" w:line="151" w:lineRule="exact"/>
              <w:rPr>
                <w:sz w:val="20"/>
                <w:szCs w:val="20"/>
                <w:color w:val="auto"/>
              </w:rPr>
            </w:pPr>
            <w:r>
              <w:rPr>
                <w:rFonts w:ascii="Times New Roman" w:cs="Times New Roman" w:eastAsia="Times New Roman" w:hAnsi="Times New Roman"/>
                <w:sz w:val="15"/>
                <w:szCs w:val="15"/>
                <w:b w:val="1"/>
                <w:bCs w:val="1"/>
                <w:color w:val="auto"/>
              </w:rPr>
              <w:t>April 14,</w:t>
            </w:r>
          </w:p>
        </w:tc>
        <w:tc>
          <w:tcPr>
            <w:tcW w:w="880" w:type="dxa"/>
            <w:vAlign w:val="bottom"/>
            <w:gridSpan w:val="2"/>
            <w:shd w:val="clear" w:color="auto" w:fill="DBDBDB"/>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860" w:type="dxa"/>
            <w:vAlign w:val="bottom"/>
            <w:gridSpan w:val="2"/>
            <w:shd w:val="clear" w:color="auto" w:fill="DBDBDB"/>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Originally</w:t>
            </w:r>
          </w:p>
        </w:tc>
        <w:tc>
          <w:tcPr>
            <w:tcW w:w="880" w:type="dxa"/>
            <w:vAlign w:val="bottom"/>
            <w:gridSpan w:val="3"/>
            <w:shd w:val="clear" w:color="auto" w:fill="DBDBDB"/>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700" w:type="dxa"/>
            <w:vAlign w:val="bottom"/>
            <w:gridSpan w:val="4"/>
            <w:shd w:val="clear" w:color="auto" w:fill="DBDBDB"/>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Restatement Restatement</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8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740" w:type="dxa"/>
            <w:vAlign w:val="bottom"/>
            <w:tcBorders>
              <w:bottom w:val="single" w:sz="8" w:color="auto"/>
            </w:tcBorders>
            <w:gridSpan w:val="7"/>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As Restated</w:t>
            </w:r>
          </w:p>
        </w:tc>
        <w:tc>
          <w:tcPr>
            <w:tcW w:w="860" w:type="dxa"/>
            <w:vAlign w:val="bottom"/>
            <w:tcBorders>
              <w:bottom w:val="single" w:sz="8" w:color="auto"/>
            </w:tcBorders>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Reference</w:t>
            </w:r>
          </w:p>
        </w:tc>
        <w:tc>
          <w:tcPr>
            <w:tcW w:w="8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1,337,181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9,166</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1,346,347</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(2,722)</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color w:val="auto"/>
              </w:rPr>
              <w:t>1,343,625</w:t>
            </w:r>
          </w:p>
        </w:tc>
        <w:tc>
          <w:tcPr>
            <w:tcW w:w="860" w:type="dxa"/>
            <w:vAlign w:val="bottom"/>
            <w:tcBorders>
              <w:bottom w:val="single" w:sz="8" w:color="DBDBDB"/>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(i),(ii),(iv)</w:t>
            </w:r>
          </w:p>
        </w:tc>
        <w:tc>
          <w:tcPr>
            <w:tcW w:w="84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(ix)</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860" w:type="dxa"/>
            <w:vAlign w:val="bottom"/>
            <w:gridSpan w:val="3"/>
            <w:shd w:val="clear" w:color="auto" w:fill="DBDBDB"/>
          </w:tcPr>
          <w:p>
            <w:pPr>
              <w:jc w:val="center"/>
              <w:ind w:right="20"/>
              <w:spacing w:after="0" w:line="131" w:lineRule="exact"/>
              <w:rPr>
                <w:sz w:val="20"/>
                <w:szCs w:val="20"/>
                <w:color w:val="auto"/>
              </w:rPr>
            </w:pPr>
            <w:r>
              <w:rPr>
                <w:rFonts w:ascii="Times New Roman" w:cs="Times New Roman" w:eastAsia="Times New Roman" w:hAnsi="Times New Roman"/>
                <w:sz w:val="15"/>
                <w:szCs w:val="15"/>
                <w:color w:val="auto"/>
              </w:rPr>
              <w:t>(i),(ii),(iii),</w:t>
            </w:r>
          </w:p>
        </w:tc>
        <w:tc>
          <w:tcPr>
            <w:tcW w:w="840" w:type="dxa"/>
            <w:vAlign w:val="bottom"/>
            <w:shd w:val="clear" w:color="auto" w:fill="DBDBDB"/>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0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9"/>
              </w:rPr>
              <w:t>(1,336,321)</w:t>
            </w: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12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9"/>
              </w:rPr>
              <w:t>(1,336,688)</w:t>
            </w:r>
          </w:p>
        </w:tc>
        <w:tc>
          <w:tcPr>
            <w:tcW w:w="14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4,119</w:t>
            </w:r>
          </w:p>
        </w:tc>
        <w:tc>
          <w:tcPr>
            <w:tcW w:w="10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9"/>
              </w:rPr>
              <w:t>(1,332,569)</w:t>
            </w:r>
          </w:p>
        </w:tc>
        <w:tc>
          <w:tcPr>
            <w:tcW w:w="86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5"/>
                <w:szCs w:val="15"/>
                <w:color w:val="auto"/>
              </w:rPr>
              <w:t>(iv)</w:t>
            </w:r>
          </w:p>
        </w:tc>
        <w:tc>
          <w:tcPr>
            <w:tcW w:w="8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 (ix)</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Gross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860</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8,799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9,659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1,397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3"/>
            <w:vMerge w:val="restart"/>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11,056</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1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profit</w:t>
            </w: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580" w:type="dxa"/>
            <w:vAlign w:val="bottom"/>
            <w:tcBorders>
              <w:bottom w:val="single" w:sz="8" w:color="DBDBDB"/>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840" w:type="dxa"/>
            <w:vAlign w:val="bottom"/>
            <w:tcBorders>
              <w:bottom w:val="single" w:sz="8" w:color="DBDBDB"/>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180" w:type="dxa"/>
            <w:vAlign w:val="bottom"/>
            <w:shd w:val="clear" w:color="auto" w:fill="DBDBDB"/>
          </w:tcPr>
          <w:p>
            <w:pPr>
              <w:spacing w:after="0" w:line="131" w:lineRule="exact"/>
              <w:rPr>
                <w:sz w:val="20"/>
                <w:szCs w:val="20"/>
                <w:color w:val="auto"/>
              </w:rPr>
            </w:pPr>
            <w:r>
              <w:rPr>
                <w:rFonts w:ascii="Times New Roman" w:cs="Times New Roman" w:eastAsia="Times New Roman" w:hAnsi="Times New Roman"/>
                <w:sz w:val="15"/>
                <w:szCs w:val="15"/>
                <w:color w:val="auto"/>
              </w:rPr>
              <w:t>Selling, general</w:t>
            </w:r>
          </w:p>
        </w:tc>
        <w:tc>
          <w:tcPr>
            <w:tcW w:w="10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860" w:type="dxa"/>
            <w:vAlign w:val="bottom"/>
            <w:gridSpan w:val="3"/>
            <w:vMerge w:val="restart"/>
            <w:shd w:val="clear" w:color="auto" w:fill="DBDBDB"/>
          </w:tcPr>
          <w:p>
            <w:pPr>
              <w:jc w:val="center"/>
              <w:ind w:right="20"/>
              <w:spacing w:after="0"/>
              <w:rPr>
                <w:sz w:val="20"/>
                <w:szCs w:val="20"/>
                <w:color w:val="auto"/>
              </w:rPr>
            </w:pPr>
            <w:r>
              <w:rPr>
                <w:rFonts w:ascii="Times New Roman" w:cs="Times New Roman" w:eastAsia="Times New Roman" w:hAnsi="Times New Roman"/>
                <w:sz w:val="15"/>
                <w:szCs w:val="15"/>
                <w:color w:val="auto"/>
              </w:rPr>
              <w:t>(i),(ii),(iii),</w:t>
            </w:r>
          </w:p>
        </w:tc>
        <w:tc>
          <w:tcPr>
            <w:tcW w:w="840" w:type="dxa"/>
            <w:vAlign w:val="bottom"/>
            <w:shd w:val="clear" w:color="auto" w:fill="DBDBDB"/>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and administrative</w:t>
            </w: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60" w:type="dxa"/>
            <w:vAlign w:val="bottom"/>
            <w:gridSpan w:val="3"/>
            <w:vMerge w:val="continue"/>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expense</w:t>
            </w:r>
          </w:p>
        </w:tc>
        <w:tc>
          <w:tcPr>
            <w:tcW w:w="10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(714,724)</w:t>
            </w: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29,675</w:t>
            </w:r>
          </w:p>
        </w:tc>
        <w:tc>
          <w:tcPr>
            <w:tcW w:w="12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(685,049)</w:t>
            </w:r>
          </w:p>
        </w:tc>
        <w:tc>
          <w:tcPr>
            <w:tcW w:w="1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(1,908)</w:t>
            </w:r>
          </w:p>
        </w:tc>
        <w:tc>
          <w:tcPr>
            <w:tcW w:w="100" w:type="dxa"/>
            <w:vAlign w:val="bottom"/>
            <w:shd w:val="clear" w:color="auto" w:fill="DBDBDB"/>
          </w:tcPr>
          <w:p>
            <w:pPr>
              <w:spacing w:after="0"/>
              <w:rPr>
                <w:sz w:val="18"/>
                <w:szCs w:val="18"/>
                <w:color w:val="auto"/>
              </w:rPr>
            </w:pPr>
          </w:p>
        </w:tc>
        <w:tc>
          <w:tcPr>
            <w:tcW w:w="76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(686,957)</w:t>
            </w:r>
          </w:p>
        </w:tc>
        <w:tc>
          <w:tcPr>
            <w:tcW w:w="86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5"/>
                <w:szCs w:val="15"/>
                <w:color w:val="auto"/>
              </w:rPr>
              <w:t>(iv)</w:t>
            </w:r>
          </w:p>
        </w:tc>
        <w:tc>
          <w:tcPr>
            <w:tcW w:w="8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Research and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development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expense</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(232,922)</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(234,019)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(234,019)</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(i),(ii),(iii)</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Other operating</w:t>
            </w: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shd w:val="clear" w:color="auto" w:fill="DBDBDB"/>
          </w:tcPr>
          <w:p>
            <w:pPr>
              <w:spacing w:after="0" w:line="159" w:lineRule="exact"/>
              <w:rPr>
                <w:sz w:val="20"/>
                <w:szCs w:val="20"/>
                <w:color w:val="auto"/>
              </w:rPr>
            </w:pPr>
            <w:r>
              <w:rPr>
                <w:rFonts w:ascii="Times New Roman" w:cs="Times New Roman" w:eastAsia="Times New Roman" w:hAnsi="Times New Roman"/>
                <w:sz w:val="15"/>
                <w:szCs w:val="15"/>
                <w:color w:val="auto"/>
              </w:rPr>
              <w:t>income (expense),</w:t>
            </w: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w:t>
            </w:r>
          </w:p>
        </w:tc>
        <w:tc>
          <w:tcPr>
            <w:tcW w:w="10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(48,053)</w:t>
            </w: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(2,663)</w:t>
            </w: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(50,716)</w:t>
            </w: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BDBDB"/>
          </w:tcPr>
          <w:p>
            <w:pPr>
              <w:spacing w:after="0"/>
              <w:rPr>
                <w:sz w:val="17"/>
                <w:szCs w:val="17"/>
                <w:color w:val="auto"/>
              </w:rPr>
            </w:pPr>
          </w:p>
        </w:tc>
        <w:tc>
          <w:tcPr>
            <w:tcW w:w="76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(50,716)</w:t>
            </w:r>
          </w:p>
        </w:tc>
        <w:tc>
          <w:tcPr>
            <w:tcW w:w="86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5"/>
                <w:szCs w:val="15"/>
                <w:color w:val="auto"/>
              </w:rPr>
              <w:t>(i)</w:t>
            </w:r>
          </w:p>
        </w:tc>
        <w:tc>
          <w:tcPr>
            <w:tcW w:w="840" w:type="dxa"/>
            <w:vAlign w:val="bottom"/>
            <w:shd w:val="clear" w:color="auto" w:fill="DBDBDB"/>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(994,839)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34,714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(960,125)</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(960,636)</w:t>
            </w:r>
          </w:p>
        </w:tc>
        <w:tc>
          <w:tcPr>
            <w:tcW w:w="58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Finance income</w:t>
            </w:r>
          </w:p>
        </w:tc>
        <w:tc>
          <w:tcPr>
            <w:tcW w:w="10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32,970</w:t>
            </w:r>
          </w:p>
        </w:tc>
        <w:tc>
          <w:tcPr>
            <w:tcW w:w="1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32,970</w:t>
            </w: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BDBDB"/>
          </w:tcPr>
          <w:p>
            <w:pPr>
              <w:spacing w:after="0"/>
              <w:rPr>
                <w:sz w:val="16"/>
                <w:szCs w:val="16"/>
                <w:color w:val="auto"/>
              </w:rPr>
            </w:pPr>
          </w:p>
        </w:tc>
        <w:tc>
          <w:tcPr>
            <w:tcW w:w="760" w:type="dxa"/>
            <w:vAlign w:val="bottom"/>
            <w:gridSpan w:val="3"/>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color w:val="auto"/>
              </w:rPr>
              <w:t>32,970</w:t>
            </w:r>
          </w:p>
        </w:tc>
        <w:tc>
          <w:tcPr>
            <w:tcW w:w="5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Finance expense</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(45,249)</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(45,218)</w:t>
            </w: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(45,218)</w:t>
            </w:r>
          </w:p>
        </w:tc>
        <w:tc>
          <w:tcPr>
            <w:tcW w:w="860" w:type="dxa"/>
            <w:vAlign w:val="bottom"/>
            <w:tcBorders>
              <w:bottom w:val="single" w:sz="8" w:color="DBDBDB"/>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(i)</w:t>
            </w:r>
          </w:p>
        </w:tc>
        <w:tc>
          <w:tcPr>
            <w:tcW w:w="840" w:type="dxa"/>
            <w:vAlign w:val="bottom"/>
            <w:tcBorders>
              <w:bottom w:val="single" w:sz="8" w:color="DBDBDB"/>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180" w:type="dxa"/>
            <w:vAlign w:val="bottom"/>
            <w:shd w:val="clear" w:color="auto" w:fill="DBDBDB"/>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Loss before</w:t>
            </w:r>
          </w:p>
        </w:tc>
        <w:tc>
          <w:tcPr>
            <w:tcW w:w="100" w:type="dxa"/>
            <w:vAlign w:val="bottom"/>
            <w:shd w:val="clear" w:color="auto" w:fill="DBDBDB"/>
          </w:tcPr>
          <w:p>
            <w:pPr>
              <w:spacing w:after="0"/>
              <w:rPr>
                <w:sz w:val="11"/>
                <w:szCs w:val="11"/>
                <w:color w:val="auto"/>
              </w:rPr>
            </w:pPr>
          </w:p>
        </w:tc>
        <w:tc>
          <w:tcPr>
            <w:tcW w:w="7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(1,007,118)</w:t>
            </w:r>
          </w:p>
        </w:tc>
        <w:tc>
          <w:tcPr>
            <w:tcW w:w="1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34,745</w:t>
            </w:r>
          </w:p>
        </w:tc>
        <w:tc>
          <w:tcPr>
            <w:tcW w:w="120" w:type="dxa"/>
            <w:vAlign w:val="bottom"/>
            <w:shd w:val="clear" w:color="auto" w:fill="DBDBDB"/>
          </w:tcPr>
          <w:p>
            <w:pPr>
              <w:spacing w:after="0"/>
              <w:rPr>
                <w:sz w:val="11"/>
                <w:szCs w:val="11"/>
                <w:color w:val="auto"/>
              </w:rPr>
            </w:pPr>
          </w:p>
        </w:tc>
        <w:tc>
          <w:tcPr>
            <w:tcW w:w="7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(972,373)</w:t>
            </w:r>
          </w:p>
        </w:tc>
        <w:tc>
          <w:tcPr>
            <w:tcW w:w="140" w:type="dxa"/>
            <w:vAlign w:val="bottom"/>
            <w:shd w:val="clear" w:color="auto" w:fill="DBDBDB"/>
          </w:tcPr>
          <w:p>
            <w:pPr>
              <w:spacing w:after="0"/>
              <w:rPr>
                <w:sz w:val="11"/>
                <w:szCs w:val="11"/>
                <w:color w:val="auto"/>
              </w:rPr>
            </w:pPr>
          </w:p>
        </w:tc>
        <w:tc>
          <w:tcPr>
            <w:tcW w:w="7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(511)</w:t>
            </w:r>
          </w:p>
        </w:tc>
        <w:tc>
          <w:tcPr>
            <w:tcW w:w="100" w:type="dxa"/>
            <w:vAlign w:val="bottom"/>
            <w:shd w:val="clear" w:color="auto" w:fill="DBDBDB"/>
          </w:tcPr>
          <w:p>
            <w:pPr>
              <w:spacing w:after="0"/>
              <w:rPr>
                <w:sz w:val="11"/>
                <w:szCs w:val="11"/>
                <w:color w:val="auto"/>
              </w:rPr>
            </w:pPr>
          </w:p>
        </w:tc>
        <w:tc>
          <w:tcPr>
            <w:tcW w:w="760" w:type="dxa"/>
            <w:vAlign w:val="bottom"/>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(972,884)</w:t>
            </w:r>
          </w:p>
        </w:tc>
        <w:tc>
          <w:tcPr>
            <w:tcW w:w="5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income taxes</w:t>
            </w:r>
          </w:p>
        </w:tc>
        <w:tc>
          <w:tcPr>
            <w:tcW w:w="10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vMerge w:val="continue"/>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vMerge w:val="continue"/>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gridSpan w:val="2"/>
            <w:vMerge w:val="continue"/>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gridSpan w:val="3"/>
            <w:vMerge w:val="continue"/>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1" w:lineRule="exact"/>
              <w:rPr>
                <w:sz w:val="20"/>
                <w:szCs w:val="20"/>
                <w:color w:val="auto"/>
              </w:rPr>
            </w:pPr>
            <w:r>
              <w:rPr>
                <w:rFonts w:ascii="Times New Roman" w:cs="Times New Roman" w:eastAsia="Times New Roman" w:hAnsi="Times New Roman"/>
                <w:sz w:val="15"/>
                <w:szCs w:val="15"/>
                <w:color w:val="auto"/>
              </w:rPr>
              <w:t>Income tax</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benefit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76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color w:val="auto"/>
              </w:rPr>
              <w:t>3,076</w:t>
            </w: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color w:val="auto"/>
              </w:rPr>
              <w:t>(v)</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(ix)</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(1,007,454)</w:t>
            </w: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38,156</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(969,298)</w:t>
            </w:r>
          </w:p>
        </w:tc>
        <w:tc>
          <w:tcPr>
            <w:tcW w:w="140" w:type="dxa"/>
            <w:vAlign w:val="bottom"/>
            <w:tcBorders>
              <w:top w:val="single" w:sz="8" w:color="auto"/>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(510)</w:t>
            </w: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(969,808)</w:t>
            </w:r>
          </w:p>
        </w:tc>
        <w:tc>
          <w:tcPr>
            <w:tcW w:w="58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DBDBDB"/>
            </w:tcBorders>
            <w:shd w:val="clear" w:color="auto" w:fill="DBDBDB"/>
          </w:tcPr>
          <w:p>
            <w:pPr>
              <w:spacing w:after="0"/>
              <w:rPr>
                <w:sz w:val="16"/>
                <w:szCs w:val="16"/>
                <w:color w:val="auto"/>
              </w:rPr>
            </w:pPr>
          </w:p>
        </w:tc>
        <w:tc>
          <w:tcPr>
            <w:tcW w:w="80" w:type="dxa"/>
            <w:vAlign w:val="bottom"/>
            <w:tcBorders>
              <w:top w:val="single" w:sz="8" w:color="DBDBDB"/>
            </w:tcBorders>
            <w:shd w:val="clear" w:color="auto" w:fill="DBDBDB"/>
          </w:tcPr>
          <w:p>
            <w:pPr>
              <w:spacing w:after="0"/>
              <w:rPr>
                <w:sz w:val="16"/>
                <w:szCs w:val="16"/>
                <w:color w:val="auto"/>
              </w:rPr>
            </w:pPr>
          </w:p>
        </w:tc>
        <w:tc>
          <w:tcPr>
            <w:tcW w:w="840" w:type="dxa"/>
            <w:vAlign w:val="bottom"/>
            <w:tcBorders>
              <w:top w:val="single" w:sz="8" w:color="DBDBDB"/>
            </w:tcBorders>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Net loss per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share (in U.S.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shd w:val="clear" w:color="auto" w:fill="DBDBDB"/>
          </w:tcPr>
          <w:p>
            <w:pPr>
              <w:ind w:left="200"/>
              <w:spacing w:after="0" w:line="151" w:lineRule="exact"/>
              <w:rPr>
                <w:sz w:val="20"/>
                <w:szCs w:val="20"/>
                <w:color w:val="auto"/>
              </w:rPr>
            </w:pPr>
            <w:r>
              <w:rPr>
                <w:rFonts w:ascii="Times New Roman" w:cs="Times New Roman" w:eastAsia="Times New Roman" w:hAnsi="Times New Roman"/>
                <w:sz w:val="15"/>
                <w:szCs w:val="15"/>
                <w:color w:val="auto"/>
              </w:rPr>
              <w:t>Class A - Basic</w:t>
            </w: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5"/>
                <w:szCs w:val="15"/>
                <w:color w:val="auto"/>
              </w:rPr>
              <w:t>and Diluted</w:t>
            </w:r>
          </w:p>
        </w:tc>
        <w:tc>
          <w:tcPr>
            <w:tcW w:w="10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2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BDBDB"/>
          </w:tcPr>
          <w:p>
            <w:pPr>
              <w:spacing w:after="0"/>
              <w:rPr>
                <w:sz w:val="18"/>
                <w:szCs w:val="18"/>
                <w:color w:val="auto"/>
              </w:rPr>
            </w:pPr>
          </w:p>
        </w:tc>
        <w:tc>
          <w:tcPr>
            <w:tcW w:w="76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5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80" w:type="dxa"/>
            <w:vAlign w:val="bottom"/>
          </w:tcPr>
          <w:p>
            <w:pPr>
              <w:ind w:left="200"/>
              <w:spacing w:after="0" w:line="151" w:lineRule="exact"/>
              <w:rPr>
                <w:sz w:val="20"/>
                <w:szCs w:val="20"/>
                <w:color w:val="auto"/>
              </w:rPr>
            </w:pPr>
            <w:r>
              <w:rPr>
                <w:rFonts w:ascii="Times New Roman" w:cs="Times New Roman" w:eastAsia="Times New Roman" w:hAnsi="Times New Roman"/>
                <w:sz w:val="15"/>
                <w:szCs w:val="15"/>
                <w:color w:val="auto"/>
              </w:rPr>
              <w:t>Class B - Basic</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and Diluted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840" w:type="dxa"/>
            <w:vAlign w:val="bottom"/>
            <w:shd w:val="clear" w:color="auto" w:fill="DBDBDB"/>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Statement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80" w:type="dxa"/>
            <w:vAlign w:val="bottom"/>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740" w:type="dxa"/>
            <w:vAlign w:val="bottom"/>
            <w:gridSpan w:val="2"/>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60" w:type="dxa"/>
            <w:vAlign w:val="bottom"/>
            <w:gridSpan w:val="3"/>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840" w:type="dxa"/>
            <w:vAlign w:val="bottom"/>
            <w:shd w:val="clear" w:color="auto" w:fill="DBDBDB"/>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(1,007,454)</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38,156</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(969,298)</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(510)</w:t>
            </w: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(969,808)</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578985" cy="3232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97">
                      <a:extLst>
                        <a:ext uri="{28A0092B-C50C-407E-A947-70E740481C1C}"/>
                      </a:extLst>
                    </a:blip>
                    <a:srcRect/>
                    <a:stretch>
                      <a:fillRect/>
                    </a:stretch>
                  </pic:blipFill>
                  <pic:spPr bwMode="auto">
                    <a:xfrm>
                      <a:off x="0" y="0"/>
                      <a:ext cx="4578985" cy="323215"/>
                    </a:xfrm>
                    <a:prstGeom prst="rect">
                      <a:avLst/>
                    </a:prstGeom>
                    <a:noFill/>
                  </pic:spPr>
                </pic:pic>
              </a:graphicData>
            </a:graphic>
          </wp:anchor>
        </w:drawing>
      </w:r>
    </w:p>
    <w:p>
      <w:pPr>
        <w:spacing w:after="0" w:line="218" w:lineRule="auto"/>
        <w:rPr>
          <w:sz w:val="20"/>
          <w:szCs w:val="20"/>
          <w:color w:val="auto"/>
        </w:rPr>
      </w:pPr>
      <w:r>
        <w:rPr>
          <w:rFonts w:ascii="Times New Roman" w:cs="Times New Roman" w:eastAsia="Times New Roman" w:hAnsi="Times New Roman"/>
          <w:sz w:val="15"/>
          <w:szCs w:val="15"/>
          <w:b w:val="1"/>
          <w:bCs w:val="1"/>
          <w:color w:val="auto"/>
        </w:rPr>
        <w:t>Other</w:t>
      </w:r>
    </w:p>
    <w:p>
      <w:pPr>
        <w:spacing w:after="0" w:line="225" w:lineRule="auto"/>
        <w:rPr>
          <w:sz w:val="20"/>
          <w:szCs w:val="20"/>
          <w:color w:val="auto"/>
        </w:rPr>
      </w:pPr>
      <w:r>
        <w:rPr>
          <w:rFonts w:ascii="Times New Roman" w:cs="Times New Roman" w:eastAsia="Times New Roman" w:hAnsi="Times New Roman"/>
          <w:sz w:val="15"/>
          <w:szCs w:val="15"/>
          <w:b w:val="1"/>
          <w:bCs w:val="1"/>
          <w:color w:val="auto"/>
        </w:rPr>
        <w:t>comprehensive</w:t>
      </w:r>
    </w:p>
    <w:p>
      <w:pPr>
        <w:spacing w:after="0"/>
        <w:rPr>
          <w:sz w:val="20"/>
          <w:szCs w:val="20"/>
          <w:color w:val="auto"/>
        </w:rPr>
      </w:pPr>
      <w:r>
        <w:rPr>
          <w:rFonts w:ascii="Times New Roman" w:cs="Times New Roman" w:eastAsia="Times New Roman" w:hAnsi="Times New Roman"/>
          <w:sz w:val="15"/>
          <w:szCs w:val="15"/>
          <w:b w:val="1"/>
          <w:bCs w:val="1"/>
          <w:color w:val="auto"/>
        </w:rPr>
        <w:t>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Items that may be</w:t>
      </w:r>
    </w:p>
    <w:p>
      <w:pPr>
        <w:spacing w:after="0" w:line="225" w:lineRule="auto"/>
        <w:rPr>
          <w:sz w:val="20"/>
          <w:szCs w:val="20"/>
          <w:color w:val="auto"/>
        </w:rPr>
      </w:pPr>
      <w:r>
        <w:rPr>
          <w:rFonts w:ascii="Times New Roman" w:cs="Times New Roman" w:eastAsia="Times New Roman" w:hAnsi="Times New Roman"/>
          <w:sz w:val="15"/>
          <w:szCs w:val="15"/>
          <w:color w:val="auto"/>
        </w:rPr>
        <w:t>subsequently</w:t>
      </w:r>
    </w:p>
    <w:p>
      <w:pPr>
        <w:spacing w:after="0" w:line="209" w:lineRule="auto"/>
        <w:rPr>
          <w:sz w:val="20"/>
          <w:szCs w:val="20"/>
          <w:color w:val="auto"/>
        </w:rPr>
      </w:pPr>
      <w:r>
        <w:rPr>
          <w:rFonts w:ascii="Times New Roman" w:cs="Times New Roman" w:eastAsia="Times New Roman" w:hAnsi="Times New Roman"/>
          <w:sz w:val="15"/>
          <w:szCs w:val="15"/>
          <w:color w:val="auto"/>
        </w:rPr>
        <w:t>reclassified to the</w:t>
      </w:r>
    </w:p>
    <w:p>
      <w:pPr>
        <w:spacing w:after="0" w:line="210" w:lineRule="auto"/>
        <w:rPr>
          <w:sz w:val="20"/>
          <w:szCs w:val="20"/>
          <w:color w:val="auto"/>
        </w:rPr>
      </w:pPr>
      <w:r>
        <w:rPr>
          <w:rFonts w:ascii="Times New Roman" w:cs="Times New Roman" w:eastAsia="Times New Roman" w:hAnsi="Times New Roman"/>
          <w:sz w:val="15"/>
          <w:szCs w:val="15"/>
          <w:color w:val="auto"/>
        </w:rPr>
        <w:t>Consolidated</w:t>
      </w:r>
    </w:p>
    <w:p>
      <w:pPr>
        <w:spacing w:after="0" w:line="225" w:lineRule="auto"/>
        <w:rPr>
          <w:sz w:val="20"/>
          <w:szCs w:val="20"/>
          <w:color w:val="auto"/>
        </w:rPr>
      </w:pPr>
      <w:r>
        <w:rPr>
          <w:rFonts w:ascii="Times New Roman" w:cs="Times New Roman" w:eastAsia="Times New Roman" w:hAnsi="Times New Roman"/>
          <w:sz w:val="15"/>
          <w:szCs w:val="15"/>
          <w:color w:val="auto"/>
        </w:rPr>
        <w:t>Statement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Loss:</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4578985" cy="521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98">
                      <a:extLst>
                        <a:ext uri="{28A0092B-C50C-407E-A947-70E740481C1C}"/>
                      </a:extLst>
                    </a:blip>
                    <a:srcRect/>
                    <a:stretch>
                      <a:fillRect/>
                    </a:stretch>
                  </pic:blipFill>
                  <pic:spPr bwMode="auto">
                    <a:xfrm>
                      <a:off x="0" y="0"/>
                      <a:ext cx="4578985" cy="521970"/>
                    </a:xfrm>
                    <a:prstGeom prst="rect">
                      <a:avLst/>
                    </a:prstGeom>
                    <a:noFill/>
                  </pic:spPr>
                </pic:pic>
              </a:graphicData>
            </a:graphic>
          </wp:anchor>
        </w:drawing>
      </w:r>
    </w:p>
    <w:p>
      <w:pPr>
        <w:ind w:left="100"/>
        <w:spacing w:after="0" w:line="225" w:lineRule="auto"/>
        <w:rPr>
          <w:sz w:val="20"/>
          <w:szCs w:val="20"/>
          <w:color w:val="auto"/>
        </w:rPr>
      </w:pPr>
      <w:r>
        <w:rPr>
          <w:rFonts w:ascii="Times New Roman" w:cs="Times New Roman" w:eastAsia="Times New Roman" w:hAnsi="Times New Roman"/>
          <w:sz w:val="15"/>
          <w:szCs w:val="15"/>
          <w:color w:val="auto"/>
        </w:rPr>
        <w:t>differences from</w:t>
      </w:r>
    </w:p>
    <w:tbl>
      <w:tblPr>
        <w:tblLayout w:type="fixed"/>
        <w:tblInd w:w="0" w:type="dxa"/>
        <w:tblCellMar>
          <w:top w:w="0" w:type="dxa"/>
          <w:left w:w="0" w:type="dxa"/>
          <w:bottom w:w="0" w:type="dxa"/>
          <w:right w:w="0" w:type="dxa"/>
        </w:tblCellMar>
      </w:tblPr>
      <w:tr>
        <w:trPr>
          <w:trHeight w:val="138"/>
        </w:trPr>
        <w:tc>
          <w:tcPr>
            <w:tcW w:w="1180" w:type="dxa"/>
            <w:vAlign w:val="bottom"/>
          </w:tcPr>
          <w:p>
            <w:pPr>
              <w:ind w:left="100"/>
              <w:spacing w:after="0" w:line="138" w:lineRule="exact"/>
              <w:rPr>
                <w:sz w:val="20"/>
                <w:szCs w:val="20"/>
                <w:color w:val="auto"/>
              </w:rPr>
            </w:pPr>
            <w:r>
              <w:rPr>
                <w:rFonts w:ascii="Times New Roman" w:cs="Times New Roman" w:eastAsia="Times New Roman" w:hAnsi="Times New Roman"/>
                <w:sz w:val="15"/>
                <w:szCs w:val="15"/>
                <w:color w:val="auto"/>
              </w:rPr>
              <w:t>translation of</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(i), (ii), (iii),</w:t>
            </w: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foreign</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(33,149)</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(32,318)</w:t>
            </w:r>
          </w:p>
        </w:tc>
        <w:tc>
          <w:tcPr>
            <w:tcW w:w="4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(32,304)   (iv), (v)</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(viii), (ix)</w:t>
            </w:r>
          </w:p>
        </w:tc>
        <w:tc>
          <w:tcPr>
            <w:tcW w:w="2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180" w:type="dxa"/>
            <w:vAlign w:val="bottom"/>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Total other</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(33,149)</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831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(32,318)</w:t>
            </w:r>
          </w:p>
        </w:tc>
        <w:tc>
          <w:tcPr>
            <w:tcW w:w="440" w:type="dxa"/>
            <w:vAlign w:val="bottom"/>
            <w:vMerge w:val="restart"/>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5"/>
                <w:szCs w:val="15"/>
                <w:b w:val="1"/>
                <w:bCs w:val="1"/>
                <w:color w:val="auto"/>
              </w:rPr>
              <w:t>14</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(32,304)</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18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(loss) income</w:t>
            </w:r>
          </w:p>
        </w:tc>
        <w:tc>
          <w:tcPr>
            <w:tcW w:w="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gridSpan w:val="3"/>
            <w:vMerge w:val="continue"/>
          </w:tcPr>
          <w:p>
            <w:pPr>
              <w:spacing w:after="0"/>
              <w:rPr>
                <w:sz w:val="17"/>
                <w:szCs w:val="17"/>
                <w:color w:val="auto"/>
              </w:rPr>
            </w:pPr>
          </w:p>
        </w:tc>
        <w:tc>
          <w:tcPr>
            <w:tcW w:w="800" w:type="dxa"/>
            <w:vAlign w:val="bottom"/>
            <w:tcBorders>
              <w:bottom w:val="single" w:sz="8" w:color="DBDBDB"/>
            </w:tcBorders>
          </w:tcPr>
          <w:p>
            <w:pPr>
              <w:spacing w:after="0"/>
              <w:rPr>
                <w:sz w:val="17"/>
                <w:szCs w:val="17"/>
                <w:color w:val="auto"/>
              </w:rPr>
            </w:pPr>
          </w:p>
        </w:tc>
        <w:tc>
          <w:tcPr>
            <w:tcW w:w="900" w:type="dxa"/>
            <w:vAlign w:val="bottom"/>
            <w:tcBorders>
              <w:bottom w:val="single" w:sz="8" w:color="DBDBDB"/>
            </w:tcBorders>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80" w:type="dxa"/>
            <w:vAlign w:val="bottom"/>
            <w:shd w:val="clear" w:color="auto" w:fill="DBDBDB"/>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6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DBDBDB"/>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(1,040,603)</w:t>
            </w:r>
          </w:p>
        </w:tc>
        <w:tc>
          <w:tcPr>
            <w:tcW w:w="260" w:type="dxa"/>
            <w:vAlign w:val="bottom"/>
            <w:vMerge w:val="restart"/>
            <w:shd w:val="clear" w:color="auto" w:fill="DBDBDB"/>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38,987</w:t>
            </w:r>
          </w:p>
        </w:tc>
        <w:tc>
          <w:tcPr>
            <w:tcW w:w="1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(1,001,616)</w:t>
            </w:r>
          </w:p>
        </w:tc>
        <w:tc>
          <w:tcPr>
            <w:tcW w:w="440" w:type="dxa"/>
            <w:vAlign w:val="bottom"/>
            <w:vMerge w:val="restart"/>
            <w:shd w:val="clear" w:color="auto" w:fill="DBDBDB"/>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(496)</w:t>
            </w:r>
          </w:p>
        </w:tc>
        <w:tc>
          <w:tcPr>
            <w:tcW w:w="1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(1,002,112)</w:t>
            </w:r>
          </w:p>
        </w:tc>
        <w:tc>
          <w:tcPr>
            <w:tcW w:w="8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2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Borders>
              <w:bottom w:val="single" w:sz="8" w:color="auto"/>
            </w:tcBorders>
            <w:vMerge w:val="continue"/>
            <w:shd w:val="clear" w:color="auto" w:fill="DBDBDB"/>
          </w:tcPr>
          <w:p>
            <w:pPr>
              <w:spacing w:after="0"/>
              <w:rPr>
                <w:sz w:val="17"/>
                <w:szCs w:val="17"/>
                <w:color w:val="auto"/>
              </w:rPr>
            </w:pPr>
          </w:p>
        </w:tc>
        <w:tc>
          <w:tcPr>
            <w:tcW w:w="740" w:type="dxa"/>
            <w:vAlign w:val="bottom"/>
            <w:tcBorders>
              <w:bottom w:val="single" w:sz="8" w:color="auto"/>
            </w:tcBorders>
            <w:vMerge w:val="continue"/>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60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vMerge w:val="continue"/>
            <w:shd w:val="clear" w:color="auto" w:fill="DBDBDB"/>
          </w:tcPr>
          <w:p>
            <w:pPr>
              <w:spacing w:after="0"/>
              <w:rPr>
                <w:sz w:val="17"/>
                <w:szCs w:val="17"/>
                <w:color w:val="auto"/>
              </w:rPr>
            </w:pPr>
          </w:p>
        </w:tc>
        <w:tc>
          <w:tcPr>
            <w:tcW w:w="740" w:type="dxa"/>
            <w:vAlign w:val="bottom"/>
            <w:tcBorders>
              <w:bottom w:val="single" w:sz="8" w:color="auto"/>
            </w:tcBorders>
            <w:vMerge w:val="continue"/>
            <w:shd w:val="clear" w:color="auto" w:fill="DBDBDB"/>
          </w:tcPr>
          <w:p>
            <w:pPr>
              <w:spacing w:after="0"/>
              <w:rPr>
                <w:sz w:val="17"/>
                <w:szCs w:val="17"/>
                <w:color w:val="auto"/>
              </w:rPr>
            </w:pPr>
          </w:p>
        </w:tc>
        <w:tc>
          <w:tcPr>
            <w:tcW w:w="440" w:type="dxa"/>
            <w:vAlign w:val="bottom"/>
            <w:tcBorders>
              <w:bottom w:val="single" w:sz="8" w:color="auto"/>
            </w:tcBorders>
            <w:vMerge w:val="continue"/>
            <w:shd w:val="clear" w:color="auto" w:fill="DBDBDB"/>
          </w:tcPr>
          <w:p>
            <w:pPr>
              <w:spacing w:after="0"/>
              <w:rPr>
                <w:sz w:val="17"/>
                <w:szCs w:val="17"/>
                <w:color w:val="auto"/>
              </w:rPr>
            </w:pPr>
          </w:p>
        </w:tc>
        <w:tc>
          <w:tcPr>
            <w:tcW w:w="44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tcBorders>
              <w:bottom w:val="single" w:sz="8" w:color="auto"/>
            </w:tcBorders>
            <w:vMerge w:val="continue"/>
            <w:shd w:val="clear" w:color="auto" w:fill="DBDBDB"/>
          </w:tcPr>
          <w:p>
            <w:pPr>
              <w:spacing w:after="0"/>
              <w:rPr>
                <w:sz w:val="17"/>
                <w:szCs w:val="17"/>
                <w:color w:val="auto"/>
              </w:rPr>
            </w:pPr>
          </w:p>
        </w:tc>
        <w:tc>
          <w:tcPr>
            <w:tcW w:w="760" w:type="dxa"/>
            <w:vAlign w:val="bottom"/>
            <w:tcBorders>
              <w:bottom w:val="single" w:sz="8" w:color="auto"/>
            </w:tcBorders>
            <w:gridSpan w:val="3"/>
            <w:vMerge w:val="continue"/>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5220" w:type="dxa"/>
            <w:vAlign w:val="bottom"/>
            <w:gridSpan w:val="12"/>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Consolidated Statement of Cash Flows for the year ended December 31, 2021</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gridSpan w:val="3"/>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1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20" w:type="dxa"/>
            <w:vAlign w:val="bottom"/>
            <w:gridSpan w:val="4"/>
            <w:shd w:val="clear" w:color="auto" w:fill="DBDBDB"/>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As originally</w:t>
            </w:r>
          </w:p>
        </w:tc>
        <w:tc>
          <w:tcPr>
            <w:tcW w:w="280" w:type="dxa"/>
            <w:vAlign w:val="bottom"/>
            <w:shd w:val="clear" w:color="auto" w:fill="DBDBDB"/>
          </w:tcPr>
          <w:p>
            <w:pPr>
              <w:spacing w:after="0"/>
              <w:rPr>
                <w:sz w:val="13"/>
                <w:szCs w:val="13"/>
                <w:color w:val="auto"/>
              </w:rPr>
            </w:pPr>
          </w:p>
        </w:tc>
        <w:tc>
          <w:tcPr>
            <w:tcW w:w="800" w:type="dxa"/>
            <w:vAlign w:val="bottom"/>
            <w:shd w:val="clear" w:color="auto" w:fill="DBDBDB"/>
          </w:tcPr>
          <w:p>
            <w:pPr>
              <w:jc w:val="center"/>
              <w:ind w:right="323"/>
              <w:spacing w:after="0" w:line="158" w:lineRule="exact"/>
              <w:rPr>
                <w:sz w:val="20"/>
                <w:szCs w:val="20"/>
                <w:color w:val="auto"/>
              </w:rPr>
            </w:pPr>
            <w:r>
              <w:rPr>
                <w:rFonts w:ascii="Times New Roman" w:cs="Times New Roman" w:eastAsia="Times New Roman" w:hAnsi="Times New Roman"/>
                <w:sz w:val="15"/>
                <w:szCs w:val="15"/>
                <w:b w:val="1"/>
                <w:bCs w:val="1"/>
                <w:color w:val="auto"/>
              </w:rPr>
              <w:t>Prior</w:t>
            </w:r>
          </w:p>
        </w:tc>
        <w:tc>
          <w:tcPr>
            <w:tcW w:w="9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As originally</w:t>
            </w:r>
          </w:p>
        </w:tc>
        <w:tc>
          <w:tcPr>
            <w:tcW w:w="2060" w:type="dxa"/>
            <w:vAlign w:val="bottom"/>
            <w:shd w:val="clear" w:color="auto" w:fill="DBDBDB"/>
          </w:tcPr>
          <w:p>
            <w:pPr>
              <w:ind w:left="300"/>
              <w:spacing w:after="0" w:line="158" w:lineRule="exact"/>
              <w:rPr>
                <w:sz w:val="20"/>
                <w:szCs w:val="20"/>
                <w:color w:val="auto"/>
              </w:rPr>
            </w:pPr>
            <w:r>
              <w:rPr>
                <w:rFonts w:ascii="Times New Roman" w:cs="Times New Roman" w:eastAsia="Times New Roman" w:hAnsi="Times New Roman"/>
                <w:sz w:val="15"/>
                <w:szCs w:val="15"/>
                <w:b w:val="1"/>
                <w:bCs w:val="1"/>
                <w:color w:val="auto"/>
              </w:rPr>
              <w:t>Current</w:t>
            </w:r>
          </w:p>
        </w:tc>
        <w:tc>
          <w:tcPr>
            <w:tcW w:w="1000" w:type="dxa"/>
            <w:vAlign w:val="bottom"/>
            <w:shd w:val="clear" w:color="auto" w:fill="DBDBDB"/>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Prior</w:t>
            </w:r>
          </w:p>
        </w:tc>
        <w:tc>
          <w:tcPr>
            <w:tcW w:w="1000" w:type="dxa"/>
            <w:vAlign w:val="bottom"/>
            <w:shd w:val="clear" w:color="auto" w:fill="DBDBDB"/>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Current</w:t>
            </w:r>
          </w:p>
        </w:tc>
        <w:tc>
          <w:tcPr>
            <w:tcW w:w="0" w:type="dxa"/>
            <w:vAlign w:val="bottom"/>
          </w:tcPr>
          <w:p>
            <w:pPr>
              <w:spacing w:after="0"/>
              <w:rPr>
                <w:sz w:val="1"/>
                <w:szCs w:val="1"/>
                <w:color w:val="auto"/>
              </w:rPr>
            </w:pPr>
          </w:p>
        </w:tc>
      </w:tr>
      <w:tr>
        <w:trPr>
          <w:trHeight w:val="69"/>
        </w:trPr>
        <w:tc>
          <w:tcPr>
            <w:tcW w:w="1180" w:type="dxa"/>
            <w:vAlign w:val="bottom"/>
            <w:vMerge w:val="restart"/>
            <w:shd w:val="clear" w:color="auto" w:fill="DBDBDB"/>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Particulars</w:t>
            </w:r>
          </w:p>
        </w:tc>
        <w:tc>
          <w:tcPr>
            <w:tcW w:w="10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60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440" w:type="dxa"/>
            <w:vAlign w:val="bottom"/>
            <w:shd w:val="clear" w:color="auto" w:fill="DBDBDB"/>
          </w:tcPr>
          <w:p>
            <w:pPr>
              <w:spacing w:after="0"/>
              <w:rPr>
                <w:sz w:val="6"/>
                <w:szCs w:val="6"/>
                <w:color w:val="auto"/>
              </w:rPr>
            </w:pPr>
          </w:p>
        </w:tc>
        <w:tc>
          <w:tcPr>
            <w:tcW w:w="1020" w:type="dxa"/>
            <w:vAlign w:val="bottom"/>
            <w:gridSpan w:val="4"/>
            <w:vMerge w:val="restart"/>
            <w:shd w:val="clear" w:color="auto" w:fill="DBDBDB"/>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filed on April</w:t>
            </w:r>
          </w:p>
        </w:tc>
        <w:tc>
          <w:tcPr>
            <w:tcW w:w="1080" w:type="dxa"/>
            <w:vAlign w:val="bottom"/>
            <w:gridSpan w:val="2"/>
            <w:vMerge w:val="restart"/>
            <w:shd w:val="clear" w:color="auto" w:fill="DBDBDB"/>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900" w:type="dxa"/>
            <w:vAlign w:val="bottom"/>
            <w:vMerge w:val="continue"/>
            <w:shd w:val="clear" w:color="auto" w:fill="DBDBDB"/>
          </w:tcPr>
          <w:p>
            <w:pPr>
              <w:spacing w:after="0"/>
              <w:rPr>
                <w:sz w:val="6"/>
                <w:szCs w:val="6"/>
                <w:color w:val="auto"/>
              </w:rPr>
            </w:pPr>
          </w:p>
        </w:tc>
        <w:tc>
          <w:tcPr>
            <w:tcW w:w="2060" w:type="dxa"/>
            <w:vAlign w:val="bottom"/>
            <w:vMerge w:val="restart"/>
            <w:shd w:val="clear" w:color="auto" w:fill="DBDBDB"/>
          </w:tcPr>
          <w:p>
            <w:pPr>
              <w:ind w:left="160"/>
              <w:spacing w:after="0" w:line="155" w:lineRule="exact"/>
              <w:rPr>
                <w:sz w:val="20"/>
                <w:szCs w:val="20"/>
                <w:color w:val="auto"/>
              </w:rPr>
            </w:pPr>
            <w:r>
              <w:rPr>
                <w:rFonts w:ascii="Times New Roman" w:cs="Times New Roman" w:eastAsia="Times New Roman" w:hAnsi="Times New Roman"/>
                <w:sz w:val="15"/>
                <w:szCs w:val="15"/>
                <w:b w:val="1"/>
                <w:bCs w:val="1"/>
                <w:color w:val="auto"/>
              </w:rPr>
              <w:t>Restatement  As Restated</w:t>
            </w:r>
          </w:p>
        </w:tc>
        <w:tc>
          <w:tcPr>
            <w:tcW w:w="1000" w:type="dxa"/>
            <w:vAlign w:val="bottom"/>
            <w:vMerge w:val="restart"/>
            <w:shd w:val="clear" w:color="auto" w:fill="DBDBDB"/>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1000" w:type="dxa"/>
            <w:vAlign w:val="bottom"/>
            <w:vMerge w:val="restart"/>
            <w:shd w:val="clear" w:color="auto" w:fill="DBDBDB"/>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Restatement</w:t>
            </w:r>
          </w:p>
        </w:tc>
        <w:tc>
          <w:tcPr>
            <w:tcW w:w="0" w:type="dxa"/>
            <w:vAlign w:val="bottom"/>
          </w:tcPr>
          <w:p>
            <w:pPr>
              <w:spacing w:after="0"/>
              <w:rPr>
                <w:sz w:val="1"/>
                <w:szCs w:val="1"/>
                <w:color w:val="auto"/>
              </w:rPr>
            </w:pPr>
          </w:p>
        </w:tc>
      </w:tr>
      <w:tr>
        <w:trPr>
          <w:trHeight w:val="86"/>
        </w:trPr>
        <w:tc>
          <w:tcPr>
            <w:tcW w:w="1180" w:type="dxa"/>
            <w:vAlign w:val="bottom"/>
            <w:vMerge w:val="continue"/>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440" w:type="dxa"/>
            <w:vAlign w:val="bottom"/>
            <w:shd w:val="clear" w:color="auto" w:fill="DBDBDB"/>
          </w:tcPr>
          <w:p>
            <w:pPr>
              <w:spacing w:after="0"/>
              <w:rPr>
                <w:sz w:val="7"/>
                <w:szCs w:val="7"/>
                <w:color w:val="auto"/>
              </w:rPr>
            </w:pPr>
          </w:p>
        </w:tc>
        <w:tc>
          <w:tcPr>
            <w:tcW w:w="1020" w:type="dxa"/>
            <w:vAlign w:val="bottom"/>
            <w:gridSpan w:val="4"/>
            <w:vMerge w:val="continue"/>
            <w:shd w:val="clear" w:color="auto" w:fill="DBDBDB"/>
          </w:tcPr>
          <w:p>
            <w:pPr>
              <w:spacing w:after="0"/>
              <w:rPr>
                <w:sz w:val="7"/>
                <w:szCs w:val="7"/>
                <w:color w:val="auto"/>
              </w:rPr>
            </w:pPr>
          </w:p>
        </w:tc>
        <w:tc>
          <w:tcPr>
            <w:tcW w:w="1080" w:type="dxa"/>
            <w:vAlign w:val="bottom"/>
            <w:gridSpan w:val="2"/>
            <w:vMerge w:val="continue"/>
            <w:shd w:val="clear" w:color="auto" w:fill="DBDBDB"/>
          </w:tcPr>
          <w:p>
            <w:pPr>
              <w:spacing w:after="0"/>
              <w:rPr>
                <w:sz w:val="7"/>
                <w:szCs w:val="7"/>
                <w:color w:val="auto"/>
              </w:rPr>
            </w:pPr>
          </w:p>
        </w:tc>
        <w:tc>
          <w:tcPr>
            <w:tcW w:w="9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2060" w:type="dxa"/>
            <w:vAlign w:val="bottom"/>
            <w:vMerge w:val="continue"/>
            <w:shd w:val="clear" w:color="auto" w:fill="DBDBDB"/>
          </w:tcPr>
          <w:p>
            <w:pPr>
              <w:spacing w:after="0"/>
              <w:rPr>
                <w:sz w:val="7"/>
                <w:szCs w:val="7"/>
                <w:color w:val="auto"/>
              </w:rPr>
            </w:pPr>
          </w:p>
        </w:tc>
        <w:tc>
          <w:tcPr>
            <w:tcW w:w="1000" w:type="dxa"/>
            <w:vAlign w:val="bottom"/>
            <w:vMerge w:val="continue"/>
            <w:shd w:val="clear" w:color="auto" w:fill="DBDBDB"/>
          </w:tcPr>
          <w:p>
            <w:pPr>
              <w:spacing w:after="0"/>
              <w:rPr>
                <w:sz w:val="7"/>
                <w:szCs w:val="7"/>
                <w:color w:val="auto"/>
              </w:rPr>
            </w:pPr>
          </w:p>
        </w:tc>
        <w:tc>
          <w:tcPr>
            <w:tcW w:w="10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1020" w:type="dxa"/>
            <w:vAlign w:val="bottom"/>
            <w:gridSpan w:val="4"/>
            <w:vMerge w:val="restart"/>
            <w:shd w:val="clear" w:color="auto" w:fill="DBDBDB"/>
          </w:tcPr>
          <w:p>
            <w:pPr>
              <w:ind w:left="240"/>
              <w:spacing w:after="0"/>
              <w:rPr>
                <w:sz w:val="20"/>
                <w:szCs w:val="20"/>
                <w:color w:val="auto"/>
              </w:rPr>
            </w:pPr>
            <w:r>
              <w:rPr>
                <w:rFonts w:ascii="Times New Roman" w:cs="Times New Roman" w:eastAsia="Times New Roman" w:hAnsi="Times New Roman"/>
                <w:sz w:val="15"/>
                <w:szCs w:val="15"/>
                <w:b w:val="1"/>
                <w:bCs w:val="1"/>
                <w:color w:val="auto"/>
              </w:rPr>
              <w:t>14, 2023</w:t>
            </w:r>
          </w:p>
        </w:tc>
        <w:tc>
          <w:tcPr>
            <w:tcW w:w="1080" w:type="dxa"/>
            <w:vAlign w:val="bottom"/>
            <w:gridSpan w:val="2"/>
            <w:vMerge w:val="restart"/>
            <w:shd w:val="clear" w:color="auto" w:fill="DBDBDB"/>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900" w:type="dxa"/>
            <w:vAlign w:val="bottom"/>
            <w:vMerge w:val="continue"/>
            <w:shd w:val="clear" w:color="auto" w:fill="DBDBDB"/>
          </w:tcPr>
          <w:p>
            <w:pPr>
              <w:spacing w:after="0"/>
              <w:rPr>
                <w:sz w:val="10"/>
                <w:szCs w:val="10"/>
                <w:color w:val="auto"/>
              </w:rPr>
            </w:pPr>
          </w:p>
        </w:tc>
        <w:tc>
          <w:tcPr>
            <w:tcW w:w="2060" w:type="dxa"/>
            <w:vAlign w:val="bottom"/>
            <w:vMerge w:val="restart"/>
            <w:shd w:val="clear" w:color="auto" w:fill="DBDBDB"/>
          </w:tcPr>
          <w:p>
            <w:pPr>
              <w:ind w:left="1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10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Reference</w:t>
            </w:r>
          </w:p>
        </w:tc>
        <w:tc>
          <w:tcPr>
            <w:tcW w:w="0" w:type="dxa"/>
            <w:vAlign w:val="bottom"/>
          </w:tcPr>
          <w:p>
            <w:pPr>
              <w:spacing w:after="0"/>
              <w:rPr>
                <w:sz w:val="1"/>
                <w:szCs w:val="1"/>
                <w:color w:val="auto"/>
              </w:rPr>
            </w:pPr>
          </w:p>
        </w:tc>
      </w:tr>
      <w:tr>
        <w:trPr>
          <w:trHeight w:val="86"/>
        </w:trPr>
        <w:tc>
          <w:tcPr>
            <w:tcW w:w="118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440" w:type="dxa"/>
            <w:vAlign w:val="bottom"/>
            <w:shd w:val="clear" w:color="auto" w:fill="DBDBDB"/>
          </w:tcPr>
          <w:p>
            <w:pPr>
              <w:spacing w:after="0"/>
              <w:rPr>
                <w:sz w:val="7"/>
                <w:szCs w:val="7"/>
                <w:color w:val="auto"/>
              </w:rPr>
            </w:pPr>
          </w:p>
        </w:tc>
        <w:tc>
          <w:tcPr>
            <w:tcW w:w="1020" w:type="dxa"/>
            <w:vAlign w:val="bottom"/>
            <w:tcBorders>
              <w:bottom w:val="single" w:sz="8" w:color="auto"/>
            </w:tcBorders>
            <w:gridSpan w:val="4"/>
            <w:vMerge w:val="continue"/>
            <w:shd w:val="clear" w:color="auto" w:fill="DBDBDB"/>
          </w:tcPr>
          <w:p>
            <w:pPr>
              <w:spacing w:after="0"/>
              <w:rPr>
                <w:sz w:val="7"/>
                <w:szCs w:val="7"/>
                <w:color w:val="auto"/>
              </w:rPr>
            </w:pPr>
          </w:p>
        </w:tc>
        <w:tc>
          <w:tcPr>
            <w:tcW w:w="1080" w:type="dxa"/>
            <w:vAlign w:val="bottom"/>
            <w:tcBorders>
              <w:bottom w:val="single" w:sz="8" w:color="auto"/>
            </w:tcBorders>
            <w:gridSpan w:val="2"/>
            <w:vMerge w:val="continue"/>
            <w:shd w:val="clear" w:color="auto" w:fill="DBDBDB"/>
          </w:tcPr>
          <w:p>
            <w:pPr>
              <w:spacing w:after="0"/>
              <w:rPr>
                <w:sz w:val="7"/>
                <w:szCs w:val="7"/>
                <w:color w:val="auto"/>
              </w:rPr>
            </w:pPr>
          </w:p>
        </w:tc>
        <w:tc>
          <w:tcPr>
            <w:tcW w:w="900" w:type="dxa"/>
            <w:vAlign w:val="bottom"/>
            <w:tcBorders>
              <w:bottom w:val="single" w:sz="8" w:color="auto"/>
            </w:tcBorders>
            <w:shd w:val="clear" w:color="auto" w:fill="DBDBDB"/>
          </w:tcPr>
          <w:p>
            <w:pPr>
              <w:spacing w:after="0"/>
              <w:rPr>
                <w:sz w:val="7"/>
                <w:szCs w:val="7"/>
                <w:color w:val="auto"/>
              </w:rPr>
            </w:pPr>
          </w:p>
        </w:tc>
        <w:tc>
          <w:tcPr>
            <w:tcW w:w="2060" w:type="dxa"/>
            <w:vAlign w:val="bottom"/>
            <w:tcBorders>
              <w:bottom w:val="single" w:sz="8" w:color="auto"/>
            </w:tcBorders>
            <w:vMerge w:val="continue"/>
            <w:shd w:val="clear" w:color="auto" w:fill="DBDBDB"/>
          </w:tcPr>
          <w:p>
            <w:pPr>
              <w:spacing w:after="0"/>
              <w:rPr>
                <w:sz w:val="7"/>
                <w:szCs w:val="7"/>
                <w:color w:val="auto"/>
              </w:rPr>
            </w:pPr>
          </w:p>
        </w:tc>
        <w:tc>
          <w:tcPr>
            <w:tcW w:w="1000" w:type="dxa"/>
            <w:vAlign w:val="bottom"/>
            <w:tcBorders>
              <w:bottom w:val="single" w:sz="8" w:color="auto"/>
            </w:tcBorders>
            <w:vMerge w:val="continue"/>
            <w:shd w:val="clear" w:color="auto" w:fill="DBDBDB"/>
          </w:tcPr>
          <w:p>
            <w:pPr>
              <w:spacing w:after="0"/>
              <w:rPr>
                <w:sz w:val="7"/>
                <w:szCs w:val="7"/>
                <w:color w:val="auto"/>
              </w:rPr>
            </w:pPr>
          </w:p>
        </w:tc>
        <w:tc>
          <w:tcPr>
            <w:tcW w:w="100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p>
      <w:pPr>
        <w:sectPr>
          <w:pgSz w:w="11900" w:h="16838" w:orient="portrait"/>
          <w:cols w:equalWidth="0" w:num="1">
            <w:col w:w="11260"/>
          </w:cols>
          <w:pgMar w:left="320" w:top="83" w:right="3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9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3" w:right="31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(ii), (iii),</w:t>
            </w:r>
          </w:p>
        </w:tc>
        <w:tc>
          <w:tcPr>
            <w:tcW w:w="960" w:type="dxa"/>
            <w:vAlign w:val="bottom"/>
            <w:shd w:val="clear" w:color="auto" w:fill="DBDBDB"/>
          </w:tcPr>
          <w:p>
            <w:pPr>
              <w:spacing w:after="0"/>
              <w:rPr>
                <w:sz w:val="15"/>
                <w:szCs w:val="15"/>
                <w:color w:val="auto"/>
              </w:rPr>
            </w:pPr>
          </w:p>
        </w:tc>
      </w:tr>
      <w:tr>
        <w:trPr>
          <w:trHeight w:val="20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Net loss</w:t>
            </w:r>
          </w:p>
        </w:tc>
        <w:tc>
          <w:tcPr>
            <w:tcW w:w="18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(1,007,454)</w:t>
            </w:r>
          </w:p>
        </w:tc>
        <w:tc>
          <w:tcPr>
            <w:tcW w:w="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38,156</w:t>
            </w:r>
          </w:p>
        </w:tc>
        <w:tc>
          <w:tcPr>
            <w:tcW w:w="26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(969,298)</w:t>
            </w:r>
          </w:p>
        </w:tc>
        <w:tc>
          <w:tcPr>
            <w:tcW w:w="32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(969,808)</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 (v)</w:t>
            </w:r>
          </w:p>
        </w:tc>
        <w:tc>
          <w:tcPr>
            <w:tcW w:w="9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 (ix)</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flows: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239,164</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(21,323)</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217,841</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(6,262)</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211,579</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(iii), (iv)</w:t>
            </w:r>
          </w:p>
        </w:tc>
        <w:tc>
          <w:tcPr>
            <w:tcW w:w="9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Warranty provisions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63,114</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(5,634)</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57,480</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(1,658)</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55,822</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(ii)</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Impairment of inventory</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31,984</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30,782</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30,782</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w:t>
            </w: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Finance income</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(32,969)</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(32,970)</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(32,970)</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960" w:type="dxa"/>
            <w:vAlign w:val="bottom"/>
          </w:tcPr>
          <w:p>
            <w:pPr>
              <w:spacing w:after="0"/>
              <w:rPr>
                <w:sz w:val="17"/>
                <w:szCs w:val="17"/>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Finance expense</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45,249</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45,218</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45,218</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w:t>
            </w: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 (v)</w:t>
            </w:r>
          </w:p>
        </w:tc>
        <w:tc>
          <w:tcPr>
            <w:tcW w:w="960" w:type="dxa"/>
            <w:vAlign w:val="bottom"/>
          </w:tcPr>
          <w:p>
            <w:pPr>
              <w:spacing w:after="0"/>
              <w:rPr>
                <w:sz w:val="17"/>
                <w:szCs w:val="17"/>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provisions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11,560</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11,560</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11,560</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Unrealized exchange (loss) gain on trade payables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9,876</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9,876</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9,876</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960" w:type="dxa"/>
            <w:vAlign w:val="bottom"/>
          </w:tcPr>
          <w:p>
            <w:pPr>
              <w:spacing w:after="0"/>
              <w:rPr>
                <w:sz w:val="17"/>
                <w:szCs w:val="17"/>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Other non-cash expense and income</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11,560</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(11,560)</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6,262</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6,262</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(iv)</w:t>
            </w:r>
          </w:p>
        </w:tc>
        <w:tc>
          <w:tcPr>
            <w:tcW w:w="9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(290,442)</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6,666</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(283,776)</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(283,776)</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(i), (iii), (iv)</w:t>
            </w: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70,220</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(11,146)</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59,074</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59,074</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(i), (ii)</w:t>
            </w:r>
          </w:p>
        </w:tc>
        <w:tc>
          <w:tcPr>
            <w:tcW w:w="960" w:type="dxa"/>
            <w:vAlign w:val="bottom"/>
          </w:tcPr>
          <w:p>
            <w:pPr>
              <w:spacing w:after="0"/>
              <w:rPr>
                <w:sz w:val="17"/>
                <w:szCs w:val="17"/>
                <w:color w:val="auto"/>
              </w:rPr>
            </w:pPr>
          </w:p>
        </w:tc>
      </w:tr>
      <w:tr>
        <w:trPr>
          <w:trHeight w:val="197"/>
        </w:trPr>
        <w:tc>
          <w:tcPr>
            <w:tcW w:w="42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5"/>
                <w:szCs w:val="15"/>
                <w:color w:val="auto"/>
              </w:rPr>
              <w:t>Trade receivables, prepaid expenses, and other assets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48,574</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8,545</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57,119</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3,234</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60,353</w:t>
            </w:r>
          </w:p>
        </w:tc>
        <w:tc>
          <w:tcPr>
            <w:tcW w:w="10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w w:val="99"/>
              </w:rPr>
              <w:t>(i), (ii)</w:t>
            </w:r>
          </w:p>
        </w:tc>
        <w:tc>
          <w:tcPr>
            <w:tcW w:w="9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payables, accrued expenses, and other liabilities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519,676</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(22,894)</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496,782</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(7,585)</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489,197</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 (ii), (iv)</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 (ix)</w:t>
            </w: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Interest received</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1,396</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1,396</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(2,976)</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(1,580)</w:t>
            </w:r>
          </w:p>
        </w:tc>
        <w:tc>
          <w:tcPr>
            <w:tcW w:w="1040" w:type="dxa"/>
            <w:vAlign w:val="bottom"/>
            <w:shd w:val="clear" w:color="auto" w:fill="DBDBDB"/>
          </w:tcPr>
          <w:p>
            <w:pPr>
              <w:spacing w:after="0"/>
              <w:rPr>
                <w:sz w:val="17"/>
                <w:szCs w:val="17"/>
                <w:color w:val="auto"/>
              </w:rPr>
            </w:pPr>
          </w:p>
        </w:tc>
        <w:tc>
          <w:tcPr>
            <w:tcW w:w="9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(12,564)</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(12,564)</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(12,564)</w:t>
            </w:r>
          </w:p>
        </w:tc>
        <w:tc>
          <w:tcPr>
            <w:tcW w:w="104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r>
      <w:tr>
        <w:trPr>
          <w:trHeight w:val="18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used for operating activities</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(312,156)</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(2,399)</w:t>
            </w:r>
          </w:p>
        </w:tc>
        <w:tc>
          <w:tcPr>
            <w:tcW w:w="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(314,555)</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(9,495)</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(324,050)</w:t>
            </w:r>
          </w:p>
        </w:tc>
        <w:tc>
          <w:tcPr>
            <w:tcW w:w="104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177"/>
        </w:trPr>
        <w:tc>
          <w:tcPr>
            <w:tcW w:w="4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(24,701)</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(24,701)</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(24,701)</w:t>
            </w:r>
          </w:p>
        </w:tc>
        <w:tc>
          <w:tcPr>
            <w:tcW w:w="10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Additions to intangible assets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(104,971)</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2,735</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(102,236)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(102,236)</w:t>
            </w:r>
          </w:p>
        </w:tc>
        <w:tc>
          <w:tcPr>
            <w:tcW w:w="1040" w:type="dxa"/>
            <w:vAlign w:val="bottom"/>
            <w:tcBorders>
              <w:bottom w:val="single" w:sz="8" w:color="DBDBDB"/>
            </w:tcBorders>
          </w:tcPr>
          <w:p>
            <w:pPr>
              <w:ind w:left="400"/>
              <w:spacing w:after="0"/>
              <w:rPr>
                <w:sz w:val="20"/>
                <w:szCs w:val="20"/>
                <w:color w:val="auto"/>
              </w:rPr>
            </w:pPr>
            <w:r>
              <w:rPr>
                <w:rFonts w:ascii="Times New Roman" w:cs="Times New Roman" w:eastAsia="Times New Roman" w:hAnsi="Times New Roman"/>
                <w:sz w:val="15"/>
                <w:szCs w:val="15"/>
                <w:color w:val="auto"/>
              </w:rPr>
              <w:t>(iii)</w:t>
            </w:r>
          </w:p>
        </w:tc>
        <w:tc>
          <w:tcPr>
            <w:tcW w:w="960" w:type="dxa"/>
            <w:vAlign w:val="bottom"/>
            <w:tcBorders>
              <w:bottom w:val="single" w:sz="8" w:color="DBDBDB"/>
            </w:tcBorders>
          </w:tcPr>
          <w:p>
            <w:pPr>
              <w:spacing w:after="0"/>
              <w:rPr>
                <w:sz w:val="17"/>
                <w:szCs w:val="17"/>
                <w:color w:val="auto"/>
              </w:rPr>
            </w:pPr>
          </w:p>
        </w:tc>
      </w:tr>
      <w:tr>
        <w:trPr>
          <w:trHeight w:val="18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used for investing activities</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(129,672)</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2,735</w:t>
            </w:r>
          </w:p>
        </w:tc>
        <w:tc>
          <w:tcPr>
            <w:tcW w:w="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(126,937)</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(126,937)</w:t>
            </w:r>
          </w:p>
        </w:tc>
        <w:tc>
          <w:tcPr>
            <w:tcW w:w="104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177"/>
        </w:trPr>
        <w:tc>
          <w:tcPr>
            <w:tcW w:w="4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Change in restricted deposits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48,830</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48,830</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48,830</w:t>
            </w:r>
          </w:p>
        </w:tc>
        <w:tc>
          <w:tcPr>
            <w:tcW w:w="10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short-term borrowings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698,882</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698,882</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9,481</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708,363</w:t>
            </w:r>
          </w:p>
        </w:tc>
        <w:tc>
          <w:tcPr>
            <w:tcW w:w="10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(viii)</w:t>
            </w:r>
          </w:p>
        </w:tc>
      </w:tr>
      <w:tr>
        <w:trPr>
          <w:trHeight w:val="197"/>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1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(411,950)</w:t>
            </w:r>
          </w:p>
        </w:tc>
        <w:tc>
          <w:tcPr>
            <w:tcW w:w="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(411,950)</w:t>
            </w:r>
          </w:p>
        </w:tc>
        <w:tc>
          <w:tcPr>
            <w:tcW w:w="32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(411,950)</w:t>
            </w:r>
          </w:p>
        </w:tc>
        <w:tc>
          <w:tcPr>
            <w:tcW w:w="10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Repayments of lease liabilities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(8,578)</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(8,913)</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(8,913)</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w:t>
            </w:r>
          </w:p>
        </w:tc>
        <w:tc>
          <w:tcPr>
            <w:tcW w:w="960" w:type="dxa"/>
            <w:vAlign w:val="bottom"/>
          </w:tcPr>
          <w:p>
            <w:pPr>
              <w:spacing w:after="0"/>
              <w:rPr>
                <w:sz w:val="17"/>
                <w:szCs w:val="17"/>
                <w:color w:val="auto"/>
              </w:rPr>
            </w:pPr>
          </w:p>
        </w:tc>
      </w:tr>
      <w:tr>
        <w:trPr>
          <w:trHeight w:val="150"/>
        </w:trPr>
        <w:tc>
          <w:tcPr>
            <w:tcW w:w="4200" w:type="dxa"/>
            <w:vAlign w:val="bottom"/>
            <w:shd w:val="clear" w:color="auto" w:fill="DBDBDB"/>
          </w:tcPr>
          <w:p>
            <w:pPr>
              <w:spacing w:after="0" w:line="151" w:lineRule="exact"/>
              <w:rPr>
                <w:sz w:val="20"/>
                <w:szCs w:val="20"/>
                <w:color w:val="auto"/>
              </w:rPr>
            </w:pPr>
            <w:r>
              <w:rPr>
                <w:rFonts w:ascii="Times New Roman" w:cs="Times New Roman" w:eastAsia="Times New Roman" w:hAnsi="Times New Roman"/>
                <w:sz w:val="15"/>
                <w:szCs w:val="15"/>
                <w:color w:val="auto"/>
              </w:rPr>
              <w:t>Proceeds from issuance of share capital and other contributed</w:t>
            </w:r>
          </w:p>
        </w:tc>
        <w:tc>
          <w:tcPr>
            <w:tcW w:w="1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r>
      <w:tr>
        <w:trPr>
          <w:trHeight w:val="20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color w:val="auto"/>
              </w:rPr>
              <w:t>capital</w:t>
            </w:r>
          </w:p>
        </w:tc>
        <w:tc>
          <w:tcPr>
            <w:tcW w:w="18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582,388</w:t>
            </w:r>
          </w:p>
        </w:tc>
        <w:tc>
          <w:tcPr>
            <w:tcW w:w="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582,388</w:t>
            </w:r>
          </w:p>
        </w:tc>
        <w:tc>
          <w:tcPr>
            <w:tcW w:w="32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582,388</w:t>
            </w:r>
          </w:p>
        </w:tc>
        <w:tc>
          <w:tcPr>
            <w:tcW w:w="10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r>
      <w:tr>
        <w:trPr>
          <w:trHeight w:val="197"/>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Transaction costs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r>
      <w:tr>
        <w:trPr>
          <w:trHeight w:val="18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provided by financing activities</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909,572</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(335)</w:t>
            </w:r>
          </w:p>
        </w:tc>
        <w:tc>
          <w:tcPr>
            <w:tcW w:w="26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909,237</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9,481</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918,718</w:t>
            </w:r>
          </w:p>
        </w:tc>
        <w:tc>
          <w:tcPr>
            <w:tcW w:w="104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130"/>
        </w:trPr>
        <w:tc>
          <w:tcPr>
            <w:tcW w:w="4200" w:type="dxa"/>
            <w:vAlign w:val="bottom"/>
          </w:tcPr>
          <w:p>
            <w:pPr>
              <w:spacing w:after="0" w:line="131" w:lineRule="exact"/>
              <w:rPr>
                <w:sz w:val="20"/>
                <w:szCs w:val="20"/>
                <w:color w:val="auto"/>
              </w:rPr>
            </w:pPr>
            <w:r>
              <w:rPr>
                <w:rFonts w:ascii="Times New Roman" w:cs="Times New Roman" w:eastAsia="Times New Roman" w:hAnsi="Times New Roman"/>
                <w:sz w:val="15"/>
                <w:szCs w:val="15"/>
                <w:color w:val="auto"/>
              </w:rPr>
              <w:t>Effect of foreign exchange rate changes on cash and cash</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5"/>
                <w:szCs w:val="15"/>
                <w:color w:val="auto"/>
              </w:rPr>
              <w:t>(i), (ii), (iii),</w:t>
            </w:r>
          </w:p>
        </w:tc>
        <w:tc>
          <w:tcPr>
            <w:tcW w:w="960" w:type="dxa"/>
            <w:vAlign w:val="bottom"/>
          </w:tcPr>
          <w:p>
            <w:pPr>
              <w:spacing w:after="0"/>
              <w:rPr>
                <w:sz w:val="11"/>
                <w:szCs w:val="11"/>
                <w:color w:val="auto"/>
              </w:rPr>
            </w:pPr>
          </w:p>
        </w:tc>
      </w:tr>
      <w:tr>
        <w:trPr>
          <w:trHeight w:val="208"/>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color w:val="auto"/>
              </w:rPr>
              <w:t>equivalents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(27,491)</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(27,492)</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(27,478)</w:t>
            </w:r>
          </w:p>
        </w:tc>
        <w:tc>
          <w:tcPr>
            <w:tcW w:w="104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(v)</w:t>
            </w:r>
          </w:p>
        </w:tc>
        <w:tc>
          <w:tcPr>
            <w:tcW w:w="96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5"/>
                <w:szCs w:val="15"/>
                <w:color w:val="auto"/>
              </w:rPr>
              <w:t>(viii), (ix)</w:t>
            </w:r>
          </w:p>
        </w:tc>
      </w:tr>
      <w:tr>
        <w:trPr>
          <w:trHeight w:val="189"/>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cash and cash equivalents</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440,253</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gridSpan w:val="2"/>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 $</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440,253</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gridSpan w:val="2"/>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 $</w:t>
            </w: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440,253</w:t>
            </w:r>
          </w:p>
        </w:tc>
        <w:tc>
          <w:tcPr>
            <w:tcW w:w="104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188"/>
        </w:trPr>
        <w:tc>
          <w:tcPr>
            <w:tcW w:w="42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beginning of the period</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316,424</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316,424</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316,424</w:t>
            </w:r>
          </w:p>
        </w:tc>
        <w:tc>
          <w:tcPr>
            <w:tcW w:w="104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spacing w:after="0"/>
              <w:rPr>
                <w:sz w:val="16"/>
                <w:szCs w:val="16"/>
                <w:color w:val="auto"/>
              </w:rPr>
            </w:pPr>
          </w:p>
        </w:tc>
      </w:tr>
      <w:tr>
        <w:trPr>
          <w:trHeight w:val="188"/>
        </w:trPr>
        <w:tc>
          <w:tcPr>
            <w:tcW w:w="4200" w:type="dxa"/>
            <w:vAlign w:val="bottom"/>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the end of the period</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756,677</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gridSpan w:val="2"/>
            <w:shd w:val="clear" w:color="auto" w:fill="DBDBDB"/>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 $</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756,677</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gridSpan w:val="2"/>
            <w:shd w:val="clear" w:color="auto" w:fill="DBDBDB"/>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 $</w:t>
            </w: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756,677</w:t>
            </w:r>
          </w:p>
        </w:tc>
        <w:tc>
          <w:tcPr>
            <w:tcW w:w="104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bl>
    <w:p>
      <w:pPr>
        <w:spacing w:after="0" w:line="263"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5"/>
          <w:szCs w:val="15"/>
          <w:color w:val="auto"/>
        </w:rPr>
        <w:t>In addition to the corrections made to the consolidated financial statements in the tables above, certain items and disclosures have been updated in the financial statements as a result of the misstatements. Additionally, certain updates were made to correct disclosures, including the breakout of depreciation expense capitalized into inventory in the leases, intangible assets and goodwill, and property, plant and equipment footnotes, and the breakout of related parties that are not consolidated under existing related parties in the related party</w:t>
      </w:r>
    </w:p>
    <w:p>
      <w:pPr>
        <w:spacing w:after="0"/>
        <w:rPr>
          <w:sz w:val="20"/>
          <w:szCs w:val="20"/>
          <w:color w:val="auto"/>
        </w:rPr>
      </w:pPr>
      <w:r>
        <w:rPr>
          <w:rFonts w:ascii="Times New Roman" w:cs="Times New Roman" w:eastAsia="Times New Roman" w:hAnsi="Times New Roman"/>
          <w:sz w:val="15"/>
          <w:szCs w:val="15"/>
          <w:color w:val="auto"/>
        </w:rPr>
        <w:t>footnote.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F-76</w:t>
      </w:r>
    </w:p>
    <w:p>
      <w:pPr>
        <w:sectPr>
          <w:pgSz w:w="11900" w:h="16838" w:orient="portrait"/>
          <w:cols w:equalWidth="0" w:num="1">
            <w:col w:w="11260"/>
          </w:cols>
          <w:pgMar w:left="320" w:top="104" w:right="319" w:bottom="1440"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7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00">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01">
                      <a:extLst>
                        <a:ext uri="{28A0092B-C50C-407E-A947-70E740481C1C}"/>
                      </a:extLst>
                    </a:blip>
                    <a:srcRect/>
                    <a:stretch>
                      <a:fillRect/>
                    </a:stretch>
                  </pic:blipFill>
                  <pic:spPr bwMode="auto">
                    <a:xfrm>
                      <a:off x="0" y="0"/>
                      <a:ext cx="7090410" cy="1017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7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02">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7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403">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04">
                      <a:extLst>
                        <a:ext uri="{28A0092B-C50C-407E-A947-70E740481C1C}"/>
                      </a:extLst>
                    </a:blip>
                    <a:srcRect/>
                    <a:stretch>
                      <a:fillRect/>
                    </a:stretch>
                  </pic:blipFill>
                  <pic:spPr bwMode="auto">
                    <a:xfrm>
                      <a:off x="0" y="0"/>
                      <a:ext cx="7090410" cy="1017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lvl w:ilvl="1">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3"/>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lvl w:ilvl="1">
      <w:lvlJc w:val="left"/>
      <w:lvlText w:val="%2"/>
      <w:numFmt w:val="decimal"/>
      <w:start w:val="1"/>
    </w:lvl>
    <w:lvl w:ilvl="2">
      <w:lvlJc w:val="left"/>
      <w:lvlText w:val="%3."/>
      <w:numFmt w:val="decimal"/>
      <w:start w:val="101"/>
    </w:lvl>
  </w:abstractNum>
  <w:abstractNum w:abstractNumId="25">
    <w:nsid w:val="38437FDB"/>
    <w:multiLevelType w:val="hybridMultilevel"/>
    <w:lvl w:ilvl="0">
      <w:lvlJc w:val="left"/>
      <w:lvlText w:val="%1"/>
      <w:numFmt w:val="decimal"/>
      <w:start w:val="1"/>
    </w:lvl>
    <w:lvl w:ilvl="1">
      <w:lvlJc w:val="left"/>
      <w:lvlText w:val="%2."/>
      <w:numFmt w:val="decimal"/>
      <w:start w:val="101"/>
    </w:lvl>
    <w:lvl w:ilvl="2">
      <w:lvlJc w:val="left"/>
      <w:lvlText w:val="%3"/>
      <w:numFmt w:val="decimal"/>
      <w:start w:val="1"/>
    </w:lvl>
  </w:abstractNum>
  <w:abstractNum w:abstractNumId="26">
    <w:nsid w:val="7644A45C"/>
    <w:multiLevelType w:val="hybridMultilevel"/>
    <w:lvl w:ilvl="0">
      <w:lvlJc w:val="left"/>
      <w:lvlText w:val="%1"/>
      <w:numFmt w:val="decimal"/>
      <w:start w:val="1"/>
    </w:lvl>
    <w:lvl w:ilvl="1">
      <w:lvlJc w:val="left"/>
      <w:lvlText w:val="%2."/>
      <w:numFmt w:val="decimal"/>
      <w:start w:val="101"/>
    </w:lvl>
    <w:lvl w:ilvl="2">
      <w:lvlJc w:val="left"/>
      <w:lvlText w:val="%3"/>
      <w:numFmt w:val="decimal"/>
      <w:start w:val="1"/>
    </w:lvl>
  </w:abstractNum>
  <w:abstractNum w:abstractNumId="27">
    <w:nsid w:val="32FFF902"/>
    <w:multiLevelType w:val="hybridMultilevel"/>
    <w:lvl w:ilvl="0">
      <w:lvlJc w:val="left"/>
      <w:lvlText w:val="%1."/>
      <w:numFmt w:val="decimal"/>
      <w:start w:val="101"/>
    </w:lvl>
    <w:lvl w:ilvl="1">
      <w:lvlJc w:val="left"/>
      <w:lvlText w:val="%2"/>
      <w:numFmt w:val="decimal"/>
      <w:start w:val="1"/>
    </w:lvl>
  </w:abstractNum>
  <w:abstractNum w:abstractNumId="28">
    <w:nsid w:val="684A481A"/>
    <w:multiLevelType w:val="hybridMultilevel"/>
    <w:lvl w:ilvl="0">
      <w:lvlJc w:val="left"/>
      <w:lvlText w:val="%1."/>
      <w:numFmt w:val="decimal"/>
      <w:start w:val="101"/>
    </w:lvl>
    <w:lvl w:ilvl="1">
      <w:lvlJc w:val="left"/>
      <w:lvlText w:val="%2."/>
      <w:numFmt w:val="decimal"/>
      <w:start w:val="10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lvl w:ilvl="1">
      <w:lvlJc w:val="left"/>
      <w:lvlText w:val="◦"/>
      <w:numFmt w:val="bullet"/>
      <w:start w:val="1"/>
    </w:lvl>
  </w:abstractNum>
  <w:abstractNum w:abstractNumId="36">
    <w:nsid w:val="70C6A529"/>
    <w:multiLevelType w:val="hybridMultilevel"/>
    <w:lvl w:ilvl="0">
      <w:lvlJc w:val="left"/>
      <w:lvlText w:val="•"/>
      <w:numFmt w:val="bullet"/>
      <w:start w:val="1"/>
    </w:lvl>
    <w:lvl w:ilvl="1">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lvl w:ilvl="1">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lowerRoman"/>
      <w:start w:val="1"/>
    </w:lvl>
  </w:abstractNum>
  <w:abstractNum w:abstractNumId="61">
    <w:nsid w:val="25A70BF7"/>
    <w:multiLevelType w:val="hybridMultilevel"/>
    <w:lvl w:ilvl="0">
      <w:lvlJc w:val="left"/>
      <w:lvlText w:val="(%1)"/>
      <w:numFmt w:val="lowerRoman"/>
      <w:start w:val="2"/>
    </w:lvl>
  </w:abstractNum>
  <w:abstractNum w:abstractNumId="62">
    <w:nsid w:val="1DBABF00"/>
    <w:multiLevelType w:val="hybridMultilevel"/>
    <w:lvl w:ilvl="0">
      <w:lvlJc w:val="left"/>
      <w:lvlText w:val="(%1)"/>
      <w:numFmt w:val="lowerRoman"/>
      <w:start w:val="3"/>
    </w:lvl>
  </w:abstractNum>
  <w:abstractNum w:abstractNumId="63">
    <w:nsid w:val="4AD084E9"/>
    <w:multiLevelType w:val="hybridMultilevel"/>
    <w:lvl w:ilvl="0">
      <w:lvlJc w:val="left"/>
      <w:lvlText w:val="(%1)"/>
      <w:numFmt w:val="lowerRoman"/>
      <w:start w:val="4"/>
    </w:lvl>
  </w:abstractNum>
  <w:abstractNum w:abstractNumId="64">
    <w:nsid w:val="1F48EAA1"/>
    <w:multiLevelType w:val="hybridMultilevel"/>
    <w:lvl w:ilvl="0">
      <w:lvlJc w:val="left"/>
      <w:lvlText w:val="(%1)"/>
      <w:numFmt w:val="lowerRoman"/>
      <w:start w:val="5"/>
    </w:lvl>
  </w:abstractNum>
  <w:abstractNum w:abstractNumId="65">
    <w:nsid w:val="1381823A"/>
    <w:multiLevelType w:val="hybridMultilevel"/>
    <w:lvl w:ilvl="0">
      <w:lvlJc w:val="left"/>
      <w:lvlText w:val="(%1)"/>
      <w:numFmt w:val="lowerRoman"/>
      <w:start w:val="6"/>
    </w:lvl>
  </w:abstractNum>
  <w:abstractNum w:abstractNumId="66">
    <w:nsid w:val="5DB70AE5"/>
    <w:multiLevelType w:val="hybridMultilevel"/>
    <w:lvl w:ilvl="0">
      <w:lvlJc w:val="left"/>
      <w:lvlText w:val="(%1)"/>
      <w:numFmt w:val="lowerRoman"/>
      <w:start w:val="7"/>
    </w:lvl>
  </w:abstractNum>
  <w:abstractNum w:abstractNumId="67">
    <w:nsid w:val="100F8FCA"/>
    <w:multiLevelType w:val="hybridMultilevel"/>
    <w:lvl w:ilvl="0">
      <w:lvlJc w:val="left"/>
      <w:lvlText w:val="(%1)"/>
      <w:numFmt w:val="lowerRoman"/>
      <w:start w:val="8"/>
    </w:lvl>
  </w:abstractNum>
  <w:abstractNum w:abstractNumId="68">
    <w:nsid w:val="6590700B"/>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13" Type="http://schemas.openxmlformats.org/officeDocument/2006/relationships/image" Target="media/image61.png"/><Relationship Id="rId124" Type="http://schemas.openxmlformats.org/officeDocument/2006/relationships/image" Target="media/image62.png"/><Relationship Id="rId125" Type="http://schemas.openxmlformats.org/officeDocument/2006/relationships/image" Target="media/image63.png"/><Relationship Id="rId141" Type="http://schemas.openxmlformats.org/officeDocument/2006/relationships/image" Target="media/image64.png"/><Relationship Id="rId142" Type="http://schemas.openxmlformats.org/officeDocument/2006/relationships/image" Target="media/image65.png"/><Relationship Id="rId156" Type="http://schemas.openxmlformats.org/officeDocument/2006/relationships/image" Target="media/image66.png"/><Relationship Id="rId157" Type="http://schemas.openxmlformats.org/officeDocument/2006/relationships/image" Target="media/image67.png"/><Relationship Id="rId166" Type="http://schemas.openxmlformats.org/officeDocument/2006/relationships/image" Target="media/image68.png"/><Relationship Id="rId167" Type="http://schemas.openxmlformats.org/officeDocument/2006/relationships/image" Target="media/image69.png"/><Relationship Id="rId182" Type="http://schemas.openxmlformats.org/officeDocument/2006/relationships/image" Target="media/image70.png"/><Relationship Id="rId183" Type="http://schemas.openxmlformats.org/officeDocument/2006/relationships/image" Target="media/image71.png"/><Relationship Id="rId196" Type="http://schemas.openxmlformats.org/officeDocument/2006/relationships/image" Target="media/image72.png"/><Relationship Id="rId197" Type="http://schemas.openxmlformats.org/officeDocument/2006/relationships/image" Target="media/image73.png"/><Relationship Id="rId211" Type="http://schemas.openxmlformats.org/officeDocument/2006/relationships/image" Target="media/image74.png"/><Relationship Id="rId212" Type="http://schemas.openxmlformats.org/officeDocument/2006/relationships/image" Target="media/image75.png"/><Relationship Id="rId228" Type="http://schemas.openxmlformats.org/officeDocument/2006/relationships/image" Target="media/image76.png"/><Relationship Id="rId229" Type="http://schemas.openxmlformats.org/officeDocument/2006/relationships/image" Target="media/image77.png"/><Relationship Id="rId244" Type="http://schemas.openxmlformats.org/officeDocument/2006/relationships/image" Target="media/image78.png"/><Relationship Id="rId245" Type="http://schemas.openxmlformats.org/officeDocument/2006/relationships/image" Target="media/image79.png"/><Relationship Id="rId260" Type="http://schemas.openxmlformats.org/officeDocument/2006/relationships/image" Target="media/image80.png"/><Relationship Id="rId261" Type="http://schemas.openxmlformats.org/officeDocument/2006/relationships/image" Target="media/image81.png"/><Relationship Id="rId272" Type="http://schemas.openxmlformats.org/officeDocument/2006/relationships/image" Target="media/image82.png"/><Relationship Id="rId273" Type="http://schemas.openxmlformats.org/officeDocument/2006/relationships/image" Target="media/image83.png"/><Relationship Id="rId274" Type="http://schemas.openxmlformats.org/officeDocument/2006/relationships/image" Target="media/image84.png"/><Relationship Id="rId275" Type="http://schemas.openxmlformats.org/officeDocument/2006/relationships/image" Target="media/image85.png"/><Relationship Id="rId276" Type="http://schemas.openxmlformats.org/officeDocument/2006/relationships/image" Target="media/image86.png"/><Relationship Id="rId277" Type="http://schemas.openxmlformats.org/officeDocument/2006/relationships/image" Target="media/image87.png"/><Relationship Id="rId278" Type="http://schemas.openxmlformats.org/officeDocument/2006/relationships/image" Target="media/image88.png"/><Relationship Id="rId279" Type="http://schemas.openxmlformats.org/officeDocument/2006/relationships/image" Target="media/image89.png"/><Relationship Id="rId280" Type="http://schemas.openxmlformats.org/officeDocument/2006/relationships/image" Target="media/image90.png"/><Relationship Id="rId281" Type="http://schemas.openxmlformats.org/officeDocument/2006/relationships/image" Target="media/image91.png"/><Relationship Id="rId282" Type="http://schemas.openxmlformats.org/officeDocument/2006/relationships/image" Target="media/image92.png"/><Relationship Id="rId283" Type="http://schemas.openxmlformats.org/officeDocument/2006/relationships/image" Target="media/image93.png"/><Relationship Id="rId284" Type="http://schemas.openxmlformats.org/officeDocument/2006/relationships/image" Target="media/image94.png"/><Relationship Id="rId285" Type="http://schemas.openxmlformats.org/officeDocument/2006/relationships/image" Target="media/image95.png"/><Relationship Id="rId286" Type="http://schemas.openxmlformats.org/officeDocument/2006/relationships/image" Target="media/image96.png"/><Relationship Id="rId287" Type="http://schemas.openxmlformats.org/officeDocument/2006/relationships/image" Target="media/image97.png"/><Relationship Id="rId288" Type="http://schemas.openxmlformats.org/officeDocument/2006/relationships/image" Target="media/image98.png"/><Relationship Id="rId289" Type="http://schemas.openxmlformats.org/officeDocument/2006/relationships/image" Target="media/image99.png"/><Relationship Id="rId290" Type="http://schemas.openxmlformats.org/officeDocument/2006/relationships/image" Target="media/image100.png"/><Relationship Id="rId291" Type="http://schemas.openxmlformats.org/officeDocument/2006/relationships/image" Target="media/image101.png"/><Relationship Id="rId292" Type="http://schemas.openxmlformats.org/officeDocument/2006/relationships/image" Target="media/image102.png"/><Relationship Id="rId293" Type="http://schemas.openxmlformats.org/officeDocument/2006/relationships/image" Target="media/image103.png"/><Relationship Id="rId294" Type="http://schemas.openxmlformats.org/officeDocument/2006/relationships/image" Target="media/image104.png"/><Relationship Id="rId295" Type="http://schemas.openxmlformats.org/officeDocument/2006/relationships/image" Target="media/image105.png"/><Relationship Id="rId296" Type="http://schemas.openxmlformats.org/officeDocument/2006/relationships/image" Target="media/image106.png"/><Relationship Id="rId297" Type="http://schemas.openxmlformats.org/officeDocument/2006/relationships/image" Target="media/image107.png"/><Relationship Id="rId298" Type="http://schemas.openxmlformats.org/officeDocument/2006/relationships/image" Target="media/image108.png"/><Relationship Id="rId299" Type="http://schemas.openxmlformats.org/officeDocument/2006/relationships/image" Target="media/image109.png"/><Relationship Id="rId300" Type="http://schemas.openxmlformats.org/officeDocument/2006/relationships/image" Target="media/image110.png"/><Relationship Id="rId301" Type="http://schemas.openxmlformats.org/officeDocument/2006/relationships/image" Target="media/image111.png"/><Relationship Id="rId302" Type="http://schemas.openxmlformats.org/officeDocument/2006/relationships/image" Target="media/image112.png"/><Relationship Id="rId303" Type="http://schemas.openxmlformats.org/officeDocument/2006/relationships/image" Target="media/image113.png"/><Relationship Id="rId304" Type="http://schemas.openxmlformats.org/officeDocument/2006/relationships/image" Target="media/image114.png"/><Relationship Id="rId305" Type="http://schemas.openxmlformats.org/officeDocument/2006/relationships/image" Target="media/image115.png"/><Relationship Id="rId306" Type="http://schemas.openxmlformats.org/officeDocument/2006/relationships/image" Target="media/image116.png"/><Relationship Id="rId307" Type="http://schemas.openxmlformats.org/officeDocument/2006/relationships/image" Target="media/image117.png"/><Relationship Id="rId308" Type="http://schemas.openxmlformats.org/officeDocument/2006/relationships/image" Target="media/image118.png"/><Relationship Id="rId309" Type="http://schemas.openxmlformats.org/officeDocument/2006/relationships/image" Target="media/image119.png"/><Relationship Id="rId310" Type="http://schemas.openxmlformats.org/officeDocument/2006/relationships/image" Target="media/image120.png"/><Relationship Id="rId311" Type="http://schemas.openxmlformats.org/officeDocument/2006/relationships/image" Target="media/image121.png"/><Relationship Id="rId312" Type="http://schemas.openxmlformats.org/officeDocument/2006/relationships/image" Target="media/image122.png"/><Relationship Id="rId313" Type="http://schemas.openxmlformats.org/officeDocument/2006/relationships/image" Target="media/image123.png"/><Relationship Id="rId314" Type="http://schemas.openxmlformats.org/officeDocument/2006/relationships/image" Target="media/image124.png"/><Relationship Id="rId315" Type="http://schemas.openxmlformats.org/officeDocument/2006/relationships/image" Target="media/image125.png"/><Relationship Id="rId316" Type="http://schemas.openxmlformats.org/officeDocument/2006/relationships/image" Target="media/image126.png"/><Relationship Id="rId317" Type="http://schemas.openxmlformats.org/officeDocument/2006/relationships/image" Target="media/image127.png"/><Relationship Id="rId318" Type="http://schemas.openxmlformats.org/officeDocument/2006/relationships/image" Target="media/image128.png"/><Relationship Id="rId319" Type="http://schemas.openxmlformats.org/officeDocument/2006/relationships/image" Target="media/image129.png"/><Relationship Id="rId320" Type="http://schemas.openxmlformats.org/officeDocument/2006/relationships/image" Target="media/image130.png"/><Relationship Id="rId321" Type="http://schemas.openxmlformats.org/officeDocument/2006/relationships/image" Target="media/image131.png"/><Relationship Id="rId322" Type="http://schemas.openxmlformats.org/officeDocument/2006/relationships/image" Target="media/image132.png"/><Relationship Id="rId323" Type="http://schemas.openxmlformats.org/officeDocument/2006/relationships/image" Target="media/image133.png"/><Relationship Id="rId324" Type="http://schemas.openxmlformats.org/officeDocument/2006/relationships/image" Target="media/image134.png"/><Relationship Id="rId325" Type="http://schemas.openxmlformats.org/officeDocument/2006/relationships/image" Target="media/image135.png"/><Relationship Id="rId326" Type="http://schemas.openxmlformats.org/officeDocument/2006/relationships/image" Target="media/image136.png"/><Relationship Id="rId327" Type="http://schemas.openxmlformats.org/officeDocument/2006/relationships/image" Target="media/image137.png"/><Relationship Id="rId328" Type="http://schemas.openxmlformats.org/officeDocument/2006/relationships/image" Target="media/image138.png"/><Relationship Id="rId329" Type="http://schemas.openxmlformats.org/officeDocument/2006/relationships/image" Target="media/image139.png"/><Relationship Id="rId330" Type="http://schemas.openxmlformats.org/officeDocument/2006/relationships/image" Target="media/image140.png"/><Relationship Id="rId331" Type="http://schemas.openxmlformats.org/officeDocument/2006/relationships/image" Target="media/image141.png"/><Relationship Id="rId332" Type="http://schemas.openxmlformats.org/officeDocument/2006/relationships/image" Target="media/image142.png"/><Relationship Id="rId333" Type="http://schemas.openxmlformats.org/officeDocument/2006/relationships/image" Target="media/image143.png"/><Relationship Id="rId334" Type="http://schemas.openxmlformats.org/officeDocument/2006/relationships/image" Target="media/image144.png"/><Relationship Id="rId335" Type="http://schemas.openxmlformats.org/officeDocument/2006/relationships/image" Target="media/image145.png"/><Relationship Id="rId336" Type="http://schemas.openxmlformats.org/officeDocument/2006/relationships/image" Target="media/image146.png"/><Relationship Id="rId337" Type="http://schemas.openxmlformats.org/officeDocument/2006/relationships/image" Target="media/image147.png"/><Relationship Id="rId338" Type="http://schemas.openxmlformats.org/officeDocument/2006/relationships/image" Target="media/image148.png"/><Relationship Id="rId339" Type="http://schemas.openxmlformats.org/officeDocument/2006/relationships/image" Target="media/image149.png"/><Relationship Id="rId340" Type="http://schemas.openxmlformats.org/officeDocument/2006/relationships/image" Target="media/image150.png"/><Relationship Id="rId341" Type="http://schemas.openxmlformats.org/officeDocument/2006/relationships/image" Target="media/image151.png"/><Relationship Id="rId342" Type="http://schemas.openxmlformats.org/officeDocument/2006/relationships/image" Target="media/image152.png"/><Relationship Id="rId343" Type="http://schemas.openxmlformats.org/officeDocument/2006/relationships/image" Target="media/image153.png"/><Relationship Id="rId344" Type="http://schemas.openxmlformats.org/officeDocument/2006/relationships/image" Target="media/image154.png"/><Relationship Id="rId345" Type="http://schemas.openxmlformats.org/officeDocument/2006/relationships/image" Target="media/image155.png"/><Relationship Id="rId346" Type="http://schemas.openxmlformats.org/officeDocument/2006/relationships/image" Target="media/image156.png"/><Relationship Id="rId347" Type="http://schemas.openxmlformats.org/officeDocument/2006/relationships/image" Target="media/image157.png"/><Relationship Id="rId348" Type="http://schemas.openxmlformats.org/officeDocument/2006/relationships/image" Target="media/image158.png"/><Relationship Id="rId349" Type="http://schemas.openxmlformats.org/officeDocument/2006/relationships/image" Target="media/image159.png"/><Relationship Id="rId350" Type="http://schemas.openxmlformats.org/officeDocument/2006/relationships/image" Target="media/image160.png"/><Relationship Id="rId351" Type="http://schemas.openxmlformats.org/officeDocument/2006/relationships/image" Target="media/image161.png"/><Relationship Id="rId352" Type="http://schemas.openxmlformats.org/officeDocument/2006/relationships/image" Target="media/image162.png"/><Relationship Id="rId353" Type="http://schemas.openxmlformats.org/officeDocument/2006/relationships/image" Target="media/image163.png"/><Relationship Id="rId354" Type="http://schemas.openxmlformats.org/officeDocument/2006/relationships/image" Target="media/image164.png"/><Relationship Id="rId355" Type="http://schemas.openxmlformats.org/officeDocument/2006/relationships/image" Target="media/image165.png"/><Relationship Id="rId356" Type="http://schemas.openxmlformats.org/officeDocument/2006/relationships/image" Target="media/image166.png"/><Relationship Id="rId357" Type="http://schemas.openxmlformats.org/officeDocument/2006/relationships/image" Target="media/image167.png"/><Relationship Id="rId358" Type="http://schemas.openxmlformats.org/officeDocument/2006/relationships/image" Target="media/image168.png"/><Relationship Id="rId359" Type="http://schemas.openxmlformats.org/officeDocument/2006/relationships/image" Target="media/image169.png"/><Relationship Id="rId360" Type="http://schemas.openxmlformats.org/officeDocument/2006/relationships/image" Target="media/image170.png"/><Relationship Id="rId361" Type="http://schemas.openxmlformats.org/officeDocument/2006/relationships/image" Target="media/image171.png"/><Relationship Id="rId362" Type="http://schemas.openxmlformats.org/officeDocument/2006/relationships/image" Target="media/image172.png"/><Relationship Id="rId363" Type="http://schemas.openxmlformats.org/officeDocument/2006/relationships/image" Target="media/image173.png"/><Relationship Id="rId364" Type="http://schemas.openxmlformats.org/officeDocument/2006/relationships/image" Target="media/image174.png"/><Relationship Id="rId365" Type="http://schemas.openxmlformats.org/officeDocument/2006/relationships/image" Target="media/image175.png"/><Relationship Id="rId366" Type="http://schemas.openxmlformats.org/officeDocument/2006/relationships/image" Target="media/image176.png"/><Relationship Id="rId367" Type="http://schemas.openxmlformats.org/officeDocument/2006/relationships/image" Target="media/image177.png"/><Relationship Id="rId368" Type="http://schemas.openxmlformats.org/officeDocument/2006/relationships/image" Target="media/image178.png"/><Relationship Id="rId369" Type="http://schemas.openxmlformats.org/officeDocument/2006/relationships/image" Target="media/image179.png"/><Relationship Id="rId370" Type="http://schemas.openxmlformats.org/officeDocument/2006/relationships/image" Target="media/image180.png"/><Relationship Id="rId371" Type="http://schemas.openxmlformats.org/officeDocument/2006/relationships/image" Target="media/image181.png"/><Relationship Id="rId372" Type="http://schemas.openxmlformats.org/officeDocument/2006/relationships/image" Target="media/image182.png"/><Relationship Id="rId373" Type="http://schemas.openxmlformats.org/officeDocument/2006/relationships/image" Target="media/image183.png"/><Relationship Id="rId374" Type="http://schemas.openxmlformats.org/officeDocument/2006/relationships/image" Target="media/image184.png"/><Relationship Id="rId375" Type="http://schemas.openxmlformats.org/officeDocument/2006/relationships/image" Target="media/image185.png"/><Relationship Id="rId376" Type="http://schemas.openxmlformats.org/officeDocument/2006/relationships/image" Target="media/image186.png"/><Relationship Id="rId377" Type="http://schemas.openxmlformats.org/officeDocument/2006/relationships/image" Target="media/image187.png"/><Relationship Id="rId378" Type="http://schemas.openxmlformats.org/officeDocument/2006/relationships/image" Target="media/image188.png"/><Relationship Id="rId379" Type="http://schemas.openxmlformats.org/officeDocument/2006/relationships/image" Target="media/image189.png"/><Relationship Id="rId380" Type="http://schemas.openxmlformats.org/officeDocument/2006/relationships/image" Target="media/image190.png"/><Relationship Id="rId381" Type="http://schemas.openxmlformats.org/officeDocument/2006/relationships/image" Target="media/image191.png"/><Relationship Id="rId382" Type="http://schemas.openxmlformats.org/officeDocument/2006/relationships/image" Target="media/image192.png"/><Relationship Id="rId383" Type="http://schemas.openxmlformats.org/officeDocument/2006/relationships/image" Target="media/image193.png"/><Relationship Id="rId384" Type="http://schemas.openxmlformats.org/officeDocument/2006/relationships/image" Target="media/image194.png"/><Relationship Id="rId385" Type="http://schemas.openxmlformats.org/officeDocument/2006/relationships/image" Target="media/image195.png"/><Relationship Id="rId386" Type="http://schemas.openxmlformats.org/officeDocument/2006/relationships/image" Target="media/image196.png"/><Relationship Id="rId387" Type="http://schemas.openxmlformats.org/officeDocument/2006/relationships/image" Target="media/image197.png"/><Relationship Id="rId388" Type="http://schemas.openxmlformats.org/officeDocument/2006/relationships/image" Target="media/image198.png"/><Relationship Id="rId389" Type="http://schemas.openxmlformats.org/officeDocument/2006/relationships/image" Target="media/image199.png"/><Relationship Id="rId390" Type="http://schemas.openxmlformats.org/officeDocument/2006/relationships/image" Target="media/image200.png"/><Relationship Id="rId391" Type="http://schemas.openxmlformats.org/officeDocument/2006/relationships/image" Target="media/image201.png"/><Relationship Id="rId392" Type="http://schemas.openxmlformats.org/officeDocument/2006/relationships/image" Target="media/image202.png"/><Relationship Id="rId393" Type="http://schemas.openxmlformats.org/officeDocument/2006/relationships/image" Target="media/image203.png"/><Relationship Id="rId394" Type="http://schemas.openxmlformats.org/officeDocument/2006/relationships/image" Target="media/image204.png"/><Relationship Id="rId395" Type="http://schemas.openxmlformats.org/officeDocument/2006/relationships/image" Target="media/image205.png"/><Relationship Id="rId396" Type="http://schemas.openxmlformats.org/officeDocument/2006/relationships/image" Target="media/image206.png"/><Relationship Id="rId397" Type="http://schemas.openxmlformats.org/officeDocument/2006/relationships/image" Target="media/image207.png"/><Relationship Id="rId398" Type="http://schemas.openxmlformats.org/officeDocument/2006/relationships/image" Target="media/image208.png"/><Relationship Id="rId399" Type="http://schemas.openxmlformats.org/officeDocument/2006/relationships/image" Target="media/image209.png"/><Relationship Id="rId400" Type="http://schemas.openxmlformats.org/officeDocument/2006/relationships/image" Target="media/image210.png"/><Relationship Id="rId401" Type="http://schemas.openxmlformats.org/officeDocument/2006/relationships/image" Target="media/image211.png"/><Relationship Id="rId402" Type="http://schemas.openxmlformats.org/officeDocument/2006/relationships/image" Target="media/image212.png"/><Relationship Id="rId403" Type="http://schemas.openxmlformats.org/officeDocument/2006/relationships/image" Target="media/image213.png"/><Relationship Id="rId404" Type="http://schemas.openxmlformats.org/officeDocument/2006/relationships/image" Target="media/image214.png"/><Relationship Id="rId60" Type="http://schemas.openxmlformats.org/officeDocument/2006/relationships/hyperlink" Target="https://www.sec.gov/Archives/edgar/data/1847127/000119312522182018/d371785dex41.htm" TargetMode="External"/><Relationship Id="rId61" Type="http://schemas.openxmlformats.org/officeDocument/2006/relationships/hyperlink" Target="https://www.sec.gov/Archives/edgar/data/1472033/000119380522001222/e621791_ex99-a.htm" TargetMode="External"/><Relationship Id="rId62" Type="http://schemas.openxmlformats.org/officeDocument/2006/relationships/hyperlink" Target="https://www.sec.gov/Archives/edgar/data/1884082/000119312522085479/d239003dex42.htm" TargetMode="External"/><Relationship Id="rId63" Type="http://schemas.openxmlformats.org/officeDocument/2006/relationships/hyperlink" Target="https://www.sec.gov/Archives/edgar/data/1847127/000119312522182018/d371785dex41.htm#:~:text=Execution%20Copy-,CLASS%20C%2D1%20DEPOSIT%20AGREEMENT,-by%20and%20among" TargetMode="External"/><Relationship Id="rId64" Type="http://schemas.openxmlformats.org/officeDocument/2006/relationships/hyperlink" Target="https://www.sec.gov/Archives/edgar/data/1884082/000119312522085479/d239003dex44.htm" TargetMode="External"/><Relationship Id="rId65" Type="http://schemas.openxmlformats.org/officeDocument/2006/relationships/hyperlink" Target="https://www.sec.gov/Archives/edgar/data/1884082/000119312522085479/d239003dex46.htm" TargetMode="External"/><Relationship Id="rId66" Type="http://schemas.openxmlformats.org/officeDocument/2006/relationships/hyperlink" Target="https://www.sec.gov/Archives/edgar/data/1884082/000119312522066540/d239003df4a.htm#tx239003_503" TargetMode="External"/><Relationship Id="rId67" Type="http://schemas.openxmlformats.org/officeDocument/2006/relationships/hyperlink" Target="https://www.sec.gov/Archives/edgar/data/1884082/000119312522156731/d239003df4a.htm#tx239003_503a" TargetMode="External"/><Relationship Id="rId68" Type="http://schemas.openxmlformats.org/officeDocument/2006/relationships/hyperlink" Target="https://www.sec.gov/Archives/edgar/data/1884082/000188408224000008/exhibit211descriptionofs.htm" TargetMode="External"/><Relationship Id="rId71" Type="http://schemas.openxmlformats.org/officeDocument/2006/relationships/hyperlink" Target="https://www.sec.gov/Archives/edgar/data/1884082/000119312522066540/d239003df4a.htm#tx239003_501" TargetMode="External"/><Relationship Id="rId72" Type="http://schemas.openxmlformats.org/officeDocument/2006/relationships/hyperlink" Target="https://www.sec.gov/Archives/edgar/data/1847127/000119312521361166/d268059dex21.htm" TargetMode="External"/><Relationship Id="rId73" Type="http://schemas.openxmlformats.org/officeDocument/2006/relationships/hyperlink" Target="https://www.sec.gov/Archives/edgar/data/1847127/000119312522085125/d327984dex21.htm" TargetMode="External"/><Relationship Id="rId74" Type="http://schemas.openxmlformats.org/officeDocument/2006/relationships/hyperlink" Target="https://www.sec.gov/Archives/edgar/data/1847127/000119312522112981/d340863dex21.htm" TargetMode="External"/><Relationship Id="rId75" Type="http://schemas.openxmlformats.org/officeDocument/2006/relationships/hyperlink" Target="https://www.sec.gov/Archives/edgar/data/1884082/000119312522066540/d239003df4a.htm#tx239003_506" TargetMode="External"/><Relationship Id="rId76" Type="http://schemas.openxmlformats.org/officeDocument/2006/relationships/hyperlink" Target="https://www.sec.gov/Archives/edgar/data/1884082/000119312522066540/d239003df4a.htm#tx239003_507" TargetMode="External"/><Relationship Id="rId77" Type="http://schemas.openxmlformats.org/officeDocument/2006/relationships/hyperlink" Target="https://www.sec.gov/Archives/edgar/data/1884082/000119312522023680/d239003dex105.htm" TargetMode="External"/><Relationship Id="rId78" Type="http://schemas.openxmlformats.org/officeDocument/2006/relationships/hyperlink" Target="https://www.sec.gov/Archives/edgar/data/1884082/000119312522232925/d359855dex991.htm" TargetMode="External"/><Relationship Id="rId79" Type="http://schemas.openxmlformats.org/officeDocument/2006/relationships/hyperlink" Target="https://www.sec.gov/Archives/edgar/data/1884082/000119312522232925/d359855dex992.htm" TargetMode="External"/><Relationship Id="rId80" Type="http://schemas.openxmlformats.org/officeDocument/2006/relationships/hyperlink" Target="https://www.sec.gov/Archives/edgar/data/1884082/000119312522023680/d239003dex108.htm" TargetMode="External"/><Relationship Id="rId83" Type="http://schemas.openxmlformats.org/officeDocument/2006/relationships/hyperlink" Target="https://www.sec.gov/Archives/edgar/data/1884082/000119312522023680/d239003dex109.htm" TargetMode="External"/><Relationship Id="rId84" Type="http://schemas.openxmlformats.org/officeDocument/2006/relationships/hyperlink" Target="https://www.sec.gov/Archives/edgar/data/1884082/000119312522066540/d239003dex1010.htm" TargetMode="External"/><Relationship Id="rId85" Type="http://schemas.openxmlformats.org/officeDocument/2006/relationships/hyperlink" Target="https://www.sec.gov/Archives/edgar/data/1884082/000119312522023680/d239003dex1011.htm" TargetMode="External"/><Relationship Id="rId86" Type="http://schemas.openxmlformats.org/officeDocument/2006/relationships/hyperlink" Target="https://www.sec.gov/Archives/edgar/data/1884082/000119312522023680/d239003dex1012.htm" TargetMode="External"/><Relationship Id="rId87" Type="http://schemas.openxmlformats.org/officeDocument/2006/relationships/hyperlink" Target="https://www.sec.gov/Archives/edgar/data/1884082/000119312522023680/d239003dex1013.htm" TargetMode="External"/><Relationship Id="rId88" Type="http://schemas.openxmlformats.org/officeDocument/2006/relationships/hyperlink" Target="https://www.sec.gov/Archives/edgar/data/1884082/000119312522023680/d239003dex1014.htm" TargetMode="External"/><Relationship Id="rId89" Type="http://schemas.openxmlformats.org/officeDocument/2006/relationships/hyperlink" Target="https://www.sec.gov/Archives/edgar/data/1884082/000119312522023680/d239003dex1015.htm" TargetMode="External"/><Relationship Id="rId90" Type="http://schemas.openxmlformats.org/officeDocument/2006/relationships/hyperlink" Target="https://www.sec.gov/Archives/edgar/data/1884082/000119312522023680/d239003dex1016.htm" TargetMode="External"/><Relationship Id="rId91" Type="http://schemas.openxmlformats.org/officeDocument/2006/relationships/hyperlink" Target="https://www.sec.gov/Archives/edgar/data/1884082/000119312522066540/d239003dex1017.htm" TargetMode="External"/><Relationship Id="rId94" Type="http://schemas.openxmlformats.org/officeDocument/2006/relationships/hyperlink" Target="https://www.sec.gov/Archives/edgar/data/1884082/000119312522023680/d239003dex1018.htm" TargetMode="External"/><Relationship Id="rId95" Type="http://schemas.openxmlformats.org/officeDocument/2006/relationships/hyperlink" Target="https://www.sec.gov/Archives/edgar/data/1884082/000119312522023680/d239003dex1019.htm" TargetMode="External"/><Relationship Id="rId96" Type="http://schemas.openxmlformats.org/officeDocument/2006/relationships/hyperlink" Target="https://www.sec.gov/Archives/edgar/data/1884082/000119312522023680/d239003dex1020.htm" TargetMode="External"/><Relationship Id="rId97" Type="http://schemas.openxmlformats.org/officeDocument/2006/relationships/hyperlink" Target="https://www.sec.gov/Archives/edgar/data/1884082/000119312522023680/d239003dex1021.htm" TargetMode="External"/><Relationship Id="rId98" Type="http://schemas.openxmlformats.org/officeDocument/2006/relationships/hyperlink" Target="https://www.sec.gov/Archives/edgar/data/1884082/000119312522023680/d239003dex1022.htm" TargetMode="External"/><Relationship Id="rId99" Type="http://schemas.openxmlformats.org/officeDocument/2006/relationships/hyperlink" Target="https://www.sec.gov/Archives/edgar/data/1884082/000119312522023680/d239003dex1023.htm" TargetMode="External"/><Relationship Id="rId100" Type="http://schemas.openxmlformats.org/officeDocument/2006/relationships/hyperlink" Target="https://www.sec.gov/Archives/edgar/data/1884082/000119312522066540/d239003dex1024.htm" TargetMode="External"/><Relationship Id="rId101" Type="http://schemas.openxmlformats.org/officeDocument/2006/relationships/hyperlink" Target="https://www.sec.gov/Archives/edgar/data/1884082/000119312522023680/d239003dex1025.htm" TargetMode="External"/><Relationship Id="rId102" Type="http://schemas.openxmlformats.org/officeDocument/2006/relationships/hyperlink" Target="https://www.sec.gov/Archives/edgar/data/1884082/000119312522023680/d239003dex1026.htm" TargetMode="External"/><Relationship Id="rId103" Type="http://schemas.openxmlformats.org/officeDocument/2006/relationships/hyperlink" Target="https://www.sec.gov/Archives/edgar/data/1884082/000119312522023680/d239003dex1027.htm" TargetMode="External"/><Relationship Id="rId106" Type="http://schemas.openxmlformats.org/officeDocument/2006/relationships/hyperlink" Target="https://www.sec.gov/Archives/edgar/data/1884082/000119312522023680/d239003dex1028.htm" TargetMode="External"/><Relationship Id="rId107" Type="http://schemas.openxmlformats.org/officeDocument/2006/relationships/hyperlink" Target="https://www.sec.gov/Archives/edgar/data/1884082/000119312522066540/d239003dex1029.htm" TargetMode="External"/><Relationship Id="rId108" Type="http://schemas.openxmlformats.org/officeDocument/2006/relationships/hyperlink" Target="https://www.sec.gov/Archives/edgar/data/1884082/000119312522066540/d239003dex1030.htm" TargetMode="External"/><Relationship Id="rId109" Type="http://schemas.openxmlformats.org/officeDocument/2006/relationships/hyperlink" Target="https://www.sec.gov/Archives/edgar/data/1884082/000119312522023680/d239003dex1031.htm" TargetMode="External"/><Relationship Id="rId110" Type="http://schemas.openxmlformats.org/officeDocument/2006/relationships/hyperlink" Target="https://www.sec.gov/Archives/edgar/data/1884082/000119312522023680/d239003dex1032.htm" TargetMode="External"/><Relationship Id="rId111" Type="http://schemas.openxmlformats.org/officeDocument/2006/relationships/hyperlink" Target="https://www.sec.gov/Archives/edgar/data/1884082/000119312522023680/d239003dex1033.htm" TargetMode="External"/><Relationship Id="rId112" Type="http://schemas.openxmlformats.org/officeDocument/2006/relationships/hyperlink" Target="https://www.sec.gov/Archives/edgar/data/1884082/000119312522023680/d239003dex1034.htm" TargetMode="External"/><Relationship Id="rId114" Type="http://schemas.openxmlformats.org/officeDocument/2006/relationships/hyperlink" Target="https://www.sec.gov/Archives/edgar/data/1884082/000119312522023680/d239003dex1035.htm" TargetMode="External"/><Relationship Id="rId115" Type="http://schemas.openxmlformats.org/officeDocument/2006/relationships/hyperlink" Target="https://www.sec.gov/Archives/edgar/data/1884082/000119312522023680/d239003dex1036.htm" TargetMode="External"/><Relationship Id="rId116" Type="http://schemas.openxmlformats.org/officeDocument/2006/relationships/hyperlink" Target="https://www.sec.gov/Archives/edgar/data/1884082/000119312522023680/d239003dex1037.htm" TargetMode="External"/><Relationship Id="rId117" Type="http://schemas.openxmlformats.org/officeDocument/2006/relationships/hyperlink" Target="https://www.sec.gov/Archives/edgar/data/1884082/000119312522023680/d239003dex1038.htm" TargetMode="External"/><Relationship Id="rId118" Type="http://schemas.openxmlformats.org/officeDocument/2006/relationships/hyperlink" Target="https://www.sec.gov/Archives/edgar/data/1884082/000119312522023680/d239003dex1039.htm" TargetMode="External"/><Relationship Id="rId119" Type="http://schemas.openxmlformats.org/officeDocument/2006/relationships/hyperlink" Target="https://www.sec.gov/Archives/edgar/data/1884082/000119312522023680/d239003dex1040.htm" TargetMode="External"/><Relationship Id="rId120" Type="http://schemas.openxmlformats.org/officeDocument/2006/relationships/hyperlink" Target="https://www.sec.gov/Archives/edgar/data/1884082/000119312522023680/d239003dex1041.htm" TargetMode="External"/><Relationship Id="rId121" Type="http://schemas.openxmlformats.org/officeDocument/2006/relationships/hyperlink" Target="https://www.sec.gov/Archives/edgar/data/1884082/000119312522023680/d239003dex1042.htm" TargetMode="External"/><Relationship Id="rId122" Type="http://schemas.openxmlformats.org/officeDocument/2006/relationships/hyperlink" Target="https://www.sec.gov/Archives/edgar/data/1884082/000119312522023680/d239003dex1043.htm" TargetMode="External"/><Relationship Id="rId123" Type="http://schemas.openxmlformats.org/officeDocument/2006/relationships/hyperlink" Target="https://www.sec.gov/Archives/edgar/data/1884082/000119312522023680/d239003dex1044.htm" TargetMode="External"/><Relationship Id="rId126" Type="http://schemas.openxmlformats.org/officeDocument/2006/relationships/hyperlink" Target="https://www.sec.gov/Archives/edgar/data/1884082/000119312522023680/d239003dex1045.htm" TargetMode="External"/><Relationship Id="rId127" Type="http://schemas.openxmlformats.org/officeDocument/2006/relationships/hyperlink" Target="https://www.sec.gov/Archives/edgar/data/1884082/000119312522023680/d239003dex1046.htm" TargetMode="External"/><Relationship Id="rId128" Type="http://schemas.openxmlformats.org/officeDocument/2006/relationships/hyperlink" Target="https://www.sec.gov/Archives/edgar/data/1884082/000119312522023680/d239003dex1047.htm" TargetMode="External"/><Relationship Id="rId129" Type="http://schemas.openxmlformats.org/officeDocument/2006/relationships/hyperlink" Target="https://www.sec.gov/Archives/edgar/data/1884082/000119312522023680/d239003dex1048.htm" TargetMode="External"/><Relationship Id="rId130" Type="http://schemas.openxmlformats.org/officeDocument/2006/relationships/hyperlink" Target="https://www.sec.gov/Archives/edgar/data/1884082/000119312522023680/d239003dex1049.htm" TargetMode="External"/><Relationship Id="rId131" Type="http://schemas.openxmlformats.org/officeDocument/2006/relationships/hyperlink" Target="https://www.sec.gov/Archives/edgar/data/1884082/000119312522023680/d239003dex1050.htm" TargetMode="External"/><Relationship Id="rId132" Type="http://schemas.openxmlformats.org/officeDocument/2006/relationships/hyperlink" Target="https://www.sec.gov/Archives/edgar/data/1884082/000119312522023680/d239003dex1052.htm" TargetMode="External"/><Relationship Id="rId133" Type="http://schemas.openxmlformats.org/officeDocument/2006/relationships/hyperlink" Target="https://www.sec.gov/Archives/edgar/data/1884082/000119312522023680/d239003dex1053.htm" TargetMode="External"/><Relationship Id="rId134" Type="http://schemas.openxmlformats.org/officeDocument/2006/relationships/hyperlink" Target="https://www.sec.gov/Archives/edgar/data/1884082/000119312522023680/d239003dex1054.htm" TargetMode="External"/><Relationship Id="rId135" Type="http://schemas.openxmlformats.org/officeDocument/2006/relationships/hyperlink" Target="https://www.sec.gov/Archives/edgar/data/1884082/000119312522023680/d239003dex1055.htm" TargetMode="External"/><Relationship Id="rId136" Type="http://schemas.openxmlformats.org/officeDocument/2006/relationships/hyperlink" Target="https://www.sec.gov/Archives/edgar/data/1884082/000119312522023680/d239003dex1056.htm" TargetMode="External"/><Relationship Id="rId137" Type="http://schemas.openxmlformats.org/officeDocument/2006/relationships/hyperlink" Target="https://www.sec.gov/Archives/edgar/data/1884082/000119312522023680/d239003dex1057.htm" TargetMode="External"/><Relationship Id="rId138" Type="http://schemas.openxmlformats.org/officeDocument/2006/relationships/hyperlink" Target="https://www.sec.gov/Archives/edgar/data/1884082/000119312522023680/d239003dex1058.htm" TargetMode="External"/><Relationship Id="rId139" Type="http://schemas.openxmlformats.org/officeDocument/2006/relationships/hyperlink" Target="https://www.sec.gov/Archives/edgar/data/1884082/000119312522023680/d239003dex1059.htm" TargetMode="External"/><Relationship Id="rId140" Type="http://schemas.openxmlformats.org/officeDocument/2006/relationships/hyperlink" Target="https://www.sec.gov/Archives/edgar/data/1884082/000119312522023680/d239003dex1060.htm" TargetMode="External"/><Relationship Id="rId143" Type="http://schemas.openxmlformats.org/officeDocument/2006/relationships/hyperlink" Target="https://www.sec.gov/Archives/edgar/data/1884082/000119312522023680/d239003dex1061.htm" TargetMode="External"/><Relationship Id="rId144" Type="http://schemas.openxmlformats.org/officeDocument/2006/relationships/hyperlink" Target="https://www.sec.gov/Archives/edgar/data/1884082/000119312522023680/d239003dex1062.htm" TargetMode="External"/><Relationship Id="rId145" Type="http://schemas.openxmlformats.org/officeDocument/2006/relationships/hyperlink" Target="https://www.sec.gov/Archives/edgar/data/1884082/000119312522023680/d239003dex1063.htm" TargetMode="External"/><Relationship Id="rId146" Type="http://schemas.openxmlformats.org/officeDocument/2006/relationships/hyperlink" Target="https://www.sec.gov/Archives/edgar/data/1884082/000119312522023680/d239003dex1064.htm" TargetMode="External"/><Relationship Id="rId147" Type="http://schemas.openxmlformats.org/officeDocument/2006/relationships/hyperlink" Target="https://www.sec.gov/Archives/edgar/data/1884082/000119312522023680/d239003dex1065.htm" TargetMode="External"/><Relationship Id="rId148" Type="http://schemas.openxmlformats.org/officeDocument/2006/relationships/hyperlink" Target="https://www.sec.gov/Archives/edgar/data/1884082/000119312522066540/d239003dex1066.htm" TargetMode="External"/><Relationship Id="rId149" Type="http://schemas.openxmlformats.org/officeDocument/2006/relationships/hyperlink" Target="https://www.sec.gov/Archives/edgar/data/1884082/000119312522023680/d239003dex1067.htm" TargetMode="External"/><Relationship Id="rId150" Type="http://schemas.openxmlformats.org/officeDocument/2006/relationships/hyperlink" Target="https://www.sec.gov/Archives/edgar/data/1884082/000119312522066540/d239003dex1068.htm" TargetMode="External"/><Relationship Id="rId151" Type="http://schemas.openxmlformats.org/officeDocument/2006/relationships/hyperlink" Target="https://www.sec.gov/Archives/edgar/data/1884082/000119312522023680/d239003dex1069.htm" TargetMode="External"/><Relationship Id="rId152" Type="http://schemas.openxmlformats.org/officeDocument/2006/relationships/hyperlink" Target="https://www.sec.gov/Archives/edgar/data/1884082/000119312522066540/d239003dex1070.htm" TargetMode="External"/><Relationship Id="rId153" Type="http://schemas.openxmlformats.org/officeDocument/2006/relationships/hyperlink" Target="https://www.sec.gov/Archives/edgar/data/1884082/000119312522066540/d239003dex1071.htm" TargetMode="External"/><Relationship Id="rId154" Type="http://schemas.openxmlformats.org/officeDocument/2006/relationships/hyperlink" Target="https://www.sec.gov/Archives/edgar/data/1884082/000119312522023680/d239003dex1072.htm" TargetMode="External"/><Relationship Id="rId155" Type="http://schemas.openxmlformats.org/officeDocument/2006/relationships/hyperlink" Target="https://www.sec.gov/Archives/edgar/data/1884082/000119312522066540/d239003dex1073.htm" TargetMode="External"/><Relationship Id="rId158" Type="http://schemas.openxmlformats.org/officeDocument/2006/relationships/hyperlink" Target="https://www.sec.gov/Archives/edgar/data/1884082/000119312522066540/d239003df4a.htm#tx239003_602" TargetMode="External"/><Relationship Id="rId159" Type="http://schemas.openxmlformats.org/officeDocument/2006/relationships/hyperlink" Target="https://www.sec.gov/Archives/edgar/data/1884082/000119312522066540/d239003dex1076.htm" TargetMode="External"/><Relationship Id="rId160" Type="http://schemas.openxmlformats.org/officeDocument/2006/relationships/hyperlink" Target="https://www.sec.gov/Archives/edgar/data/1884082/000119312522066540/d239003df4a.htm#tx239003_511" TargetMode="External"/><Relationship Id="rId161" Type="http://schemas.openxmlformats.org/officeDocument/2006/relationships/hyperlink" Target="https://www.sec.gov/Archives/edgar/data/1884082/000119312522066540/d239003df4a.htm#anxm2" TargetMode="External"/><Relationship Id="rId162" Type="http://schemas.openxmlformats.org/officeDocument/2006/relationships/hyperlink" Target="https://www.sec.gov/Archives/edgar/data/1884082/000119312522066540/d239003dex1079.htm" TargetMode="External"/><Relationship Id="rId163" Type="http://schemas.openxmlformats.org/officeDocument/2006/relationships/hyperlink" Target="https://www.sec.gov/Archives/edgar/data/1884082/000119312522066540/d239003dex1080.htm" TargetMode="External"/><Relationship Id="rId164" Type="http://schemas.openxmlformats.org/officeDocument/2006/relationships/hyperlink" Target="https://www.sec.gov/Archives/edgar/data/1884082/000119312522066540/d239003dex1081.htm" TargetMode="External"/><Relationship Id="rId165" Type="http://schemas.openxmlformats.org/officeDocument/2006/relationships/hyperlink" Target="https://www.sec.gov/Archives/edgar/data/1884082/000119312522066540/d239003dex1082.htm" TargetMode="External"/><Relationship Id="rId168" Type="http://schemas.openxmlformats.org/officeDocument/2006/relationships/hyperlink" Target="https://www.sec.gov/Archives/edgar/data/1884082/000119312522085479/d239003dex1085.htm" TargetMode="External"/><Relationship Id="rId169" Type="http://schemas.openxmlformats.org/officeDocument/2006/relationships/hyperlink" Target="https://www.sec.gov/Archives/edgar/data/1884082/000119312522085479/d239003dex1086.htm" TargetMode="External"/><Relationship Id="rId170" Type="http://schemas.openxmlformats.org/officeDocument/2006/relationships/hyperlink" Target="https://www.sec.gov/Archives/edgar/data/1884082/000119312522185122/d305041dex491.htm" TargetMode="External"/><Relationship Id="rId171" Type="http://schemas.openxmlformats.org/officeDocument/2006/relationships/hyperlink" Target="https://www.sec.gov/Archives/edgar/data/1884082/000119312522185122/d305041dex492.htm" TargetMode="External"/><Relationship Id="rId172" Type="http://schemas.openxmlformats.org/officeDocument/2006/relationships/hyperlink" Target="https://www.sec.gov/Archives/edgar/data/1884082/000119312522185122/d305041dex493.htm" TargetMode="External"/><Relationship Id="rId173" Type="http://schemas.openxmlformats.org/officeDocument/2006/relationships/hyperlink" Target="https://www.sec.gov/Archives/edgar/data/1884082/000119312522185122/d305041dex494.htm" TargetMode="External"/><Relationship Id="rId174" Type="http://schemas.openxmlformats.org/officeDocument/2006/relationships/hyperlink" Target="https://www.sec.gov/Archives/edgar/data/1884082/000119312522191881/d349361dex1091.htm" TargetMode="External"/><Relationship Id="rId175" Type="http://schemas.openxmlformats.org/officeDocument/2006/relationships/hyperlink" Target="https://www.sec.gov/Archives/edgar/data/1884082/000119312522191881/d349361dex1092.htm" TargetMode="External"/><Relationship Id="rId176" Type="http://schemas.openxmlformats.org/officeDocument/2006/relationships/hyperlink" Target="https://www.sec.gov/Archives/edgar/data/1884082/000119312522223477/d349361dex1095.htm" TargetMode="External"/><Relationship Id="rId177" Type="http://schemas.openxmlformats.org/officeDocument/2006/relationships/hyperlink" Target="https://www.sec.gov/Archives/edgar/data/1884082/000188408223000008/ex493redacted-ps21x004sa.htm" TargetMode="External"/><Relationship Id="rId178" Type="http://schemas.openxmlformats.org/officeDocument/2006/relationships/hyperlink" Target="https://www.sec.gov/Archives/edgar/data/1884082/000188408223000008/ex494redactedv2-gee22x007f.htm" TargetMode="External"/><Relationship Id="rId179" Type="http://schemas.openxmlformats.org/officeDocument/2006/relationships/hyperlink" Target="https://www.sec.gov/Archives/edgar/data/1884082/000188408223000008/ex495redacted-ps20x066fs.htm" TargetMode="External"/><Relationship Id="rId180" Type="http://schemas.openxmlformats.org/officeDocument/2006/relationships/hyperlink" Target="https://www.sec.gov/Archives/edgar/data/1884082/000188408223000008/ex496redactedv2-ps22x013.htm" TargetMode="External"/><Relationship Id="rId181" Type="http://schemas.openxmlformats.org/officeDocument/2006/relationships/hyperlink" Target="https://www.sec.gov/Archives/edgar/data/1884082/000188408223000008/ex497v2-ps22x016redacted.htm" TargetMode="External"/><Relationship Id="rId184" Type="http://schemas.openxmlformats.org/officeDocument/2006/relationships/hyperlink" Target="https://www.sec.gov/Archives/edgar/data/1884082/000188408223000008/ex498redacted-ps20x071ps.htm" TargetMode="External"/><Relationship Id="rId185" Type="http://schemas.openxmlformats.org/officeDocument/2006/relationships/hyperlink" Target="https://www.sec.gov/Archives/edgar/data/1884082/000119312522276986/d377976dex101.htm" TargetMode="External"/><Relationship Id="rId186" Type="http://schemas.openxmlformats.org/officeDocument/2006/relationships/hyperlink" Target="https://www.sec.gov/Archives/edgar/data/1884082/000188408223000008/ex-4x100redactedv2xamend.htm" TargetMode="External"/><Relationship Id="rId187" Type="http://schemas.openxmlformats.org/officeDocument/2006/relationships/hyperlink" Target="https://www.sec.gov/Archives/edgar/data/1884082/000188408223000008/ex4101redacted-ps22x012a.htm" TargetMode="External"/><Relationship Id="rId188" Type="http://schemas.openxmlformats.org/officeDocument/2006/relationships/hyperlink" Target="https://www.sec.gov/Archives/edgar/data/1884082/000188408223000008/ex4102redacted-ps20x072a.htm" TargetMode="External"/><Relationship Id="rId189" Type="http://schemas.openxmlformats.org/officeDocument/2006/relationships/hyperlink" Target="https://www.sec.gov/Archives/edgar/data/1884082/000188408224000008/ex4103-gee21x009servicea.htm" TargetMode="External"/><Relationship Id="rId190" Type="http://schemas.openxmlformats.org/officeDocument/2006/relationships/hyperlink" Target="https://www.sec.gov/Archives/edgar/data/1884082/000188408224000008/ex4104-gee22x004servicea.htm" TargetMode="External"/><Relationship Id="rId191" Type="http://schemas.openxmlformats.org/officeDocument/2006/relationships/hyperlink" Target="https://www.sec.gov/Archives/edgar/data/1884082/000188408224000008/ex4105-gee23x001terminat.htm" TargetMode="External"/><Relationship Id="rId192" Type="http://schemas.openxmlformats.org/officeDocument/2006/relationships/hyperlink" Target="https://www.sec.gov/Archives/edgar/data/1884082/000188408224000008/ex4106-gee23x006redacted.htm" TargetMode="External"/><Relationship Id="rId193" Type="http://schemas.openxmlformats.org/officeDocument/2006/relationships/hyperlink" Target="https://www.sec.gov/Archives/edgar/data/1884082/000188408224000008/ex4107-gee23x008.htm" TargetMode="External"/><Relationship Id="rId194" Type="http://schemas.openxmlformats.org/officeDocument/2006/relationships/hyperlink" Target="https://www.sec.gov/Archives/edgar/data/1884082/000188408224000008/ex4108-gee23x014projectp.htm" TargetMode="External"/><Relationship Id="rId195" Type="http://schemas.openxmlformats.org/officeDocument/2006/relationships/hyperlink" Target="https://www.sec.gov/Archives/edgar/data/1884082/000188408224000008/ex4109-gee23x015manufact.htm" TargetMode="External"/><Relationship Id="rId198" Type="http://schemas.openxmlformats.org/officeDocument/2006/relationships/hyperlink" Target="https://www.sec.gov/Archives/edgar/data/1884082/000188408224000008/ex4110-gee23x016manufact.htm" TargetMode="External"/><Relationship Id="rId199" Type="http://schemas.openxmlformats.org/officeDocument/2006/relationships/hyperlink" Target="https://www.sec.gov/Archives/edgar/data/1884082/000188408224000008/ex4111-gee23x017amendmen.htm" TargetMode="External"/><Relationship Id="rId200" Type="http://schemas.openxmlformats.org/officeDocument/2006/relationships/hyperlink" Target="https://www.sec.gov/Archives/edgar/data/1884082/000188408224000008/ex4112-ge23x018serviceag.htm" TargetMode="External"/><Relationship Id="rId201" Type="http://schemas.openxmlformats.org/officeDocument/2006/relationships/hyperlink" Target="https://www.sec.gov/Archives/edgar/data/1884082/000188408224000008/ex4113-gee23x022threepar.htm" TargetMode="External"/><Relationship Id="rId202" Type="http://schemas.openxmlformats.org/officeDocument/2006/relationships/hyperlink" Target="https://www.sec.gov/Archives/edgar/data/1884082/000188408224000008/ex4114-gee23x030redacted.htm" TargetMode="External"/><Relationship Id="rId203" Type="http://schemas.openxmlformats.org/officeDocument/2006/relationships/hyperlink" Target="https://www.sec.gov/Archives/edgar/data/1884082/000188408224000008/ex4115-gee23x031suppleme.htm" TargetMode="External"/><Relationship Id="rId204" Type="http://schemas.openxmlformats.org/officeDocument/2006/relationships/hyperlink" Target="https://www.sec.gov/Archives/edgar/data/1884082/000188408224000008/ex4116-gee23x032brandlic.htm" TargetMode="External"/><Relationship Id="rId205" Type="http://schemas.openxmlformats.org/officeDocument/2006/relationships/hyperlink" Target="https://www.sec.gov/Archives/edgar/data/1884082/000188408224000008/ex4117-gee23x033vehicles.htm" TargetMode="External"/><Relationship Id="rId206" Type="http://schemas.openxmlformats.org/officeDocument/2006/relationships/hyperlink" Target="https://www.sec.gov/Archives/edgar/data/1884082/000188408224000008/ex4118-gee23x034transiti.htm" TargetMode="External"/><Relationship Id="rId207" Type="http://schemas.openxmlformats.org/officeDocument/2006/relationships/hyperlink" Target="https://www.sec.gov/Archives/edgar/data/1884082/000188408224000011/ex4119-ps23x113amendment.htm" TargetMode="External"/><Relationship Id="rId208" Type="http://schemas.openxmlformats.org/officeDocument/2006/relationships/hyperlink" Target="https://www.sec.gov/Archives/edgar/data/1884082/000188408224000011/ex4120-gee24x017amendmen.htm" TargetMode="External"/><Relationship Id="rId209" Type="http://schemas.openxmlformats.org/officeDocument/2006/relationships/hyperlink" Target="https://www.sec.gov/Archives/edgar/data/1884082/000188408224000011/ex4121-gee24x033amendmen.htm" TargetMode="External"/><Relationship Id="rId210" Type="http://schemas.openxmlformats.org/officeDocument/2006/relationships/hyperlink" Target="https://www.sec.gov/Archives/edgar/data/1884082/000188408224000011/ex4122-ps23x110supplemen.htm" TargetMode="External"/><Relationship Id="rId213" Type="http://schemas.openxmlformats.org/officeDocument/2006/relationships/hyperlink" Target="https://www.sec.gov/Archives/edgar/data/1884082/000188408224000011/ex4123-gee24x024amendmen.htm" TargetMode="External"/><Relationship Id="rId214" Type="http://schemas.openxmlformats.org/officeDocument/2006/relationships/hyperlink" Target="https://www.sec.gov/Archives/edgar/data/1884082/000188408224000011/ex4124-gee23x045ttandppv.htm" TargetMode="External"/><Relationship Id="rId215" Type="http://schemas.openxmlformats.org/officeDocument/2006/relationships/hyperlink" Target="https://www.sec.gov/Archives/edgar/data/1884082/000188408224000011/ex4125-gee23x046ttandppv.htm" TargetMode="External"/><Relationship Id="rId216" Type="http://schemas.openxmlformats.org/officeDocument/2006/relationships/hyperlink" Target="https://www.sec.gov/Archives/edgar/data/1884082/000188408224000011/ex4126-gee24x016.htm" TargetMode="External"/><Relationship Id="rId217" Type="http://schemas.openxmlformats.org/officeDocument/2006/relationships/hyperlink" Target="https://www.sec.gov/Archives/edgar/data/1884082/000188408224000008/ex4127-lot22x001prototyp.htm" TargetMode="External"/><Relationship Id="rId218" Type="http://schemas.openxmlformats.org/officeDocument/2006/relationships/hyperlink" Target="https://www.sec.gov/Archives/edgar/data/1884082/000188408224000008/ex4128-lot22x002prototyp.htm" TargetMode="External"/><Relationship Id="rId219" Type="http://schemas.openxmlformats.org/officeDocument/2006/relationships/hyperlink" Target="https://www.sec.gov/Archives/edgar/data/1884082/000188408224000008/ex4129-lot23x002toolings.htm" TargetMode="External"/><Relationship Id="rId220" Type="http://schemas.openxmlformats.org/officeDocument/2006/relationships/hyperlink" Target="https://www.sec.gov/Archives/edgar/data/1884082/000188408224000008/ex4130-lot23x003knowhowt.htm" TargetMode="External"/><Relationship Id="rId221" Type="http://schemas.openxmlformats.org/officeDocument/2006/relationships/hyperlink" Target="https://www.sec.gov/Archives/edgar/data/1884082/000188408224000008/ex4131-rkm23x002redacted.htm" TargetMode="External"/><Relationship Id="rId222" Type="http://schemas.openxmlformats.org/officeDocument/2006/relationships/hyperlink" Target="https://www.sec.gov/Archives/edgar/data/1884082/000188408224000011/ex4132-ps21x071vcchprepa.htm" TargetMode="External"/><Relationship Id="rId223" Type="http://schemas.openxmlformats.org/officeDocument/2006/relationships/hyperlink" Target="https://www.sec.gov/Archives/edgar/data/1884082/000188408224000011/ex4133-ps21x072vcchprepa.htm" TargetMode="External"/><Relationship Id="rId224" Type="http://schemas.openxmlformats.org/officeDocument/2006/relationships/hyperlink" Target="https://www.sec.gov/Archives/edgar/data/1884082/000188408224000011/ex4134-ps22x048outsourci.htm" TargetMode="External"/><Relationship Id="rId225" Type="http://schemas.openxmlformats.org/officeDocument/2006/relationships/hyperlink" Target="https://www.sec.gov/Archives/edgar/data/1884082/000188408224000011/ex4135-ps22x049manufactu.htm" TargetMode="External"/><Relationship Id="rId226" Type="http://schemas.openxmlformats.org/officeDocument/2006/relationships/hyperlink" Target="https://www.sec.gov/Archives/edgar/data/1884082/000188408224000011/ex4136-ps22x050manufactu.htm" TargetMode="External"/><Relationship Id="rId227" Type="http://schemas.openxmlformats.org/officeDocument/2006/relationships/hyperlink" Target="https://www.sec.gov/Archives/edgar/data/1884082/000188408224000008/ex4137-ps22x059launchveh.htm" TargetMode="External"/><Relationship Id="rId230" Type="http://schemas.openxmlformats.org/officeDocument/2006/relationships/hyperlink" Target="https://www.sec.gov/Archives/edgar/data/1884082/000188408224000008/ex4138-ps23x006redacted.htm" TargetMode="External"/><Relationship Id="rId231" Type="http://schemas.openxmlformats.org/officeDocument/2006/relationships/hyperlink" Target="https://www.sec.gov/Archives/edgar/data/1884082/000188408224000008/ex4139-ps23x015modelyear.htm" TargetMode="External"/><Relationship Id="rId232" Type="http://schemas.openxmlformats.org/officeDocument/2006/relationships/hyperlink" Target="https://www.sec.gov/Archives/edgar/data/1884082/000188408224000008/ex4140-ps23x016appendmen.htm" TargetMode="External"/><Relationship Id="rId233" Type="http://schemas.openxmlformats.org/officeDocument/2006/relationships/hyperlink" Target="https://www.sec.gov/Archives/edgar/data/1884082/000188408224000011/ex4141-ps23x023amendment.htm" TargetMode="External"/><Relationship Id="rId234" Type="http://schemas.openxmlformats.org/officeDocument/2006/relationships/hyperlink" Target="https://www.sec.gov/Archives/edgar/data/1884082/000188408224000008/ex4142-ps23x025launchveh.htm" TargetMode="External"/><Relationship Id="rId235" Type="http://schemas.openxmlformats.org/officeDocument/2006/relationships/hyperlink" Target="https://www.sec.gov/Archives/edgar/data/1884082/000188408224000011/ex4143-ps23x053toolingan.htm" TargetMode="External"/><Relationship Id="rId236" Type="http://schemas.openxmlformats.org/officeDocument/2006/relationships/hyperlink" Target="https://www.sec.gov/Archives/edgar/data/1884082/000188408224000008/ex4144-ps23x071restatedl.htm" TargetMode="External"/><Relationship Id="rId237" Type="http://schemas.openxmlformats.org/officeDocument/2006/relationships/hyperlink" Target="https://www.sec.gov/Archives/edgar/data/1884082/000188408224000008/ex4145-ps23x072restatedc.htm" TargetMode="External"/><Relationship Id="rId238" Type="http://schemas.openxmlformats.org/officeDocument/2006/relationships/hyperlink" Target="https://www.sec.gov/Archives/edgar/data/1884082/000188408224000008/ex4146-ps23x074restateds.htm" TargetMode="External"/><Relationship Id="rId239" Type="http://schemas.openxmlformats.org/officeDocument/2006/relationships/hyperlink" Target="https://www.sec.gov/Archives/edgar/data/1884082/000188408224000008/ex4147-ps23x076amendment.htm" TargetMode="External"/><Relationship Id="rId240" Type="http://schemas.openxmlformats.org/officeDocument/2006/relationships/hyperlink" Target="https://www.sec.gov/Archives/edgar/data/1884082/000188408224000008/ex4148-ps23x083launchveh.htm" TargetMode="External"/><Relationship Id="rId241" Type="http://schemas.openxmlformats.org/officeDocument/2006/relationships/hyperlink" Target="https://www.sec.gov/Archives/edgar/data/1884082/000188408224000008/ex4149-ps23x086framework.htm" TargetMode="External"/><Relationship Id="rId242" Type="http://schemas.openxmlformats.org/officeDocument/2006/relationships/hyperlink" Target="https://www.sec.gov/Archives/edgar/data/1884082/000188408224000008/ex4150-ps23x088cafeemiss.htm" TargetMode="External"/><Relationship Id="rId243" Type="http://schemas.openxmlformats.org/officeDocument/2006/relationships/hyperlink" Target="https://www.sec.gov/Archives/edgar/data/1884082/000188408224000008/ex4151-ps23x089redacted.htm" TargetMode="External"/><Relationship Id="rId246" Type="http://schemas.openxmlformats.org/officeDocument/2006/relationships/hyperlink" Target="https://www.sec.gov/Archives/edgar/data/1884082/000188408224000008/ex4152-ps23x093amendment.htm" TargetMode="External"/><Relationship Id="rId247" Type="http://schemas.openxmlformats.org/officeDocument/2006/relationships/hyperlink" Target="https://www.sec.gov/Archives/edgar/data/1884082/000188408224000008/ex4153-ps23x094amendment.htm" TargetMode="External"/><Relationship Id="rId248" Type="http://schemas.openxmlformats.org/officeDocument/2006/relationships/hyperlink" Target="https://www.sec.gov/Archives/edgar/data/1884082/000188408224000008/ex4154-ps23x099redacted.htm" TargetMode="External"/><Relationship Id="rId249" Type="http://schemas.openxmlformats.org/officeDocument/2006/relationships/hyperlink" Target="https://www.sec.gov/Archives/edgar/data/1884082/000188408224000008/ex4155-ps23x103amendment.htm" TargetMode="External"/><Relationship Id="rId250" Type="http://schemas.openxmlformats.org/officeDocument/2006/relationships/hyperlink" Target="https://www.sec.gov/Archives/edgar/data/1884082/000188408224000011/ex4156-ps23x108amendment.htm" TargetMode="External"/><Relationship Id="rId251" Type="http://schemas.openxmlformats.org/officeDocument/2006/relationships/hyperlink" Target="https://www.sec.gov/Archives/edgar/data/1884082/000188408224000011/ex4157-ps23x111serviceag.htm" TargetMode="External"/><Relationship Id="rId252" Type="http://schemas.openxmlformats.org/officeDocument/2006/relationships/hyperlink" Target="https://www.sec.gov/Archives/edgar/data/1884082/000188408224000011/ex4158-partneragreementv.htm" TargetMode="External"/><Relationship Id="rId253" Type="http://schemas.openxmlformats.org/officeDocument/2006/relationships/hyperlink" Target="https://www.sec.gov/Archives/edgar/data/1884082/000188408224000011/ex4159-ps23x112serviceag.htm" TargetMode="External"/><Relationship Id="rId254" Type="http://schemas.openxmlformats.org/officeDocument/2006/relationships/hyperlink" Target="https://www.sec.gov/Archives/edgar/data/1884082/000119312523273538/d556011dex101.htm" TargetMode="External"/><Relationship Id="rId255" Type="http://schemas.openxmlformats.org/officeDocument/2006/relationships/hyperlink" Target="https://www.sec.gov/Archives/edgar/data/1884082/000119312523273538/d556011dex102.htm" TargetMode="External"/><Relationship Id="rId256" Type="http://schemas.openxmlformats.org/officeDocument/2006/relationships/hyperlink" Target="https://www.sec.gov/Archives/edgar/data/1884082/000119312523169493/d484116dex992.htm" TargetMode="External"/><Relationship Id="rId257" Type="http://schemas.openxmlformats.org/officeDocument/2006/relationships/hyperlink" Target="https://www.sec.gov/Archives/edgar/data/1884082/000119312523169493/d484116dex993.htm" TargetMode="External"/><Relationship Id="rId258" Type="http://schemas.openxmlformats.org/officeDocument/2006/relationships/hyperlink" Target="https://www.sec.gov/Archives/edgar/data/1884082/000188408224000008/ex4164-polestarxrraamend.htm" TargetMode="External"/><Relationship Id="rId259" Type="http://schemas.openxmlformats.org/officeDocument/2006/relationships/hyperlink" Target="https://www.sec.gov/Archives/edgar/data/1884082/000119312524049439/d761964dex101.htm" TargetMode="External"/><Relationship Id="rId262" Type="http://schemas.openxmlformats.org/officeDocument/2006/relationships/hyperlink" Target="https://www.sec.gov/Archives/edgar/data/1884082/000188408224000011/ex4166-polestarjvxrelate.htm" TargetMode="External"/><Relationship Id="rId263" Type="http://schemas.openxmlformats.org/officeDocument/2006/relationships/hyperlink" Target="https://www.sec.gov/Archives/edgar/data/1884082/000188408224000011/ex4167-ps24x009amendment.htm" TargetMode="External"/><Relationship Id="rId264" Type="http://schemas.openxmlformats.org/officeDocument/2006/relationships/hyperlink" Target="https://www.sec.gov/Archives/edgar/data/1884082/000188408224000011/ex4168-gee24x007amendmen.htm" TargetMode="External"/><Relationship Id="rId265" Type="http://schemas.openxmlformats.org/officeDocument/2006/relationships/hyperlink" Target="https://www.sec.gov/Archives/edgar/data/1884082/000188408224000011/ex4169-gee23x025p417spar.htm" TargetMode="External"/><Relationship Id="rId266" Type="http://schemas.openxmlformats.org/officeDocument/2006/relationships/hyperlink" Target="https://www.sec.gov/Archives/edgar/data/1884082/000188408224000011/ex4170-vol24x003variatio.htm" TargetMode="External"/><Relationship Id="rId267" Type="http://schemas.openxmlformats.org/officeDocument/2006/relationships/hyperlink" Target="https://www.sec.gov/Archives/edgar/data/1884082/000188408224000011/ex4171-ps24x045commitmen.htm" TargetMode="External"/><Relationship Id="rId268" Type="http://schemas.openxmlformats.org/officeDocument/2006/relationships/hyperlink" Target="https://www.sec.gov/Archives/edgar/data/1884082/000188408224000008/ex4172-vol21x007variatio.htm" TargetMode="External"/><Relationship Id="rId269" Type="http://schemas.openxmlformats.org/officeDocument/2006/relationships/hyperlink" Target="https://www.sec.gov/Archives/edgar/data/1884082/000188408224000008/ex4173-vol23x022vcfuk_po.htm" TargetMode="External"/><Relationship Id="rId270" Type="http://schemas.openxmlformats.org/officeDocument/2006/relationships/hyperlink" Target="https://www.sec.gov/Archives/edgar/data/1884082/000188408224000008/ex81-subsidiarylist.htm" TargetMode="External"/><Relationship Id="rId271" Type="http://schemas.openxmlformats.org/officeDocument/2006/relationships/hyperlink" Target="https://www.sec.gov/Archives/edgar/data/1884082/000188408224000008/ex971-compensationclaw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2025-04-23T16:41:42Z</dcterms:created>
  <dcterms:modified xsi:type="dcterms:W3CDTF">2025-04-23T16:41:42Z</dcterms:modified>
</cp:coreProperties>
</file>