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On June 28, 2023, Polestar Automotive Holding UK PLC (“Polestar”) held its 2023 annual general meeting of shareholders (the “AGM”). At the AGM, shares, represented by American depositary shares (“ADSs”) and having the power to submit 16,637,754,920 votes, were represented in person or by proxy and constituted a quorum for transacting business at the AGM.</w:t>
      </w:r>
    </w:p>
    <w:p>
      <w:pPr>
        <w:spacing w:after="0" w:line="18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Voting at the AGM was conducted by way of a poll, with each Class A ordinary share, Class C-1 ordinary share and Class C-2 ordinary share, which were represented by ADSs, issued and outstanding as of the close of business on the record date entitled to one (1) vote, and each Class B ordinary share, which were represented by ADSs, issued and outstanding as of the close of business on the record date, entitled to ten (10) votes, respectively, on each resolution at the AGM.</w:t>
      </w:r>
    </w:p>
    <w:p>
      <w:pPr>
        <w:spacing w:after="0" w:line="18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The following are the voting results for the proposals considered and voted upon at the AGM, with resolutions 1 to 8 being ordinary resolutions that required more than 50% of shareholders’ votes to be cast in favor and resolutions 9 and 10 being special resolutions that required at least 75% of shareholders’ votes to be cast in favor:</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Resolutions</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Votes For</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3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Votes Withheld</w:t>
            </w:r>
          </w:p>
        </w:tc>
      </w:tr>
      <w:tr>
        <w:trPr>
          <w:trHeight w:val="175"/>
        </w:trPr>
        <w:tc>
          <w:tcPr>
            <w:tcW w:w="3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85"/>
              </w:rPr>
              <w:t>To</w:t>
            </w:r>
          </w:p>
        </w:tc>
        <w:tc>
          <w:tcPr>
            <w:tcW w:w="5760" w:type="dxa"/>
            <w:vAlign w:val="bottom"/>
            <w:tcBorders>
              <w:top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receive the Company’s annual report and audited financial statements for</w:t>
            </w: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20" w:type="dxa"/>
            <w:vAlign w:val="bottom"/>
            <w:shd w:val="clear" w:color="auto" w:fill="CCEEFF"/>
          </w:tcPr>
          <w:p>
            <w:pPr>
              <w:spacing w:after="0"/>
              <w:rPr>
                <w:sz w:val="20"/>
                <w:szCs w:val="20"/>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period ended 31 December 2022.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16,637,324,000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368,740</w:t>
            </w:r>
          </w:p>
        </w:tc>
        <w:tc>
          <w:tcPr>
            <w:tcW w:w="40" w:type="dxa"/>
            <w:vAlign w:val="bottom"/>
            <w:shd w:val="clear" w:color="auto" w:fill="CCEEFF"/>
          </w:tcPr>
          <w:p>
            <w:pPr>
              <w:spacing w:after="0"/>
              <w:rPr>
                <w:sz w:val="20"/>
                <w:szCs w:val="20"/>
                <w:color w:val="auto"/>
              </w:rPr>
            </w:pPr>
          </w:p>
        </w:tc>
      </w:tr>
    </w:tbl>
    <w:p>
      <w:pPr>
        <w:ind w:left="940" w:hanging="503"/>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and approve the Directors’ Remuneration Report for the period</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ended 31 December 2022.</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16,636,803,091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446,908</w:t>
            </w:r>
          </w:p>
        </w:tc>
        <w:tc>
          <w:tcPr>
            <w:tcW w:w="960" w:type="dxa"/>
            <w:vAlign w:val="bottom"/>
          </w:tcPr>
          <w:p>
            <w:pPr>
              <w:jc w:val="right"/>
              <w:spacing w:after="0"/>
              <w:rPr>
                <w:sz w:val="20"/>
                <w:szCs w:val="20"/>
                <w:color w:val="auto"/>
              </w:rPr>
            </w:pPr>
            <w:r>
              <w:rPr>
                <w:rFonts w:ascii="Arial" w:cs="Arial" w:eastAsia="Arial" w:hAnsi="Arial"/>
                <w:sz w:val="18"/>
                <w:szCs w:val="18"/>
                <w:color w:val="auto"/>
              </w:rPr>
              <w:t>504,921</w:t>
            </w:r>
          </w:p>
        </w:tc>
      </w:tr>
      <w:tr>
        <w:trPr>
          <w:trHeight w:val="216"/>
        </w:trPr>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3.</w:t>
            </w: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receive and approve the Remuneration Policy.</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16,636,647,588</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508,011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599,321</w:t>
            </w:r>
          </w:p>
        </w:tc>
      </w:tr>
      <w:tr>
        <w:trPr>
          <w:trHeight w:val="21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5680" w:type="dxa"/>
            <w:vAlign w:val="bottom"/>
          </w:tcPr>
          <w:p>
            <w:pPr>
              <w:ind w:left="180"/>
              <w:spacing w:after="0"/>
              <w:rPr>
                <w:sz w:val="20"/>
                <w:szCs w:val="20"/>
                <w:color w:val="auto"/>
              </w:rPr>
            </w:pPr>
            <w:r>
              <w:rPr>
                <w:rFonts w:ascii="Arial" w:cs="Arial" w:eastAsia="Arial" w:hAnsi="Arial"/>
                <w:sz w:val="18"/>
                <w:szCs w:val="18"/>
                <w:color w:val="auto"/>
              </w:rPr>
              <w:t>To elect Mr Thomas Ingenlath as a Director.</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16,634,738,555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2,603,536</w:t>
            </w:r>
          </w:p>
        </w:tc>
        <w:tc>
          <w:tcPr>
            <w:tcW w:w="960" w:type="dxa"/>
            <w:vAlign w:val="bottom"/>
          </w:tcPr>
          <w:p>
            <w:pPr>
              <w:jc w:val="right"/>
              <w:spacing w:after="0"/>
              <w:rPr>
                <w:sz w:val="20"/>
                <w:szCs w:val="20"/>
                <w:color w:val="auto"/>
              </w:rPr>
            </w:pPr>
            <w:r>
              <w:rPr>
                <w:rFonts w:ascii="Arial" w:cs="Arial" w:eastAsia="Arial" w:hAnsi="Arial"/>
                <w:sz w:val="18"/>
                <w:szCs w:val="18"/>
                <w:color w:val="auto"/>
              </w:rPr>
              <w:t>412,829</w:t>
            </w:r>
          </w:p>
        </w:tc>
      </w:tr>
      <w:tr>
        <w:trPr>
          <w:trHeight w:val="216"/>
        </w:trPr>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5.</w:t>
            </w: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elect Mr Donghui (Daniel) Li as a Director.</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16,634,615,520</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2,659,398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480,002</w:t>
            </w:r>
          </w:p>
        </w:tc>
      </w:tr>
      <w:tr>
        <w:trPr>
          <w:trHeight w:val="21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6.</w:t>
            </w:r>
          </w:p>
        </w:tc>
        <w:tc>
          <w:tcPr>
            <w:tcW w:w="5680" w:type="dxa"/>
            <w:vAlign w:val="bottom"/>
          </w:tcPr>
          <w:p>
            <w:pPr>
              <w:ind w:left="180"/>
              <w:spacing w:after="0"/>
              <w:rPr>
                <w:sz w:val="20"/>
                <w:szCs w:val="20"/>
                <w:color w:val="auto"/>
              </w:rPr>
            </w:pPr>
            <w:r>
              <w:rPr>
                <w:rFonts w:ascii="Arial" w:cs="Arial" w:eastAsia="Arial" w:hAnsi="Arial"/>
                <w:sz w:val="18"/>
                <w:szCs w:val="18"/>
                <w:color w:val="auto"/>
              </w:rPr>
              <w:t>To elect Mr David Richter as a Director.</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16,636,902,659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346,802</w:t>
            </w:r>
          </w:p>
        </w:tc>
        <w:tc>
          <w:tcPr>
            <w:tcW w:w="960" w:type="dxa"/>
            <w:vAlign w:val="bottom"/>
          </w:tcPr>
          <w:p>
            <w:pPr>
              <w:jc w:val="right"/>
              <w:spacing w:after="0"/>
              <w:rPr>
                <w:sz w:val="20"/>
                <w:szCs w:val="20"/>
                <w:color w:val="auto"/>
              </w:rPr>
            </w:pPr>
            <w:r>
              <w:rPr>
                <w:rFonts w:ascii="Arial" w:cs="Arial" w:eastAsia="Arial" w:hAnsi="Arial"/>
                <w:sz w:val="18"/>
                <w:szCs w:val="18"/>
                <w:color w:val="auto"/>
              </w:rPr>
              <w:t>505,459</w:t>
            </w:r>
          </w:p>
        </w:tc>
      </w:tr>
      <w:tr>
        <w:trPr>
          <w:trHeight w:val="216"/>
        </w:trPr>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7.</w:t>
            </w: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appoint Deloitte LLP and Deloitte AB as auditor of the Company.</w:t>
            </w: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16,637,111,758</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177,959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465,203</w:t>
            </w:r>
          </w:p>
        </w:tc>
      </w:tr>
    </w:tbl>
    <w:p>
      <w:pPr>
        <w:ind w:left="940" w:hanging="50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authorise the Audit Committee to determine the remuneration of the</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Auditor.</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16,637,099,570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169,503</w:t>
            </w:r>
          </w:p>
        </w:tc>
        <w:tc>
          <w:tcPr>
            <w:tcW w:w="960" w:type="dxa"/>
            <w:vAlign w:val="bottom"/>
          </w:tcPr>
          <w:p>
            <w:pPr>
              <w:jc w:val="right"/>
              <w:spacing w:after="0"/>
              <w:rPr>
                <w:sz w:val="20"/>
                <w:szCs w:val="20"/>
                <w:color w:val="auto"/>
              </w:rPr>
            </w:pPr>
            <w:r>
              <w:rPr>
                <w:rFonts w:ascii="Arial" w:cs="Arial" w:eastAsia="Arial" w:hAnsi="Arial"/>
                <w:sz w:val="18"/>
                <w:szCs w:val="18"/>
                <w:color w:val="auto"/>
              </w:rPr>
              <w:t>485,847</w:t>
            </w:r>
          </w:p>
        </w:tc>
      </w:tr>
      <w:tr>
        <w:trPr>
          <w:trHeight w:val="216"/>
        </w:trPr>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9.</w:t>
            </w: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authorise the Company to purchase its own ordinary shares.</w:t>
            </w:r>
          </w:p>
        </w:tc>
        <w:tc>
          <w:tcPr>
            <w:tcW w:w="2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16,636,954,155</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454,229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346,536</w:t>
            </w:r>
          </w:p>
        </w:tc>
      </w:tr>
    </w:tbl>
    <w:p>
      <w:pPr>
        <w:ind w:left="940" w:hanging="503"/>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authorise the calling of general meetings of the Company (not being an</w:t>
      </w:r>
    </w:p>
    <w:p>
      <w:pPr>
        <w:spacing w:after="0" w:line="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annual general meeting) by notice of at least 14 clear days.</w:t>
            </w: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16,637,283,862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125,746</w:t>
            </w:r>
          </w:p>
        </w:tc>
        <w:tc>
          <w:tcPr>
            <w:tcW w:w="920" w:type="dxa"/>
            <w:vAlign w:val="bottom"/>
          </w:tcPr>
          <w:p>
            <w:pPr>
              <w:jc w:val="right"/>
              <w:spacing w:after="0"/>
              <w:rPr>
                <w:sz w:val="20"/>
                <w:szCs w:val="20"/>
                <w:color w:val="auto"/>
              </w:rPr>
            </w:pPr>
            <w:r>
              <w:rPr>
                <w:rFonts w:ascii="Arial" w:cs="Arial" w:eastAsia="Arial" w:hAnsi="Arial"/>
                <w:sz w:val="18"/>
                <w:szCs w:val="18"/>
                <w:color w:val="auto"/>
              </w:rPr>
              <w:t>345,312</w:t>
            </w:r>
          </w:p>
        </w:tc>
      </w:tr>
    </w:tbl>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Based on the foregoing votes, the shareholders approved all of the proposals. The results were in line with the recommendations made by Polestar’s board of directors.</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As of the record date, Polestar had the following shares in issue with a total of 16,915,075,888 voting rights: (i) 467,740,173 Class A ordinary shares each carrying one (1) vote per share; (ii) 1,642,233,575 Class B ordinary shares each carrying ten (10) votes per share;(iii) 20,499,965 Class C-1 ordinary shares each carrying one (1) vote per share; and (iv) 4,500,000 Class C-2 ordinary shares each carrying one (1) vote per share.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486" w:right="559" w:bottom="1440" w:gutter="0" w:footer="0" w:header="0"/>
        </w:sectPr>
      </w:pPr>
    </w:p>
    <w:bookmarkStart w:id="2" w:name="page3"/>
    <w:bookmarkEnd w:id="2"/>
    <w:p>
      <w:pPr>
        <w:jc w:val="both"/>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As of the record date, Polestar held no ordinary shares in treasury. A vote withheld is not counted in the calculation of the votes for or against a resolution. Votes ‘For’ include those votes giving Polestar’s Chairman discretion.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contained in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440" w:top="490" w:right="7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June 28, 2023</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Thoomas Ingenlath</w:t>
            </w:r>
          </w:p>
        </w:tc>
      </w:tr>
      <w:tr>
        <w:trPr>
          <w:trHeight w:val="195"/>
        </w:trPr>
        <w:tc>
          <w:tcPr>
            <w:tcW w:w="3420" w:type="dxa"/>
            <w:vAlign w:val="bottom"/>
          </w:tcPr>
          <w:p>
            <w:pPr>
              <w:spacing w:after="0"/>
              <w:rPr>
                <w:sz w:val="16"/>
                <w:szCs w:val="16"/>
                <w:color w:val="auto"/>
              </w:rPr>
            </w:pPr>
          </w:p>
        </w:tc>
        <w:tc>
          <w:tcPr>
            <w:tcW w:w="26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2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4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32"/>
        </w:trPr>
        <w:tc>
          <w:tcPr>
            <w:tcW w:w="34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Johan Malmqvist</w:t>
            </w:r>
          </w:p>
        </w:tc>
      </w:tr>
      <w:tr>
        <w:trPr>
          <w:trHeight w:val="195"/>
        </w:trPr>
        <w:tc>
          <w:tcPr>
            <w:tcW w:w="3420" w:type="dxa"/>
            <w:vAlign w:val="bottom"/>
          </w:tcPr>
          <w:p>
            <w:pPr>
              <w:spacing w:after="0"/>
              <w:rPr>
                <w:sz w:val="16"/>
                <w:szCs w:val="16"/>
                <w:color w:val="auto"/>
              </w:rPr>
            </w:pPr>
          </w:p>
        </w:tc>
        <w:tc>
          <w:tcPr>
            <w:tcW w:w="26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2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4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365"/>
        </w:trPr>
        <w:tc>
          <w:tcPr>
            <w:tcW w:w="342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1."/>
      <w:numFmt w:val="decimal"/>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2023-06-28T08:04:21Z</dcterms:created>
  <dcterms:modified xsi:type="dcterms:W3CDTF">2023-06-28T08:04:21Z</dcterms:modified>
</cp:coreProperties>
</file>