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0"/>
        <w:spacing w:after="0"/>
        <w:rPr>
          <w:sz w:val="20"/>
          <w:szCs w:val="20"/>
          <w:color w:val="auto"/>
        </w:rPr>
      </w:pPr>
      <w:r>
        <w:rPr>
          <w:rFonts w:ascii="Arial" w:cs="Arial" w:eastAsia="Arial" w:hAnsi="Arial"/>
          <w:sz w:val="18"/>
          <w:szCs w:val="18"/>
          <w:b w:val="1"/>
          <w:bCs w:val="1"/>
          <w:color w:val="auto"/>
        </w:rPr>
        <w:t>Filed pursuant to Rule 424(b)(3)</w:t>
      </w:r>
    </w:p>
    <w:p>
      <w:pPr>
        <w:spacing w:after="0" w:line="2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333-266101</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1</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Prospectus dated July 17, 2023)</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Polestar Automotive Holding UK PLC</w:t>
      </w:r>
    </w:p>
    <w:p>
      <w:pPr>
        <w:spacing w:after="0" w:line="238" w:lineRule="exact"/>
        <w:rPr>
          <w:sz w:val="24"/>
          <w:szCs w:val="24"/>
          <w:color w:val="auto"/>
        </w:rPr>
      </w:pPr>
    </w:p>
    <w:p>
      <w:pPr>
        <w:jc w:val="center"/>
        <w:ind w:right="20"/>
        <w:spacing w:after="0" w:line="253" w:lineRule="auto"/>
        <w:rPr>
          <w:sz w:val="20"/>
          <w:szCs w:val="20"/>
          <w:color w:val="auto"/>
        </w:rPr>
      </w:pPr>
      <w:r>
        <w:rPr>
          <w:rFonts w:ascii="Arial" w:cs="Arial" w:eastAsia="Arial" w:hAnsi="Arial"/>
          <w:sz w:val="25"/>
          <w:szCs w:val="25"/>
          <w:b w:val="1"/>
          <w:bCs w:val="1"/>
          <w:color w:val="auto"/>
        </w:rPr>
        <w:t>UP TO 2,203,977,609 CLASS A ADSs, UP TO 24,999,965 CLASS A ADSs ISSUABLE UPON CONVERSION OF CLASS C ADSs AND UP TO 9,000,000 CLASS C-2 ADSs</w:t>
      </w:r>
    </w:p>
    <w:p>
      <w:pPr>
        <w:spacing w:after="0" w:line="177" w:lineRule="exact"/>
        <w:rPr>
          <w:sz w:val="24"/>
          <w:szCs w:val="24"/>
          <w:color w:val="auto"/>
        </w:rPr>
      </w:pPr>
    </w:p>
    <w:p>
      <w:pPr>
        <w:spacing w:after="0"/>
        <w:rPr>
          <w:sz w:val="20"/>
          <w:szCs w:val="20"/>
          <w:color w:val="auto"/>
        </w:rPr>
      </w:pPr>
      <w:r>
        <w:rPr>
          <w:rFonts w:ascii="Arial" w:cs="Arial" w:eastAsia="Arial" w:hAnsi="Arial"/>
          <w:sz w:val="17"/>
          <w:szCs w:val="17"/>
          <w:color w:val="auto"/>
        </w:rPr>
        <w:t>This prospectus supplement (this “Supplement No. 1”) is part of the prospectus of Polestar Automotive Holding UK PLC (the “Company”), dated</w:t>
      </w:r>
    </w:p>
    <w:p>
      <w:pPr>
        <w:spacing w:after="0" w:line="28" w:lineRule="exact"/>
        <w:rPr>
          <w:sz w:val="24"/>
          <w:szCs w:val="24"/>
          <w:color w:val="auto"/>
        </w:rPr>
      </w:pPr>
    </w:p>
    <w:p>
      <w:pPr>
        <w:ind w:right="60"/>
        <w:spacing w:after="0" w:line="263" w:lineRule="auto"/>
        <w:rPr>
          <w:sz w:val="20"/>
          <w:szCs w:val="20"/>
          <w:color w:val="auto"/>
        </w:rPr>
      </w:pPr>
      <w:r>
        <w:rPr>
          <w:rFonts w:ascii="Arial" w:cs="Arial" w:eastAsia="Arial" w:hAnsi="Arial"/>
          <w:sz w:val="17"/>
          <w:szCs w:val="17"/>
          <w:color w:val="auto"/>
        </w:rPr>
        <w:t>July 17, 2023 (the “Prospectus”), which forms a part of the Company’s registration statement on Form F-3 (Registration No. 333-266101), related to the offer and sale from time to time by the selling securityholders named in the Prospectus of up to (a) 2,228,977,574 Class A ADSs and (b) 9,000,000 Class C-2 ADSs. This Supplement No. 1 supplements, modifies or supersedes certain information contained in the Prospectus. Any statement in the Prospectus that is modified or superseded is not deemed to constitute a part of the Prospectus, except as modified or superseded by this Supplement No. 1. Except to the extent that the information in this Supplement No. 1 modifies or supersedes the information contained in the Prospectus, this Supplement No. 1 should be read, and will be delivered, with the Prospectus. This Supplement No. 1 is not complete without, and may not be utilized except in connection with, the Prospectus.</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Capitalized terms used but not defined herein have the meanings ascribed to them in the Prospectus.</w:t>
      </w:r>
    </w:p>
    <w:p>
      <w:pPr>
        <w:spacing w:after="0" w:line="21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The purpose of this Supplement No. 1 is to amend the information set forth in the table under the heading “Selling Securityholders” in the</w:t>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as follows:</w:t>
      </w:r>
    </w:p>
    <w:p>
      <w:pPr>
        <w:spacing w:after="0" w:line="107" w:lineRule="exact"/>
        <w:rPr>
          <w:sz w:val="24"/>
          <w:szCs w:val="24"/>
          <w:color w:val="auto"/>
        </w:rPr>
      </w:pPr>
    </w:p>
    <w:p>
      <w:pPr>
        <w:ind w:left="960" w:hanging="538"/>
        <w:spacing w:after="0"/>
        <w:tabs>
          <w:tab w:leader="none" w:pos="9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Addition of the following line items and corresponding footnotes below:</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8"/>
          </w:tcPr>
          <w:p>
            <w:pPr>
              <w:jc w:val="center"/>
              <w:spacing w:after="0"/>
              <w:rPr>
                <w:sz w:val="20"/>
                <w:szCs w:val="20"/>
                <w:color w:val="auto"/>
              </w:rPr>
            </w:pPr>
            <w:r>
              <w:rPr>
                <w:rFonts w:ascii="Arial" w:cs="Arial" w:eastAsia="Arial" w:hAnsi="Arial"/>
                <w:sz w:val="14"/>
                <w:szCs w:val="14"/>
                <w:b w:val="1"/>
                <w:bCs w:val="1"/>
                <w:color w:val="auto"/>
                <w:w w:val="90"/>
              </w:rPr>
              <w:t>Securities Beneficially Owned</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Securities to be Sold</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8"/>
          </w:tcPr>
          <w:p>
            <w:pPr>
              <w:ind w:left="40"/>
              <w:spacing w:after="0"/>
              <w:rPr>
                <w:sz w:val="20"/>
                <w:szCs w:val="20"/>
                <w:color w:val="auto"/>
              </w:rPr>
            </w:pPr>
            <w:r>
              <w:rPr>
                <w:rFonts w:ascii="Arial" w:cs="Arial" w:eastAsia="Arial" w:hAnsi="Arial"/>
                <w:sz w:val="14"/>
                <w:szCs w:val="14"/>
                <w:b w:val="1"/>
                <w:bCs w:val="1"/>
                <w:color w:val="auto"/>
                <w:w w:val="91"/>
              </w:rPr>
              <w:t>Securities Beneficially Owned</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center"/>
              <w:ind w:left="505"/>
              <w:spacing w:after="0"/>
              <w:rPr>
                <w:sz w:val="20"/>
                <w:szCs w:val="20"/>
                <w:color w:val="auto"/>
              </w:rPr>
            </w:pPr>
            <w:r>
              <w:rPr>
                <w:rFonts w:ascii="Arial" w:cs="Arial" w:eastAsia="Arial" w:hAnsi="Arial"/>
                <w:sz w:val="14"/>
                <w:szCs w:val="14"/>
                <w:b w:val="1"/>
                <w:bCs w:val="1"/>
                <w:color w:val="auto"/>
                <w:w w:val="95"/>
              </w:rPr>
              <w:t>Prior to This Offering</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in This Offering</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w w:val="95"/>
              </w:rPr>
              <w:t>After This Offering</w:t>
            </w:r>
          </w:p>
        </w:tc>
        <w:tc>
          <w:tcPr>
            <w:tcW w:w="3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3"/>
              </w:rPr>
              <w:t>Class A</w:t>
            </w:r>
          </w:p>
        </w:tc>
        <w:tc>
          <w:tcPr>
            <w:tcW w:w="920" w:type="dxa"/>
            <w:vAlign w:val="bottom"/>
            <w:gridSpan w:val="2"/>
          </w:tcPr>
          <w:p>
            <w:pPr>
              <w:jc w:val="right"/>
              <w:ind w:right="100"/>
              <w:spacing w:after="0" w:line="116" w:lineRule="exact"/>
              <w:rPr>
                <w:sz w:val="20"/>
                <w:szCs w:val="20"/>
                <w:color w:val="auto"/>
              </w:rPr>
            </w:pPr>
            <w:r>
              <w:rPr>
                <w:rFonts w:ascii="Arial" w:cs="Arial" w:eastAsia="Arial" w:hAnsi="Arial"/>
                <w:sz w:val="13"/>
                <w:szCs w:val="13"/>
                <w:b w:val="1"/>
                <w:bCs w:val="1"/>
                <w:color w:val="auto"/>
                <w:w w:val="93"/>
              </w:rPr>
              <w:t>Percentage of</w:t>
            </w: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B</w:t>
            </w:r>
          </w:p>
        </w:tc>
        <w:tc>
          <w:tcPr>
            <w:tcW w:w="760" w:type="dxa"/>
            <w:vAlign w:val="bottom"/>
            <w:gridSpan w:val="2"/>
          </w:tcPr>
          <w:p>
            <w:pPr>
              <w:jc w:val="center"/>
              <w:ind w:right="100"/>
              <w:spacing w:after="0" w:line="116" w:lineRule="exact"/>
              <w:rPr>
                <w:sz w:val="20"/>
                <w:szCs w:val="20"/>
                <w:color w:val="auto"/>
              </w:rPr>
            </w:pPr>
            <w:r>
              <w:rPr>
                <w:rFonts w:ascii="Arial" w:cs="Arial" w:eastAsia="Arial" w:hAnsi="Arial"/>
                <w:sz w:val="13"/>
                <w:szCs w:val="13"/>
                <w:b w:val="1"/>
                <w:bCs w:val="1"/>
                <w:color w:val="auto"/>
                <w:w w:val="94"/>
              </w:rPr>
              <w:t>Percentage</w:t>
            </w: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C</w:t>
            </w:r>
          </w:p>
        </w:tc>
        <w:tc>
          <w:tcPr>
            <w:tcW w:w="68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4"/>
              </w:rPr>
              <w:t>Percentage</w:t>
            </w:r>
          </w:p>
        </w:tc>
        <w:tc>
          <w:tcPr>
            <w:tcW w:w="80" w:type="dxa"/>
            <w:vAlign w:val="bottom"/>
          </w:tcPr>
          <w:p>
            <w:pPr>
              <w:spacing w:after="0"/>
              <w:rPr>
                <w:sz w:val="10"/>
                <w:szCs w:val="10"/>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7"/>
              </w:rPr>
              <w:t>Class A</w:t>
            </w:r>
          </w:p>
        </w:tc>
        <w:tc>
          <w:tcPr>
            <w:tcW w:w="760" w:type="dxa"/>
            <w:vAlign w:val="bottom"/>
            <w:gridSpan w:val="2"/>
          </w:tcPr>
          <w:p>
            <w:pPr>
              <w:jc w:val="right"/>
              <w:ind w:right="100"/>
              <w:spacing w:after="0" w:line="116" w:lineRule="exact"/>
              <w:rPr>
                <w:sz w:val="20"/>
                <w:szCs w:val="20"/>
                <w:color w:val="auto"/>
              </w:rPr>
            </w:pPr>
            <w:r>
              <w:rPr>
                <w:rFonts w:ascii="Arial" w:cs="Arial" w:eastAsia="Arial" w:hAnsi="Arial"/>
                <w:sz w:val="13"/>
                <w:szCs w:val="13"/>
                <w:b w:val="1"/>
                <w:bCs w:val="1"/>
                <w:color w:val="auto"/>
                <w:w w:val="91"/>
              </w:rPr>
              <w:t>Percentage</w:t>
            </w: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C</w:t>
            </w:r>
          </w:p>
        </w:tc>
        <w:tc>
          <w:tcPr>
            <w:tcW w:w="68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4"/>
              </w:rPr>
              <w:t>Percentage</w:t>
            </w:r>
          </w:p>
        </w:tc>
        <w:tc>
          <w:tcPr>
            <w:tcW w:w="80" w:type="dxa"/>
            <w:vAlign w:val="bottom"/>
          </w:tcPr>
          <w:p>
            <w:pPr>
              <w:spacing w:after="0"/>
              <w:rPr>
                <w:sz w:val="10"/>
                <w:szCs w:val="10"/>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Class A</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Class C</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 of Selling Securityholders</w:t>
            </w:r>
          </w:p>
        </w:tc>
        <w:tc>
          <w:tcPr>
            <w:tcW w:w="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920" w:type="dxa"/>
            <w:vAlign w:val="bottom"/>
            <w:gridSpan w:val="2"/>
          </w:tcPr>
          <w:p>
            <w:pPr>
              <w:jc w:val="right"/>
              <w:ind w:right="280"/>
              <w:spacing w:after="0" w:line="146" w:lineRule="exact"/>
              <w:rPr>
                <w:sz w:val="20"/>
                <w:szCs w:val="20"/>
                <w:color w:val="auto"/>
              </w:rPr>
            </w:pPr>
            <w:r>
              <w:rPr>
                <w:rFonts w:ascii="Arial" w:cs="Arial" w:eastAsia="Arial" w:hAnsi="Arial"/>
                <w:sz w:val="14"/>
                <w:szCs w:val="14"/>
                <w:b w:val="1"/>
                <w:bCs w:val="1"/>
                <w:color w:val="auto"/>
              </w:rPr>
              <w:t>Class A</w:t>
            </w:r>
          </w:p>
        </w:tc>
        <w:tc>
          <w:tcPr>
            <w:tcW w:w="56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90"/>
              </w:rPr>
              <w:t>of Class B</w:t>
            </w:r>
          </w:p>
        </w:tc>
        <w:tc>
          <w:tcPr>
            <w:tcW w:w="56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90"/>
              </w:rPr>
              <w:t>of Class C</w:t>
            </w:r>
          </w:p>
        </w:tc>
        <w:tc>
          <w:tcPr>
            <w:tcW w:w="660" w:type="dxa"/>
            <w:vAlign w:val="bottom"/>
            <w:gridSpan w:val="2"/>
            <w:vMerge w:val="continue"/>
          </w:tcPr>
          <w:p>
            <w:pPr>
              <w:spacing w:after="0"/>
              <w:rPr>
                <w:sz w:val="12"/>
                <w:szCs w:val="12"/>
                <w:color w:val="auto"/>
              </w:rPr>
            </w:pPr>
          </w:p>
        </w:tc>
        <w:tc>
          <w:tcPr>
            <w:tcW w:w="760" w:type="dxa"/>
            <w:vAlign w:val="bottom"/>
            <w:gridSpan w:val="2"/>
          </w:tcPr>
          <w:p>
            <w:pPr>
              <w:jc w:val="right"/>
              <w:ind w:right="120"/>
              <w:spacing w:after="0" w:line="146" w:lineRule="exact"/>
              <w:rPr>
                <w:sz w:val="20"/>
                <w:szCs w:val="20"/>
                <w:color w:val="auto"/>
              </w:rPr>
            </w:pPr>
            <w:r>
              <w:rPr>
                <w:rFonts w:ascii="Arial" w:cs="Arial" w:eastAsia="Arial" w:hAnsi="Arial"/>
                <w:sz w:val="14"/>
                <w:szCs w:val="14"/>
                <w:b w:val="1"/>
                <w:bCs w:val="1"/>
                <w:color w:val="auto"/>
                <w:w w:val="90"/>
              </w:rPr>
              <w:t>of Class A</w:t>
            </w:r>
          </w:p>
        </w:tc>
        <w:tc>
          <w:tcPr>
            <w:tcW w:w="560" w:type="dxa"/>
            <w:vAlign w:val="bottom"/>
            <w:gridSpan w:val="2"/>
            <w:vMerge w:val="continue"/>
          </w:tcPr>
          <w:p>
            <w:pPr>
              <w:spacing w:after="0"/>
              <w:rPr>
                <w:sz w:val="12"/>
                <w:szCs w:val="12"/>
                <w:color w:val="auto"/>
              </w:rPr>
            </w:pPr>
          </w:p>
        </w:tc>
        <w:tc>
          <w:tcPr>
            <w:tcW w:w="760" w:type="dxa"/>
            <w:vAlign w:val="bottom"/>
            <w:gridSpan w:val="2"/>
          </w:tcPr>
          <w:p>
            <w:pPr>
              <w:jc w:val="center"/>
              <w:ind w:right="80"/>
              <w:spacing w:after="0" w:line="146" w:lineRule="exact"/>
              <w:rPr>
                <w:sz w:val="20"/>
                <w:szCs w:val="20"/>
                <w:color w:val="auto"/>
              </w:rPr>
            </w:pPr>
            <w:r>
              <w:rPr>
                <w:rFonts w:ascii="Arial" w:cs="Arial" w:eastAsia="Arial" w:hAnsi="Arial"/>
                <w:sz w:val="14"/>
                <w:szCs w:val="14"/>
                <w:b w:val="1"/>
                <w:bCs w:val="1"/>
                <w:color w:val="auto"/>
                <w:w w:val="87"/>
              </w:rPr>
              <w:t>of Class C</w:t>
            </w:r>
          </w:p>
        </w:tc>
        <w:tc>
          <w:tcPr>
            <w:tcW w:w="5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4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ind w:left="120"/>
              <w:spacing w:after="0" w:line="155" w:lineRule="exact"/>
              <w:rPr>
                <w:sz w:val="20"/>
                <w:szCs w:val="20"/>
                <w:color w:val="auto"/>
              </w:rPr>
            </w:pPr>
            <w:r>
              <w:rPr>
                <w:rFonts w:ascii="Arial" w:cs="Arial" w:eastAsia="Arial" w:hAnsi="Arial"/>
                <w:sz w:val="14"/>
                <w:szCs w:val="14"/>
                <w:b w:val="1"/>
                <w:bCs w:val="1"/>
                <w:color w:val="auto"/>
              </w:rPr>
              <w:t>ADS</w:t>
            </w:r>
          </w:p>
        </w:tc>
        <w:tc>
          <w:tcPr>
            <w:tcW w:w="92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ADSs#</w:t>
            </w:r>
          </w:p>
        </w:tc>
        <w:tc>
          <w:tcPr>
            <w:tcW w:w="56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ADS</w:t>
            </w:r>
          </w:p>
        </w:tc>
        <w:tc>
          <w:tcPr>
            <w:tcW w:w="76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0"/>
              </w:rPr>
              <w:t>ADSs</w:t>
            </w:r>
          </w:p>
        </w:tc>
        <w:tc>
          <w:tcPr>
            <w:tcW w:w="5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ADS</w:t>
            </w:r>
          </w:p>
        </w:tc>
        <w:tc>
          <w:tcPr>
            <w:tcW w:w="76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0"/>
              </w:rPr>
              <w:t>ADSs</w:t>
            </w:r>
          </w:p>
        </w:tc>
        <w:tc>
          <w:tcPr>
            <w:tcW w:w="66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ADS</w:t>
            </w:r>
          </w:p>
        </w:tc>
        <w:tc>
          <w:tcPr>
            <w:tcW w:w="7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ADSs##</w:t>
            </w:r>
          </w:p>
        </w:tc>
        <w:tc>
          <w:tcPr>
            <w:tcW w:w="5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ADS</w:t>
            </w:r>
          </w:p>
        </w:tc>
        <w:tc>
          <w:tcPr>
            <w:tcW w:w="76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0"/>
              </w:rPr>
              <w:t>ADSs</w:t>
            </w:r>
          </w:p>
        </w:tc>
        <w:tc>
          <w:tcPr>
            <w:tcW w:w="5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ADS</w:t>
            </w:r>
          </w:p>
        </w:tc>
        <w:tc>
          <w:tcPr>
            <w:tcW w:w="280" w:type="dxa"/>
            <w:vAlign w:val="bottom"/>
          </w:tcPr>
          <w:p>
            <w:pPr>
              <w:jc w:val="right"/>
              <w:ind w:right="2"/>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ADS</w:t>
            </w:r>
          </w:p>
        </w:tc>
        <w:tc>
          <w:tcPr>
            <w:tcW w:w="320" w:type="dxa"/>
            <w:vAlign w:val="bottom"/>
          </w:tcPr>
          <w:p>
            <w:pPr>
              <w:jc w:val="right"/>
              <w:ind w:right="22"/>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4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5"/>
                <w:szCs w:val="15"/>
                <w:color w:val="auto"/>
              </w:rPr>
              <w:t xml:space="preserve">Chow Hoi Fan Danny </w:t>
            </w:r>
            <w:r>
              <w:rPr>
                <w:rFonts w:ascii="Arial" w:cs="Arial" w:eastAsia="Arial" w:hAnsi="Arial"/>
                <w:sz w:val="21"/>
                <w:szCs w:val="21"/>
                <w:color w:val="auto"/>
                <w:vertAlign w:val="superscript"/>
              </w:rPr>
              <w:t>(76)</w:t>
            </w:r>
          </w:p>
        </w:tc>
        <w:tc>
          <w:tcPr>
            <w:tcW w:w="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w w:val="81"/>
              </w:rPr>
              <w:t>99,953</w:t>
            </w: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99,953</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940" w:type="dxa"/>
            <w:vAlign w:val="bottom"/>
          </w:tcPr>
          <w:p>
            <w:pPr>
              <w:spacing w:after="0" w:line="199" w:lineRule="exact"/>
              <w:rPr>
                <w:sz w:val="20"/>
                <w:szCs w:val="20"/>
                <w:color w:val="auto"/>
              </w:rPr>
            </w:pPr>
            <w:r>
              <w:rPr>
                <w:rFonts w:ascii="Arial" w:cs="Arial" w:eastAsia="Arial" w:hAnsi="Arial"/>
                <w:sz w:val="16"/>
                <w:szCs w:val="16"/>
                <w:color w:val="auto"/>
              </w:rPr>
              <w:t>Sun Yan</w:t>
            </w:r>
            <w:r>
              <w:rPr>
                <w:rFonts w:ascii="Arial" w:cs="Arial" w:eastAsia="Arial" w:hAnsi="Arial"/>
                <w:sz w:val="23"/>
                <w:szCs w:val="23"/>
                <w:color w:val="auto"/>
                <w:vertAlign w:val="superscript"/>
              </w:rPr>
              <w:t>(77)</w:t>
            </w:r>
          </w:p>
        </w:tc>
        <w:tc>
          <w:tcPr>
            <w:tcW w:w="680" w:type="dxa"/>
            <w:vAlign w:val="bottom"/>
            <w:gridSpan w:val="3"/>
          </w:tcPr>
          <w:p>
            <w:pPr>
              <w:jc w:val="right"/>
              <w:ind w:right="100"/>
              <w:spacing w:after="0"/>
              <w:rPr>
                <w:sz w:val="20"/>
                <w:szCs w:val="20"/>
                <w:color w:val="auto"/>
              </w:rPr>
            </w:pPr>
            <w:r>
              <w:rPr>
                <w:rFonts w:ascii="Arial" w:cs="Arial" w:eastAsia="Arial" w:hAnsi="Arial"/>
                <w:sz w:val="16"/>
                <w:szCs w:val="16"/>
                <w:color w:val="auto"/>
                <w:w w:val="96"/>
              </w:rPr>
              <w:t>299,860</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299,860</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1940" w:type="dxa"/>
            <w:vAlign w:val="bottom"/>
            <w:shd w:val="clear" w:color="auto" w:fill="CCEEFF"/>
          </w:tcPr>
          <w:p>
            <w:pPr>
              <w:spacing w:after="0" w:line="199" w:lineRule="exact"/>
              <w:rPr>
                <w:sz w:val="20"/>
                <w:szCs w:val="20"/>
                <w:color w:val="auto"/>
              </w:rPr>
            </w:pPr>
            <w:r>
              <w:rPr>
                <w:rFonts w:ascii="Arial" w:cs="Arial" w:eastAsia="Arial" w:hAnsi="Arial"/>
                <w:sz w:val="16"/>
                <w:szCs w:val="16"/>
                <w:color w:val="auto"/>
              </w:rPr>
              <w:t>Kelly Prehn</w:t>
            </w:r>
            <w:r>
              <w:rPr>
                <w:rFonts w:ascii="Arial" w:cs="Arial" w:eastAsia="Arial" w:hAnsi="Arial"/>
                <w:sz w:val="23"/>
                <w:szCs w:val="23"/>
                <w:color w:val="auto"/>
                <w:vertAlign w:val="superscript"/>
              </w:rPr>
              <w:t>(78)</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6"/>
              </w:rPr>
              <w:t>119,945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3"/>
              </w:rPr>
              <w:t>119,945</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1940" w:type="dxa"/>
            <w:vAlign w:val="bottom"/>
          </w:tcPr>
          <w:p>
            <w:pPr>
              <w:spacing w:after="0" w:line="199" w:lineRule="exact"/>
              <w:rPr>
                <w:sz w:val="20"/>
                <w:szCs w:val="20"/>
                <w:color w:val="auto"/>
              </w:rPr>
            </w:pPr>
            <w:r>
              <w:rPr>
                <w:rFonts w:ascii="Arial" w:cs="Arial" w:eastAsia="Arial" w:hAnsi="Arial"/>
                <w:sz w:val="16"/>
                <w:szCs w:val="16"/>
                <w:color w:val="auto"/>
              </w:rPr>
              <w:t>Richard Loretan</w:t>
            </w:r>
            <w:r>
              <w:rPr>
                <w:rFonts w:ascii="Arial" w:cs="Arial" w:eastAsia="Arial" w:hAnsi="Arial"/>
                <w:sz w:val="23"/>
                <w:szCs w:val="23"/>
                <w:color w:val="auto"/>
                <w:vertAlign w:val="superscript"/>
              </w:rPr>
              <w:t>(79)</w:t>
            </w:r>
          </w:p>
        </w:tc>
        <w:tc>
          <w:tcPr>
            <w:tcW w:w="680" w:type="dxa"/>
            <w:vAlign w:val="bottom"/>
            <w:gridSpan w:val="3"/>
          </w:tcPr>
          <w:p>
            <w:pPr>
              <w:jc w:val="right"/>
              <w:ind w:right="100"/>
              <w:spacing w:after="0"/>
              <w:rPr>
                <w:sz w:val="20"/>
                <w:szCs w:val="20"/>
                <w:color w:val="auto"/>
              </w:rPr>
            </w:pPr>
            <w:r>
              <w:rPr>
                <w:rFonts w:ascii="Arial" w:cs="Arial" w:eastAsia="Arial" w:hAnsi="Arial"/>
                <w:sz w:val="16"/>
                <w:szCs w:val="16"/>
                <w:color w:val="auto"/>
              </w:rPr>
              <w:t>94,053</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94,053</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940" w:type="dxa"/>
            <w:vAlign w:val="bottom"/>
            <w:shd w:val="clear" w:color="auto" w:fill="CCEEFF"/>
          </w:tcPr>
          <w:p>
            <w:pPr>
              <w:spacing w:after="0"/>
              <w:rPr>
                <w:sz w:val="20"/>
                <w:szCs w:val="20"/>
                <w:color w:val="auto"/>
              </w:rPr>
            </w:pPr>
            <w:r>
              <w:rPr>
                <w:rFonts w:ascii="Arial" w:cs="Arial" w:eastAsia="Arial" w:hAnsi="Arial"/>
                <w:sz w:val="16"/>
                <w:szCs w:val="16"/>
                <w:color w:val="auto"/>
                <w:w w:val="93"/>
              </w:rPr>
              <w:t>Roth Markus Josef and Song</w:t>
            </w: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40" w:type="dxa"/>
            <w:vAlign w:val="bottom"/>
            <w:shd w:val="clear" w:color="auto" w:fill="CCEEFF"/>
          </w:tcPr>
          <w:p>
            <w:pPr>
              <w:ind w:left="160"/>
              <w:spacing w:after="0" w:line="209" w:lineRule="exact"/>
              <w:rPr>
                <w:sz w:val="20"/>
                <w:szCs w:val="20"/>
                <w:color w:val="auto"/>
              </w:rPr>
            </w:pPr>
            <w:r>
              <w:rPr>
                <w:rFonts w:ascii="Arial" w:cs="Arial" w:eastAsia="Arial" w:hAnsi="Arial"/>
                <w:sz w:val="16"/>
                <w:szCs w:val="16"/>
                <w:color w:val="auto"/>
              </w:rPr>
              <w:t>Ling Yan Helen</w:t>
            </w:r>
            <w:r>
              <w:rPr>
                <w:rFonts w:ascii="Arial" w:cs="Arial" w:eastAsia="Arial" w:hAnsi="Arial"/>
                <w:sz w:val="23"/>
                <w:szCs w:val="23"/>
                <w:color w:val="auto"/>
                <w:vertAlign w:val="superscript"/>
              </w:rPr>
              <w:t>(80)</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6"/>
              </w:rPr>
              <w:t>359,832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359,832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1940" w:type="dxa"/>
            <w:vAlign w:val="bottom"/>
          </w:tcPr>
          <w:p>
            <w:pPr>
              <w:spacing w:after="0"/>
              <w:rPr>
                <w:sz w:val="20"/>
                <w:szCs w:val="20"/>
                <w:color w:val="auto"/>
              </w:rPr>
            </w:pPr>
            <w:r>
              <w:rPr>
                <w:rFonts w:ascii="Arial" w:cs="Arial" w:eastAsia="Arial" w:hAnsi="Arial"/>
                <w:sz w:val="16"/>
                <w:szCs w:val="16"/>
                <w:color w:val="auto"/>
              </w:rPr>
              <w:t>Bright Moral Group</w:t>
            </w: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940" w:type="dxa"/>
            <w:vAlign w:val="bottom"/>
          </w:tcPr>
          <w:p>
            <w:pPr>
              <w:ind w:left="160"/>
              <w:spacing w:after="0"/>
              <w:rPr>
                <w:sz w:val="20"/>
                <w:szCs w:val="20"/>
                <w:color w:val="auto"/>
              </w:rPr>
            </w:pPr>
            <w:r>
              <w:rPr>
                <w:rFonts w:ascii="Arial" w:cs="Arial" w:eastAsia="Arial" w:hAnsi="Arial"/>
                <w:sz w:val="16"/>
                <w:szCs w:val="16"/>
                <w:color w:val="auto"/>
              </w:rPr>
              <w:t>Limited</w:t>
            </w:r>
            <w:r>
              <w:rPr>
                <w:rFonts w:ascii="Arial" w:cs="Arial" w:eastAsia="Arial" w:hAnsi="Arial"/>
                <w:sz w:val="23"/>
                <w:szCs w:val="23"/>
                <w:color w:val="auto"/>
                <w:vertAlign w:val="superscript"/>
              </w:rPr>
              <w:t>(81)</w:t>
            </w:r>
          </w:p>
        </w:tc>
        <w:tc>
          <w:tcPr>
            <w:tcW w:w="680" w:type="dxa"/>
            <w:vAlign w:val="bottom"/>
            <w:gridSpan w:val="3"/>
          </w:tcPr>
          <w:p>
            <w:pPr>
              <w:jc w:val="right"/>
              <w:ind w:right="100"/>
              <w:spacing w:after="0"/>
              <w:rPr>
                <w:sz w:val="20"/>
                <w:szCs w:val="20"/>
                <w:color w:val="auto"/>
              </w:rPr>
            </w:pPr>
            <w:r>
              <w:rPr>
                <w:rFonts w:ascii="Arial" w:cs="Arial" w:eastAsia="Arial" w:hAnsi="Arial"/>
                <w:sz w:val="16"/>
                <w:szCs w:val="16"/>
                <w:color w:val="auto"/>
                <w:w w:val="96"/>
              </w:rPr>
              <w:t>250,854</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250,854</w:t>
            </w:r>
          </w:p>
        </w:tc>
        <w:tc>
          <w:tcPr>
            <w:tcW w:w="10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ectPr>
          <w:pgSz w:w="11900" w:h="16838" w:orient="portrait"/>
          <w:cols w:equalWidth="0" w:num="1">
            <w:col w:w="10820"/>
          </w:cols>
          <w:pgMar w:left="540" w:top="227" w:right="5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6770" cy="38100"/>
                    </a:xfrm>
                    <a:prstGeom prst="rect">
                      <a:avLst/>
                    </a:prstGeom>
                    <a:noFill/>
                  </pic:spPr>
                </pic:pic>
              </a:graphicData>
            </a:graphic>
          </wp:anchor>
        </w:drawing>
      </w:r>
    </w:p>
    <w:tbl>
      <w:tblPr>
        <w:tblLayout w:type="fixed"/>
        <w:tblInd w:w="2"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8"/>
          </w:tcPr>
          <w:p>
            <w:pPr>
              <w:jc w:val="center"/>
              <w:ind w:left="27"/>
              <w:spacing w:after="0"/>
              <w:rPr>
                <w:sz w:val="20"/>
                <w:szCs w:val="20"/>
                <w:color w:val="auto"/>
              </w:rPr>
            </w:pPr>
            <w:r>
              <w:rPr>
                <w:rFonts w:ascii="Arial" w:cs="Arial" w:eastAsia="Arial" w:hAnsi="Arial"/>
                <w:sz w:val="14"/>
                <w:szCs w:val="14"/>
                <w:b w:val="1"/>
                <w:bCs w:val="1"/>
                <w:color w:val="auto"/>
                <w:w w:val="89"/>
              </w:rPr>
              <w:t>Securities Beneficially Owned</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tcPr>
          <w:p>
            <w:pPr>
              <w:ind w:left="100"/>
              <w:spacing w:after="0"/>
              <w:rPr>
                <w:sz w:val="20"/>
                <w:szCs w:val="20"/>
                <w:color w:val="auto"/>
              </w:rPr>
            </w:pPr>
            <w:r>
              <w:rPr>
                <w:rFonts w:ascii="Arial" w:cs="Arial" w:eastAsia="Arial" w:hAnsi="Arial"/>
                <w:sz w:val="14"/>
                <w:szCs w:val="14"/>
                <w:b w:val="1"/>
                <w:bCs w:val="1"/>
                <w:color w:val="auto"/>
                <w:w w:val="86"/>
              </w:rPr>
              <w:t>Securities to be Sold</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8"/>
          </w:tcPr>
          <w:p>
            <w:pPr>
              <w:ind w:left="40"/>
              <w:spacing w:after="0"/>
              <w:rPr>
                <w:sz w:val="20"/>
                <w:szCs w:val="20"/>
                <w:color w:val="auto"/>
              </w:rPr>
            </w:pPr>
            <w:r>
              <w:rPr>
                <w:rFonts w:ascii="Arial" w:cs="Arial" w:eastAsia="Arial" w:hAnsi="Arial"/>
                <w:sz w:val="14"/>
                <w:szCs w:val="14"/>
                <w:b w:val="1"/>
                <w:bCs w:val="1"/>
                <w:color w:val="auto"/>
                <w:w w:val="91"/>
              </w:rPr>
              <w:t>Securities Beneficially Owned</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center"/>
              <w:ind w:left="587"/>
              <w:spacing w:after="0"/>
              <w:rPr>
                <w:sz w:val="20"/>
                <w:szCs w:val="20"/>
                <w:color w:val="auto"/>
              </w:rPr>
            </w:pPr>
            <w:r>
              <w:rPr>
                <w:rFonts w:ascii="Arial" w:cs="Arial" w:eastAsia="Arial" w:hAnsi="Arial"/>
                <w:sz w:val="14"/>
                <w:szCs w:val="14"/>
                <w:b w:val="1"/>
                <w:bCs w:val="1"/>
                <w:color w:val="auto"/>
                <w:w w:val="95"/>
              </w:rPr>
              <w:t>Prior to This Offering</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in This Offering</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w w:val="95"/>
              </w:rPr>
              <w:t>After This Offering</w:t>
            </w:r>
          </w:p>
        </w:tc>
        <w:tc>
          <w:tcPr>
            <w:tcW w:w="3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920" w:type="dxa"/>
            <w:vAlign w:val="bottom"/>
            <w:gridSpan w:val="2"/>
          </w:tcPr>
          <w:p>
            <w:pPr>
              <w:jc w:val="right"/>
              <w:ind w:right="100"/>
              <w:spacing w:after="0" w:line="116" w:lineRule="exact"/>
              <w:rPr>
                <w:sz w:val="20"/>
                <w:szCs w:val="20"/>
                <w:color w:val="auto"/>
              </w:rPr>
            </w:pPr>
            <w:r>
              <w:rPr>
                <w:rFonts w:ascii="Arial" w:cs="Arial" w:eastAsia="Arial" w:hAnsi="Arial"/>
                <w:sz w:val="13"/>
                <w:szCs w:val="13"/>
                <w:b w:val="1"/>
                <w:bCs w:val="1"/>
                <w:color w:val="auto"/>
                <w:w w:val="93"/>
              </w:rPr>
              <w:t>Percentage of</w:t>
            </w:r>
          </w:p>
        </w:tc>
        <w:tc>
          <w:tcPr>
            <w:tcW w:w="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760" w:type="dxa"/>
            <w:vAlign w:val="bottom"/>
            <w:gridSpan w:val="2"/>
          </w:tcPr>
          <w:p>
            <w:pPr>
              <w:jc w:val="center"/>
              <w:ind w:right="100"/>
              <w:spacing w:after="0" w:line="116" w:lineRule="exact"/>
              <w:rPr>
                <w:sz w:val="20"/>
                <w:szCs w:val="20"/>
                <w:color w:val="auto"/>
              </w:rPr>
            </w:pPr>
            <w:r>
              <w:rPr>
                <w:rFonts w:ascii="Arial" w:cs="Arial" w:eastAsia="Arial" w:hAnsi="Arial"/>
                <w:sz w:val="13"/>
                <w:szCs w:val="13"/>
                <w:b w:val="1"/>
                <w:bCs w:val="1"/>
                <w:color w:val="auto"/>
                <w:w w:val="94"/>
              </w:rPr>
              <w:t>Percentage</w:t>
            </w:r>
          </w:p>
        </w:tc>
        <w:tc>
          <w:tcPr>
            <w:tcW w:w="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C</w:t>
            </w:r>
          </w:p>
        </w:tc>
        <w:tc>
          <w:tcPr>
            <w:tcW w:w="68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4"/>
              </w:rPr>
              <w:t>Percentage</w:t>
            </w:r>
          </w:p>
        </w:tc>
        <w:tc>
          <w:tcPr>
            <w:tcW w:w="80" w:type="dxa"/>
            <w:vAlign w:val="bottom"/>
          </w:tcPr>
          <w:p>
            <w:pPr>
              <w:spacing w:after="0"/>
              <w:rPr>
                <w:sz w:val="10"/>
                <w:szCs w:val="10"/>
                <w:color w:val="auto"/>
              </w:rPr>
            </w:pP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A</w:t>
            </w:r>
          </w:p>
        </w:tc>
        <w:tc>
          <w:tcPr>
            <w:tcW w:w="760" w:type="dxa"/>
            <w:vAlign w:val="bottom"/>
            <w:gridSpan w:val="2"/>
          </w:tcPr>
          <w:p>
            <w:pPr>
              <w:jc w:val="right"/>
              <w:ind w:right="100"/>
              <w:spacing w:after="0" w:line="116" w:lineRule="exact"/>
              <w:rPr>
                <w:sz w:val="20"/>
                <w:szCs w:val="20"/>
                <w:color w:val="auto"/>
              </w:rPr>
            </w:pPr>
            <w:r>
              <w:rPr>
                <w:rFonts w:ascii="Arial" w:cs="Arial" w:eastAsia="Arial" w:hAnsi="Arial"/>
                <w:sz w:val="13"/>
                <w:szCs w:val="13"/>
                <w:b w:val="1"/>
                <w:bCs w:val="1"/>
                <w:color w:val="auto"/>
                <w:w w:val="91"/>
              </w:rPr>
              <w:t>Percentage</w:t>
            </w:r>
          </w:p>
        </w:tc>
        <w:tc>
          <w:tcPr>
            <w:tcW w:w="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C</w:t>
            </w:r>
          </w:p>
        </w:tc>
        <w:tc>
          <w:tcPr>
            <w:tcW w:w="68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4"/>
              </w:rPr>
              <w:t>Percentage</w:t>
            </w:r>
          </w:p>
        </w:tc>
        <w:tc>
          <w:tcPr>
            <w:tcW w:w="80" w:type="dxa"/>
            <w:vAlign w:val="bottom"/>
          </w:tcPr>
          <w:p>
            <w:pPr>
              <w:spacing w:after="0"/>
              <w:rPr>
                <w:sz w:val="10"/>
                <w:szCs w:val="10"/>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Class A</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C</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 of Selling Securityholders</w:t>
            </w:r>
          </w:p>
        </w:tc>
        <w:tc>
          <w:tcPr>
            <w:tcW w:w="2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920" w:type="dxa"/>
            <w:vAlign w:val="bottom"/>
            <w:gridSpan w:val="2"/>
          </w:tcPr>
          <w:p>
            <w:pPr>
              <w:jc w:val="right"/>
              <w:ind w:right="280"/>
              <w:spacing w:after="0" w:line="146" w:lineRule="exact"/>
              <w:rPr>
                <w:sz w:val="20"/>
                <w:szCs w:val="20"/>
                <w:color w:val="auto"/>
              </w:rPr>
            </w:pPr>
            <w:r>
              <w:rPr>
                <w:rFonts w:ascii="Arial" w:cs="Arial" w:eastAsia="Arial" w:hAnsi="Arial"/>
                <w:sz w:val="14"/>
                <w:szCs w:val="14"/>
                <w:b w:val="1"/>
                <w:bCs w:val="1"/>
                <w:color w:val="auto"/>
              </w:rPr>
              <w:t>Class A</w:t>
            </w:r>
          </w:p>
        </w:tc>
        <w:tc>
          <w:tcPr>
            <w:tcW w:w="56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90"/>
              </w:rPr>
              <w:t>of Class B</w:t>
            </w:r>
          </w:p>
        </w:tc>
        <w:tc>
          <w:tcPr>
            <w:tcW w:w="56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90"/>
              </w:rPr>
              <w:t>of Class C</w:t>
            </w:r>
          </w:p>
        </w:tc>
        <w:tc>
          <w:tcPr>
            <w:tcW w:w="580" w:type="dxa"/>
            <w:vAlign w:val="bottom"/>
            <w:gridSpan w:val="2"/>
            <w:vMerge w:val="continue"/>
          </w:tcPr>
          <w:p>
            <w:pPr>
              <w:spacing w:after="0"/>
              <w:rPr>
                <w:sz w:val="12"/>
                <w:szCs w:val="12"/>
                <w:color w:val="auto"/>
              </w:rPr>
            </w:pPr>
          </w:p>
        </w:tc>
        <w:tc>
          <w:tcPr>
            <w:tcW w:w="76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rPr>
              <w:t>of Class A</w:t>
            </w:r>
          </w:p>
        </w:tc>
        <w:tc>
          <w:tcPr>
            <w:tcW w:w="560" w:type="dxa"/>
            <w:vAlign w:val="bottom"/>
            <w:gridSpan w:val="2"/>
            <w:vMerge w:val="continue"/>
          </w:tcPr>
          <w:p>
            <w:pPr>
              <w:spacing w:after="0"/>
              <w:rPr>
                <w:sz w:val="12"/>
                <w:szCs w:val="12"/>
                <w:color w:val="auto"/>
              </w:rPr>
            </w:pPr>
          </w:p>
        </w:tc>
        <w:tc>
          <w:tcPr>
            <w:tcW w:w="760" w:type="dxa"/>
            <w:vAlign w:val="bottom"/>
            <w:gridSpan w:val="2"/>
          </w:tcPr>
          <w:p>
            <w:pPr>
              <w:jc w:val="center"/>
              <w:ind w:right="80"/>
              <w:spacing w:after="0" w:line="146" w:lineRule="exact"/>
              <w:rPr>
                <w:sz w:val="20"/>
                <w:szCs w:val="20"/>
                <w:color w:val="auto"/>
              </w:rPr>
            </w:pPr>
            <w:r>
              <w:rPr>
                <w:rFonts w:ascii="Arial" w:cs="Arial" w:eastAsia="Arial" w:hAnsi="Arial"/>
                <w:sz w:val="14"/>
                <w:szCs w:val="14"/>
                <w:b w:val="1"/>
                <w:bCs w:val="1"/>
                <w:color w:val="auto"/>
                <w:w w:val="87"/>
              </w:rPr>
              <w:t>of Class C</w:t>
            </w:r>
          </w:p>
        </w:tc>
        <w:tc>
          <w:tcPr>
            <w:tcW w:w="5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rPr>
              <w:t>ADS</w:t>
            </w:r>
          </w:p>
        </w:tc>
        <w:tc>
          <w:tcPr>
            <w:tcW w:w="92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ADSs#</w:t>
            </w:r>
          </w:p>
        </w:tc>
        <w:tc>
          <w:tcPr>
            <w:tcW w:w="56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4"/>
              </w:rPr>
              <w:t>ADS</w:t>
            </w:r>
          </w:p>
        </w:tc>
        <w:tc>
          <w:tcPr>
            <w:tcW w:w="76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0"/>
              </w:rPr>
              <w:t>ADSs</w:t>
            </w:r>
          </w:p>
        </w:tc>
        <w:tc>
          <w:tcPr>
            <w:tcW w:w="56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4"/>
              </w:rPr>
              <w:t>ADS</w:t>
            </w:r>
          </w:p>
        </w:tc>
        <w:tc>
          <w:tcPr>
            <w:tcW w:w="76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0"/>
              </w:rPr>
              <w:t>ADSs</w:t>
            </w:r>
          </w:p>
        </w:tc>
        <w:tc>
          <w:tcPr>
            <w:tcW w:w="5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4"/>
              </w:rPr>
              <w:t>ADS</w:t>
            </w:r>
          </w:p>
        </w:tc>
        <w:tc>
          <w:tcPr>
            <w:tcW w:w="76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ADSs##</w:t>
            </w:r>
          </w:p>
        </w:tc>
        <w:tc>
          <w:tcPr>
            <w:tcW w:w="56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4"/>
              </w:rPr>
              <w:t>ADS</w:t>
            </w:r>
          </w:p>
        </w:tc>
        <w:tc>
          <w:tcPr>
            <w:tcW w:w="76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0"/>
              </w:rPr>
              <w:t>ADSs</w:t>
            </w:r>
          </w:p>
        </w:tc>
        <w:tc>
          <w:tcPr>
            <w:tcW w:w="5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ADS</w:t>
            </w:r>
          </w:p>
        </w:tc>
        <w:tc>
          <w:tcPr>
            <w:tcW w:w="280" w:type="dxa"/>
            <w:vAlign w:val="bottom"/>
          </w:tcPr>
          <w:p>
            <w:pPr>
              <w:jc w:val="right"/>
              <w:ind w:right="3"/>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4"/>
              </w:rPr>
              <w:t>ADS</w:t>
            </w:r>
          </w:p>
        </w:tc>
        <w:tc>
          <w:tcPr>
            <w:tcW w:w="320" w:type="dxa"/>
            <w:vAlign w:val="bottom"/>
          </w:tcPr>
          <w:p>
            <w:pPr>
              <w:jc w:val="right"/>
              <w:ind w:right="23"/>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94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5"/>
                <w:szCs w:val="15"/>
                <w:color w:val="auto"/>
              </w:rPr>
              <w:t>Manuel Rodolphe Garcia</w:t>
            </w:r>
            <w:r>
              <w:rPr>
                <w:rFonts w:ascii="Arial" w:cs="Arial" w:eastAsia="Arial" w:hAnsi="Arial"/>
                <w:sz w:val="21"/>
                <w:szCs w:val="21"/>
                <w:color w:val="auto"/>
                <w:vertAlign w:val="superscript"/>
              </w:rPr>
              <w:t>(82)</w:t>
            </w:r>
          </w:p>
        </w:tc>
        <w:tc>
          <w:tcPr>
            <w:tcW w:w="2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5"/>
              </w:rPr>
              <w:t>50,171</w:t>
            </w: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50,171</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940" w:type="dxa"/>
            <w:vAlign w:val="bottom"/>
          </w:tcPr>
          <w:p>
            <w:pPr>
              <w:spacing w:after="0" w:line="199" w:lineRule="exact"/>
              <w:rPr>
                <w:sz w:val="20"/>
                <w:szCs w:val="20"/>
                <w:color w:val="auto"/>
              </w:rPr>
            </w:pPr>
            <w:r>
              <w:rPr>
                <w:rFonts w:ascii="Arial" w:cs="Arial" w:eastAsia="Arial" w:hAnsi="Arial"/>
                <w:sz w:val="16"/>
                <w:szCs w:val="16"/>
                <w:color w:val="auto"/>
              </w:rPr>
              <w:t xml:space="preserve">Pierre-Alain Mathier </w:t>
            </w:r>
            <w:r>
              <w:rPr>
                <w:rFonts w:ascii="Arial" w:cs="Arial" w:eastAsia="Arial" w:hAnsi="Arial"/>
                <w:sz w:val="23"/>
                <w:szCs w:val="23"/>
                <w:color w:val="auto"/>
                <w:vertAlign w:val="superscript"/>
              </w:rPr>
              <w:t>(83)</w:t>
            </w:r>
          </w:p>
        </w:tc>
        <w:tc>
          <w:tcPr>
            <w:tcW w:w="660" w:type="dxa"/>
            <w:vAlign w:val="bottom"/>
            <w:gridSpan w:val="2"/>
          </w:tcPr>
          <w:p>
            <w:pPr>
              <w:jc w:val="center"/>
              <w:ind w:left="161"/>
              <w:spacing w:after="0"/>
              <w:rPr>
                <w:sz w:val="20"/>
                <w:szCs w:val="20"/>
                <w:color w:val="auto"/>
              </w:rPr>
            </w:pPr>
            <w:r>
              <w:rPr>
                <w:rFonts w:ascii="Arial" w:cs="Arial" w:eastAsia="Arial" w:hAnsi="Arial"/>
                <w:sz w:val="16"/>
                <w:szCs w:val="16"/>
                <w:color w:val="auto"/>
                <w:w w:val="85"/>
              </w:rPr>
              <w:t>83,618</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5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480" w:type="dxa"/>
            <w:vAlign w:val="bottom"/>
          </w:tcPr>
          <w:p>
            <w:pPr>
              <w:jc w:val="center"/>
              <w:spacing w:after="0"/>
              <w:rPr>
                <w:sz w:val="20"/>
                <w:szCs w:val="20"/>
                <w:color w:val="auto"/>
              </w:rPr>
            </w:pPr>
            <w:r>
              <w:rPr>
                <w:rFonts w:ascii="Arial" w:cs="Arial" w:eastAsia="Arial" w:hAnsi="Arial"/>
                <w:sz w:val="16"/>
                <w:szCs w:val="16"/>
                <w:color w:val="auto"/>
                <w:w w:val="89"/>
              </w:rPr>
              <w:t>83,618</w:t>
            </w:r>
          </w:p>
        </w:tc>
        <w:tc>
          <w:tcPr>
            <w:tcW w:w="10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5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1940" w:type="dxa"/>
            <w:vAlign w:val="bottom"/>
            <w:shd w:val="clear" w:color="auto" w:fill="CCEEFF"/>
          </w:tcPr>
          <w:p>
            <w:pPr>
              <w:spacing w:after="0" w:line="199" w:lineRule="exact"/>
              <w:rPr>
                <w:sz w:val="20"/>
                <w:szCs w:val="20"/>
                <w:color w:val="auto"/>
              </w:rPr>
            </w:pPr>
            <w:r>
              <w:rPr>
                <w:rFonts w:ascii="Arial" w:cs="Arial" w:eastAsia="Arial" w:hAnsi="Arial"/>
                <w:sz w:val="16"/>
                <w:szCs w:val="16"/>
                <w:color w:val="auto"/>
              </w:rPr>
              <w:t>THOR S.r.l.</w:t>
            </w:r>
            <w:r>
              <w:rPr>
                <w:rFonts w:ascii="Arial" w:cs="Arial" w:eastAsia="Arial" w:hAnsi="Arial"/>
                <w:sz w:val="23"/>
                <w:szCs w:val="23"/>
                <w:color w:val="auto"/>
                <w:vertAlign w:val="superscript"/>
              </w:rPr>
              <w:t>(84)</w:t>
            </w:r>
          </w:p>
        </w:tc>
        <w:tc>
          <w:tcPr>
            <w:tcW w:w="660" w:type="dxa"/>
            <w:vAlign w:val="bottom"/>
            <w:gridSpan w:val="2"/>
            <w:shd w:val="clear" w:color="auto" w:fill="CCEEFF"/>
          </w:tcPr>
          <w:p>
            <w:pPr>
              <w:jc w:val="center"/>
              <w:ind w:left="161"/>
              <w:spacing w:after="0"/>
              <w:rPr>
                <w:sz w:val="20"/>
                <w:szCs w:val="20"/>
                <w:color w:val="auto"/>
              </w:rPr>
            </w:pPr>
            <w:r>
              <w:rPr>
                <w:rFonts w:ascii="Arial" w:cs="Arial" w:eastAsia="Arial" w:hAnsi="Arial"/>
                <w:sz w:val="16"/>
                <w:szCs w:val="16"/>
                <w:color w:val="auto"/>
                <w:w w:val="85"/>
              </w:rPr>
              <w:t>20,905</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20,905</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569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153" w:lineRule="exact"/>
        <w:rPr>
          <w:sz w:val="20"/>
          <w:szCs w:val="20"/>
          <w:color w:val="auto"/>
        </w:rPr>
      </w:pPr>
    </w:p>
    <w:p>
      <w:pPr>
        <w:ind w:left="422" w:right="440" w:hanging="422"/>
        <w:spacing w:after="0" w:line="250" w:lineRule="auto"/>
        <w:tabs>
          <w:tab w:leader="none" w:pos="422"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Consists of 99,953 Class A ADSs distributed by Northpole GLY 1 LP to Chow Hoi Fan Danny in connection with the transfer of Northpole GLY 1 LP’s holdings in the Company. The business address of this Selling Securityholder is Flat B, 2/F, United Mansion, 7 Shiu Fai Terrace, Mid-levels East, Hong Kong.</w:t>
      </w:r>
    </w:p>
    <w:p>
      <w:pPr>
        <w:ind w:left="422" w:right="740" w:hanging="422"/>
        <w:spacing w:after="0" w:line="245" w:lineRule="auto"/>
        <w:tabs>
          <w:tab w:leader="none" w:pos="422"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Consists of 299,860 Class A ADSs distributed by Northpole GLY 1 LP to Sun Yan in connection with the transfer of Northpole GLY 1 LP’s holdings in the Company. The business address of this Selling Securityholder is Suite No. 4307, Apartment Tower, Western Side Convention Plaza, 1 Harbour Road, Wan Chai, Hong Kong.</w:t>
      </w:r>
    </w:p>
    <w:p>
      <w:pPr>
        <w:spacing w:after="0" w:line="2" w:lineRule="exact"/>
        <w:rPr>
          <w:rFonts w:ascii="Arial" w:cs="Arial" w:eastAsia="Arial" w:hAnsi="Arial"/>
          <w:sz w:val="18"/>
          <w:szCs w:val="18"/>
          <w:color w:val="auto"/>
        </w:rPr>
      </w:pPr>
    </w:p>
    <w:p>
      <w:pPr>
        <w:ind w:left="422" w:right="560" w:hanging="422"/>
        <w:spacing w:after="0" w:line="294" w:lineRule="auto"/>
        <w:tabs>
          <w:tab w:leader="none" w:pos="422" w:val="left"/>
        </w:tabs>
        <w:numPr>
          <w:ilvl w:val="0"/>
          <w:numId w:val="2"/>
        </w:numPr>
        <w:rPr>
          <w:rFonts w:ascii="Arial" w:cs="Arial" w:eastAsia="Arial" w:hAnsi="Arial"/>
          <w:sz w:val="15"/>
          <w:szCs w:val="15"/>
          <w:color w:val="auto"/>
        </w:rPr>
      </w:pPr>
      <w:r>
        <w:rPr>
          <w:rFonts w:ascii="Arial" w:cs="Arial" w:eastAsia="Arial" w:hAnsi="Arial"/>
          <w:sz w:val="15"/>
          <w:szCs w:val="15"/>
          <w:color w:val="auto"/>
        </w:rPr>
        <w:t>Consists of 119,945 Class A ADSs distributed by Northpole GLY 1 LP to Kelly Prehn in connection with the transfer of Northpole GLY 1 LP’s holdings in the Company. The business address of this Selling Securityholder is 8 Mount Austin Road, Block 3 2/B, The Peak, Hong Kong.</w:t>
      </w:r>
    </w:p>
    <w:p>
      <w:pPr>
        <w:spacing w:after="0" w:line="1" w:lineRule="exact"/>
        <w:rPr>
          <w:rFonts w:ascii="Arial" w:cs="Arial" w:eastAsia="Arial" w:hAnsi="Arial"/>
          <w:sz w:val="15"/>
          <w:szCs w:val="15"/>
          <w:color w:val="auto"/>
        </w:rPr>
      </w:pPr>
    </w:p>
    <w:p>
      <w:pPr>
        <w:jc w:val="both"/>
        <w:ind w:left="422" w:right="320" w:hanging="422"/>
        <w:spacing w:after="0" w:line="294" w:lineRule="auto"/>
        <w:tabs>
          <w:tab w:leader="none" w:pos="422" w:val="left"/>
        </w:tabs>
        <w:numPr>
          <w:ilvl w:val="0"/>
          <w:numId w:val="2"/>
        </w:numPr>
        <w:rPr>
          <w:rFonts w:ascii="Arial" w:cs="Arial" w:eastAsia="Arial" w:hAnsi="Arial"/>
          <w:sz w:val="15"/>
          <w:szCs w:val="15"/>
          <w:color w:val="auto"/>
        </w:rPr>
      </w:pPr>
      <w:r>
        <w:rPr>
          <w:rFonts w:ascii="Arial" w:cs="Arial" w:eastAsia="Arial" w:hAnsi="Arial"/>
          <w:sz w:val="15"/>
          <w:szCs w:val="15"/>
          <w:color w:val="auto"/>
        </w:rPr>
        <w:t>Consists of 60,606 Class A ADSs distributed by Northpole GLY 1 LP to Richard Loretan in connection with the transfer of Northpole GLY 1 LP’s holdings in the Company and 33,447 Class A ADSs distributed by GLY New Mobility 1. LP in connection with the transfer of GLY New Mobility 1. LP’s holdings in the Company. The business address of this Selling Securityholder is Schlossbergstrasse 11, 8702 Zollikon, Switzerland.</w:t>
      </w:r>
    </w:p>
    <w:p>
      <w:pPr>
        <w:spacing w:after="0" w:line="2" w:lineRule="exact"/>
        <w:rPr>
          <w:rFonts w:ascii="Arial" w:cs="Arial" w:eastAsia="Arial" w:hAnsi="Arial"/>
          <w:sz w:val="15"/>
          <w:szCs w:val="15"/>
          <w:color w:val="auto"/>
        </w:rPr>
      </w:pPr>
    </w:p>
    <w:p>
      <w:pPr>
        <w:ind w:left="422" w:right="540" w:hanging="422"/>
        <w:spacing w:after="0" w:line="245" w:lineRule="auto"/>
        <w:tabs>
          <w:tab w:leader="none" w:pos="422"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Consists of 359,832 Class A ADSs distributed by Northpole GLY 1 LP to Roth Markus Josef and Song Ling Yan Helen in connection with the transfer of Northpole GLY 1 LP’s holdings in the Company. The business address of this Selling Securityholder is 32, 3/F Repulse Bay Garden, 18-40 Belleview Drive, Repulse Bay, Hong Kong.</w:t>
      </w:r>
    </w:p>
    <w:p>
      <w:pPr>
        <w:spacing w:after="0" w:line="2" w:lineRule="exact"/>
        <w:rPr>
          <w:rFonts w:ascii="Arial" w:cs="Arial" w:eastAsia="Arial" w:hAnsi="Arial"/>
          <w:sz w:val="18"/>
          <w:szCs w:val="18"/>
          <w:color w:val="auto"/>
        </w:rPr>
      </w:pPr>
    </w:p>
    <w:p>
      <w:pPr>
        <w:ind w:left="422" w:right="320" w:hanging="422"/>
        <w:spacing w:after="0" w:line="260" w:lineRule="auto"/>
        <w:tabs>
          <w:tab w:leader="none" w:pos="422"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Consists of 250,854 Class A ADSs distributed by GLY New Mobility 1. LP to Bright Moral Group Limited in connection with the transfer of GLY New Mobility 1. LP’s holdings in the Company. Wong Chi Yun Allan and Wong Wendy Dick Yee are the directors of Bright Moral Group Limited and, as such, may be deemed to be the beneficial owner of the securities reported by this Selling Securityholder. The business address of this Selling Securityholder is No. 80-81, Shopping Arcade II, 2/F, Admiralty Centre, 18 Harcourt Road, Hong Kong.</w:t>
      </w:r>
    </w:p>
    <w:p>
      <w:pPr>
        <w:ind w:left="422" w:right="640" w:hanging="422"/>
        <w:spacing w:after="0" w:line="245" w:lineRule="auto"/>
        <w:tabs>
          <w:tab w:leader="none" w:pos="422"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Consists of 50,171 Class A ADSs distributed by GLY New Mobility 1. LP to Manuel Rodolphe Garcia in connection with the transfer of GLY New Mobility 1. LP’s holdings in the Company. The business address of this Selling Securityholder is Im Zeltengut 6, 8700 Küsnacht, Switzerland.</w:t>
      </w:r>
    </w:p>
    <w:p>
      <w:pPr>
        <w:spacing w:after="0" w:line="2" w:lineRule="exact"/>
        <w:rPr>
          <w:rFonts w:ascii="Arial" w:cs="Arial" w:eastAsia="Arial" w:hAnsi="Arial"/>
          <w:sz w:val="18"/>
          <w:szCs w:val="18"/>
          <w:color w:val="auto"/>
        </w:rPr>
      </w:pPr>
    </w:p>
    <w:p>
      <w:pPr>
        <w:ind w:left="422" w:right="580" w:hanging="422"/>
        <w:spacing w:after="0" w:line="245" w:lineRule="auto"/>
        <w:tabs>
          <w:tab w:leader="none" w:pos="422"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Consists of 83,618 Class A ADSs distributed by GLY New Mobility 1. LP to Pierre-Alain Mathier in connection with the transfer of GLY New Mobility 1. LP’s holdings in the Company. The business address of this Selling Securityholder is Lindenbergstr. 4, 8700 Kuesnacht, ZH, Switzerland.</w:t>
      </w:r>
    </w:p>
    <w:p>
      <w:pPr>
        <w:spacing w:after="0" w:line="2" w:lineRule="exact"/>
        <w:rPr>
          <w:rFonts w:ascii="Arial" w:cs="Arial" w:eastAsia="Arial" w:hAnsi="Arial"/>
          <w:sz w:val="18"/>
          <w:szCs w:val="18"/>
          <w:color w:val="auto"/>
        </w:rPr>
      </w:pPr>
    </w:p>
    <w:p>
      <w:pPr>
        <w:jc w:val="both"/>
        <w:ind w:left="422" w:right="400" w:hanging="422"/>
        <w:spacing w:after="0" w:line="322" w:lineRule="auto"/>
        <w:tabs>
          <w:tab w:leader="none" w:pos="422" w:val="left"/>
        </w:tabs>
        <w:numPr>
          <w:ilvl w:val="0"/>
          <w:numId w:val="2"/>
        </w:numPr>
        <w:rPr>
          <w:rFonts w:ascii="Arial" w:cs="Arial" w:eastAsia="Arial" w:hAnsi="Arial"/>
          <w:sz w:val="15"/>
          <w:szCs w:val="15"/>
          <w:color w:val="auto"/>
        </w:rPr>
      </w:pPr>
      <w:r>
        <w:rPr>
          <w:rFonts w:ascii="Arial" w:cs="Arial" w:eastAsia="Arial" w:hAnsi="Arial"/>
          <w:sz w:val="15"/>
          <w:szCs w:val="15"/>
          <w:color w:val="auto"/>
        </w:rPr>
        <w:t>Consists of 20,905 Class A ADSs distributed by GLY new Mobility 1. LP to THOR S.r.l. in connection with the transfer of GLY New Mobility 1. LP’s holdings in the Company. Davide Barberis is the sole director of THOR S.r.l. and, as such, may be deemed to be the beneficial owner of the securities reported by this Selling Securityholder. The business address of this Selling Securityholder is Via Real Collegio 6, Moncalieri, Italy.</w:t>
      </w:r>
    </w:p>
    <w:p>
      <w:pPr>
        <w:spacing w:after="0" w:line="44" w:lineRule="exact"/>
        <w:rPr>
          <w:sz w:val="20"/>
          <w:szCs w:val="20"/>
          <w:color w:val="auto"/>
        </w:rPr>
      </w:pPr>
    </w:p>
    <w:p>
      <w:pPr>
        <w:ind w:left="962" w:hanging="538"/>
        <w:spacing w:after="0"/>
        <w:tabs>
          <w:tab w:leader="none" w:pos="96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Revision of the following line items and corresponding footnotes:</w:t>
      </w:r>
    </w:p>
    <w:p>
      <w:pPr>
        <w:spacing w:after="0" w:line="224"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6"/>
          </w:tcPr>
          <w:p>
            <w:pPr>
              <w:jc w:val="center"/>
              <w:ind w:left="328"/>
              <w:spacing w:after="0"/>
              <w:rPr>
                <w:sz w:val="20"/>
                <w:szCs w:val="20"/>
                <w:color w:val="auto"/>
              </w:rPr>
            </w:pPr>
            <w:r>
              <w:rPr>
                <w:rFonts w:ascii="Arial" w:cs="Arial" w:eastAsia="Arial" w:hAnsi="Arial"/>
                <w:sz w:val="14"/>
                <w:szCs w:val="14"/>
                <w:b w:val="1"/>
                <w:bCs w:val="1"/>
                <w:color w:val="auto"/>
                <w:w w:val="90"/>
              </w:rPr>
              <w:t>Securities Beneficially Owned</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8"/>
              </w:rPr>
              <w:t>Securities to be Sold</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7"/>
          </w:tcPr>
          <w:p>
            <w:pPr>
              <w:jc w:val="right"/>
              <w:spacing w:after="0"/>
              <w:rPr>
                <w:sz w:val="20"/>
                <w:szCs w:val="20"/>
                <w:color w:val="auto"/>
              </w:rPr>
            </w:pPr>
            <w:r>
              <w:rPr>
                <w:rFonts w:ascii="Arial" w:cs="Arial" w:eastAsia="Arial" w:hAnsi="Arial"/>
                <w:sz w:val="14"/>
                <w:szCs w:val="14"/>
                <w:b w:val="1"/>
                <w:bCs w:val="1"/>
                <w:color w:val="auto"/>
                <w:w w:val="89"/>
              </w:rPr>
              <w:t>Securities Beneficially Owne</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6"/>
          </w:tcPr>
          <w:p>
            <w:pPr>
              <w:jc w:val="center"/>
              <w:ind w:left="328"/>
              <w:spacing w:after="0"/>
              <w:rPr>
                <w:sz w:val="20"/>
                <w:szCs w:val="20"/>
                <w:color w:val="auto"/>
              </w:rPr>
            </w:pPr>
            <w:r>
              <w:rPr>
                <w:rFonts w:ascii="Arial" w:cs="Arial" w:eastAsia="Arial" w:hAnsi="Arial"/>
                <w:sz w:val="14"/>
                <w:szCs w:val="14"/>
                <w:b w:val="1"/>
                <w:bCs w:val="1"/>
                <w:color w:val="auto"/>
                <w:w w:val="93"/>
              </w:rPr>
              <w:t>Prior to This Offering</w:t>
            </w: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4"/>
              </w:rPr>
              <w:t>in This Offering</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w w:val="93"/>
              </w:rPr>
              <w:t>After This Offering</w:t>
            </w: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A</w:t>
            </w:r>
          </w:p>
        </w:tc>
        <w:tc>
          <w:tcPr>
            <w:tcW w:w="900" w:type="dxa"/>
            <w:vAlign w:val="bottom"/>
            <w:gridSpan w:val="2"/>
          </w:tcPr>
          <w:p>
            <w:pPr>
              <w:jc w:val="right"/>
              <w:ind w:right="80"/>
              <w:spacing w:after="0" w:line="116" w:lineRule="exact"/>
              <w:rPr>
                <w:sz w:val="20"/>
                <w:szCs w:val="20"/>
                <w:color w:val="auto"/>
              </w:rPr>
            </w:pPr>
            <w:r>
              <w:rPr>
                <w:rFonts w:ascii="Arial" w:cs="Arial" w:eastAsia="Arial" w:hAnsi="Arial"/>
                <w:sz w:val="13"/>
                <w:szCs w:val="13"/>
                <w:b w:val="1"/>
                <w:bCs w:val="1"/>
                <w:color w:val="auto"/>
                <w:w w:val="93"/>
              </w:rPr>
              <w:t>Percentage of</w:t>
            </w:r>
          </w:p>
        </w:tc>
        <w:tc>
          <w:tcPr>
            <w:tcW w:w="5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5"/>
              </w:rPr>
              <w:t>Class B</w:t>
            </w:r>
          </w:p>
        </w:tc>
        <w:tc>
          <w:tcPr>
            <w:tcW w:w="740" w:type="dxa"/>
            <w:vAlign w:val="bottom"/>
            <w:gridSpan w:val="2"/>
          </w:tcPr>
          <w:p>
            <w:pPr>
              <w:jc w:val="center"/>
              <w:ind w:right="80"/>
              <w:spacing w:after="0" w:line="116" w:lineRule="exact"/>
              <w:rPr>
                <w:sz w:val="20"/>
                <w:szCs w:val="20"/>
                <w:color w:val="auto"/>
              </w:rPr>
            </w:pPr>
            <w:r>
              <w:rPr>
                <w:rFonts w:ascii="Arial" w:cs="Arial" w:eastAsia="Arial" w:hAnsi="Arial"/>
                <w:sz w:val="13"/>
                <w:szCs w:val="13"/>
                <w:b w:val="1"/>
                <w:bCs w:val="1"/>
                <w:color w:val="auto"/>
                <w:w w:val="94"/>
              </w:rPr>
              <w:t>Percentage</w:t>
            </w:r>
          </w:p>
        </w:tc>
        <w:tc>
          <w:tcPr>
            <w:tcW w:w="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C</w:t>
            </w:r>
          </w:p>
        </w:tc>
        <w:tc>
          <w:tcPr>
            <w:tcW w:w="68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4"/>
              </w:rPr>
              <w:t>Percentage</w:t>
            </w:r>
          </w:p>
        </w:tc>
        <w:tc>
          <w:tcPr>
            <w:tcW w:w="80" w:type="dxa"/>
            <w:vAlign w:val="bottom"/>
          </w:tcPr>
          <w:p>
            <w:pPr>
              <w:spacing w:after="0"/>
              <w:rPr>
                <w:sz w:val="10"/>
                <w:szCs w:val="10"/>
                <w:color w:val="auto"/>
              </w:rPr>
            </w:pPr>
          </w:p>
        </w:tc>
        <w:tc>
          <w:tcPr>
            <w:tcW w:w="1000" w:type="dxa"/>
            <w:vAlign w:val="bottom"/>
            <w:gridSpan w:val="2"/>
            <w:vMerge w:val="restart"/>
          </w:tcPr>
          <w:p>
            <w:pPr>
              <w:jc w:val="right"/>
              <w:ind w:right="315"/>
              <w:spacing w:after="0"/>
              <w:rPr>
                <w:sz w:val="20"/>
                <w:szCs w:val="20"/>
                <w:color w:val="auto"/>
              </w:rPr>
            </w:pPr>
            <w:r>
              <w:rPr>
                <w:rFonts w:ascii="Arial" w:cs="Arial" w:eastAsia="Arial" w:hAnsi="Arial"/>
                <w:sz w:val="14"/>
                <w:szCs w:val="14"/>
                <w:b w:val="1"/>
                <w:bCs w:val="1"/>
                <w:color w:val="auto"/>
              </w:rPr>
              <w:t>Class A</w:t>
            </w:r>
          </w:p>
        </w:tc>
        <w:tc>
          <w:tcPr>
            <w:tcW w:w="40" w:type="dxa"/>
            <w:vAlign w:val="bottom"/>
          </w:tcPr>
          <w:p>
            <w:pPr>
              <w:spacing w:after="0"/>
              <w:rPr>
                <w:sz w:val="10"/>
                <w:szCs w:val="10"/>
                <w:color w:val="auto"/>
              </w:rPr>
            </w:pPr>
          </w:p>
        </w:tc>
        <w:tc>
          <w:tcPr>
            <w:tcW w:w="760" w:type="dxa"/>
            <w:vAlign w:val="bottom"/>
            <w:gridSpan w:val="2"/>
          </w:tcPr>
          <w:p>
            <w:pPr>
              <w:jc w:val="right"/>
              <w:ind w:right="100"/>
              <w:spacing w:after="0" w:line="116" w:lineRule="exact"/>
              <w:rPr>
                <w:sz w:val="20"/>
                <w:szCs w:val="20"/>
                <w:color w:val="auto"/>
              </w:rPr>
            </w:pPr>
            <w:r>
              <w:rPr>
                <w:rFonts w:ascii="Arial" w:cs="Arial" w:eastAsia="Arial" w:hAnsi="Arial"/>
                <w:sz w:val="13"/>
                <w:szCs w:val="13"/>
                <w:b w:val="1"/>
                <w:bCs w:val="1"/>
                <w:color w:val="auto"/>
                <w:w w:val="91"/>
              </w:rPr>
              <w:t>Percentage</w:t>
            </w:r>
          </w:p>
        </w:tc>
        <w:tc>
          <w:tcPr>
            <w:tcW w:w="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C</w:t>
            </w:r>
          </w:p>
        </w:tc>
        <w:tc>
          <w:tcPr>
            <w:tcW w:w="68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4"/>
              </w:rPr>
              <w:t>Percentage</w:t>
            </w:r>
          </w:p>
        </w:tc>
        <w:tc>
          <w:tcPr>
            <w:tcW w:w="80" w:type="dxa"/>
            <w:vAlign w:val="bottom"/>
          </w:tcPr>
          <w:p>
            <w:pPr>
              <w:spacing w:after="0"/>
              <w:rPr>
                <w:sz w:val="10"/>
                <w:szCs w:val="10"/>
                <w:color w:val="auto"/>
              </w:rPr>
            </w:pPr>
          </w:p>
        </w:tc>
        <w:tc>
          <w:tcPr>
            <w:tcW w:w="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A</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Class C</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 of Selling Securityholders</w:t>
            </w:r>
          </w:p>
        </w:tc>
        <w:tc>
          <w:tcPr>
            <w:tcW w:w="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2"/>
          </w:tcPr>
          <w:p>
            <w:pPr>
              <w:jc w:val="right"/>
              <w:ind w:right="260"/>
              <w:spacing w:after="0" w:line="146" w:lineRule="exact"/>
              <w:rPr>
                <w:sz w:val="20"/>
                <w:szCs w:val="20"/>
                <w:color w:val="auto"/>
              </w:rPr>
            </w:pPr>
            <w:r>
              <w:rPr>
                <w:rFonts w:ascii="Arial" w:cs="Arial" w:eastAsia="Arial" w:hAnsi="Arial"/>
                <w:sz w:val="14"/>
                <w:szCs w:val="14"/>
                <w:b w:val="1"/>
                <w:bCs w:val="1"/>
                <w:color w:val="auto"/>
              </w:rPr>
              <w:t>Class A</w:t>
            </w:r>
          </w:p>
        </w:tc>
        <w:tc>
          <w:tcPr>
            <w:tcW w:w="560" w:type="dxa"/>
            <w:vAlign w:val="bottom"/>
            <w:gridSpan w:val="2"/>
            <w:vMerge w:val="continue"/>
          </w:tcPr>
          <w:p>
            <w:pPr>
              <w:spacing w:after="0"/>
              <w:rPr>
                <w:sz w:val="12"/>
                <w:szCs w:val="12"/>
                <w:color w:val="auto"/>
              </w:rPr>
            </w:pPr>
          </w:p>
        </w:tc>
        <w:tc>
          <w:tcPr>
            <w:tcW w:w="740" w:type="dxa"/>
            <w:vAlign w:val="bottom"/>
            <w:gridSpan w:val="2"/>
          </w:tcPr>
          <w:p>
            <w:pPr>
              <w:jc w:val="center"/>
              <w:ind w:right="80"/>
              <w:spacing w:after="0" w:line="146" w:lineRule="exact"/>
              <w:rPr>
                <w:sz w:val="20"/>
                <w:szCs w:val="20"/>
                <w:color w:val="auto"/>
              </w:rPr>
            </w:pPr>
            <w:r>
              <w:rPr>
                <w:rFonts w:ascii="Arial" w:cs="Arial" w:eastAsia="Arial" w:hAnsi="Arial"/>
                <w:sz w:val="14"/>
                <w:szCs w:val="14"/>
                <w:b w:val="1"/>
                <w:bCs w:val="1"/>
                <w:color w:val="auto"/>
                <w:w w:val="90"/>
              </w:rPr>
              <w:t>of Class B</w:t>
            </w:r>
          </w:p>
        </w:tc>
        <w:tc>
          <w:tcPr>
            <w:tcW w:w="540" w:type="dxa"/>
            <w:vAlign w:val="bottom"/>
            <w:gridSpan w:val="2"/>
            <w:vMerge w:val="continue"/>
          </w:tcPr>
          <w:p>
            <w:pPr>
              <w:spacing w:after="0"/>
              <w:rPr>
                <w:sz w:val="12"/>
                <w:szCs w:val="12"/>
                <w:color w:val="auto"/>
              </w:rPr>
            </w:pPr>
          </w:p>
        </w:tc>
        <w:tc>
          <w:tcPr>
            <w:tcW w:w="760" w:type="dxa"/>
            <w:vAlign w:val="bottom"/>
            <w:gridSpan w:val="2"/>
          </w:tcPr>
          <w:p>
            <w:pPr>
              <w:jc w:val="center"/>
              <w:ind w:right="60"/>
              <w:spacing w:after="0" w:line="146" w:lineRule="exact"/>
              <w:rPr>
                <w:sz w:val="20"/>
                <w:szCs w:val="20"/>
                <w:color w:val="auto"/>
              </w:rPr>
            </w:pPr>
            <w:r>
              <w:rPr>
                <w:rFonts w:ascii="Arial" w:cs="Arial" w:eastAsia="Arial" w:hAnsi="Arial"/>
                <w:sz w:val="14"/>
                <w:szCs w:val="14"/>
                <w:b w:val="1"/>
                <w:bCs w:val="1"/>
                <w:color w:val="auto"/>
                <w:w w:val="90"/>
              </w:rPr>
              <w:t>of Class C</w:t>
            </w:r>
          </w:p>
        </w:tc>
        <w:tc>
          <w:tcPr>
            <w:tcW w:w="10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ind w:right="80"/>
              <w:spacing w:after="0" w:line="146" w:lineRule="exact"/>
              <w:rPr>
                <w:sz w:val="20"/>
                <w:szCs w:val="20"/>
                <w:color w:val="auto"/>
              </w:rPr>
            </w:pPr>
            <w:r>
              <w:rPr>
                <w:rFonts w:ascii="Arial" w:cs="Arial" w:eastAsia="Arial" w:hAnsi="Arial"/>
                <w:sz w:val="14"/>
                <w:szCs w:val="14"/>
                <w:b w:val="1"/>
                <w:bCs w:val="1"/>
                <w:color w:val="auto"/>
                <w:w w:val="87"/>
              </w:rPr>
              <w:t>of Class A</w:t>
            </w:r>
          </w:p>
        </w:tc>
        <w:tc>
          <w:tcPr>
            <w:tcW w:w="54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6" w:lineRule="exact"/>
              <w:rPr>
                <w:sz w:val="20"/>
                <w:szCs w:val="20"/>
                <w:color w:val="auto"/>
              </w:rPr>
            </w:pPr>
            <w:r>
              <w:rPr>
                <w:rFonts w:ascii="Arial" w:cs="Arial" w:eastAsia="Arial" w:hAnsi="Arial"/>
                <w:sz w:val="14"/>
                <w:szCs w:val="14"/>
                <w:b w:val="1"/>
                <w:bCs w:val="1"/>
                <w:color w:val="auto"/>
                <w:w w:val="90"/>
              </w:rPr>
              <w:t>of Class C</w:t>
            </w:r>
          </w:p>
        </w:tc>
        <w:tc>
          <w:tcPr>
            <w:tcW w:w="5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94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rPr>
              <w:t>ADS</w:t>
            </w:r>
          </w:p>
        </w:tc>
        <w:tc>
          <w:tcPr>
            <w:tcW w:w="90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ADSs#</w:t>
            </w:r>
          </w:p>
        </w:tc>
        <w:tc>
          <w:tcPr>
            <w:tcW w:w="56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4"/>
              </w:rPr>
              <w:t>ADS</w:t>
            </w:r>
          </w:p>
        </w:tc>
        <w:tc>
          <w:tcPr>
            <w:tcW w:w="74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0"/>
              </w:rPr>
              <w:t>ADSs</w:t>
            </w:r>
          </w:p>
        </w:tc>
        <w:tc>
          <w:tcPr>
            <w:tcW w:w="54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94"/>
              </w:rPr>
              <w:t>ADS</w:t>
            </w:r>
          </w:p>
        </w:tc>
        <w:tc>
          <w:tcPr>
            <w:tcW w:w="760" w:type="dxa"/>
            <w:vAlign w:val="bottom"/>
            <w:gridSpan w:val="2"/>
          </w:tcPr>
          <w:p>
            <w:pPr>
              <w:jc w:val="center"/>
              <w:ind w:right="60"/>
              <w:spacing w:after="0" w:line="155" w:lineRule="exact"/>
              <w:rPr>
                <w:sz w:val="20"/>
                <w:szCs w:val="20"/>
                <w:color w:val="auto"/>
              </w:rPr>
            </w:pPr>
            <w:r>
              <w:rPr>
                <w:rFonts w:ascii="Arial" w:cs="Arial" w:eastAsia="Arial" w:hAnsi="Arial"/>
                <w:sz w:val="14"/>
                <w:szCs w:val="14"/>
                <w:b w:val="1"/>
                <w:bCs w:val="1"/>
                <w:color w:val="auto"/>
                <w:w w:val="90"/>
              </w:rPr>
              <w:t>ADSs</w:t>
            </w:r>
          </w:p>
        </w:tc>
        <w:tc>
          <w:tcPr>
            <w:tcW w:w="1000" w:type="dxa"/>
            <w:vAlign w:val="bottom"/>
            <w:gridSpan w:val="2"/>
          </w:tcPr>
          <w:p>
            <w:pPr>
              <w:jc w:val="right"/>
              <w:ind w:right="415"/>
              <w:spacing w:after="0" w:line="155" w:lineRule="exact"/>
              <w:rPr>
                <w:sz w:val="20"/>
                <w:szCs w:val="20"/>
                <w:color w:val="auto"/>
              </w:rPr>
            </w:pPr>
            <w:r>
              <w:rPr>
                <w:rFonts w:ascii="Arial" w:cs="Arial" w:eastAsia="Arial" w:hAnsi="Arial"/>
                <w:sz w:val="14"/>
                <w:szCs w:val="14"/>
                <w:b w:val="1"/>
                <w:bCs w:val="1"/>
                <w:color w:val="auto"/>
              </w:rPr>
              <w:t>ADS</w:t>
            </w:r>
          </w:p>
        </w:tc>
        <w:tc>
          <w:tcPr>
            <w:tcW w:w="40" w:type="dxa"/>
            <w:vAlign w:val="bottom"/>
          </w:tcPr>
          <w:p>
            <w:pPr>
              <w:spacing w:after="0"/>
              <w:rPr>
                <w:sz w:val="15"/>
                <w:szCs w:val="15"/>
                <w:color w:val="auto"/>
              </w:rPr>
            </w:pPr>
          </w:p>
        </w:tc>
        <w:tc>
          <w:tcPr>
            <w:tcW w:w="76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0"/>
              </w:rPr>
              <w:t>ADSs##</w:t>
            </w:r>
          </w:p>
        </w:tc>
        <w:tc>
          <w:tcPr>
            <w:tcW w:w="54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4"/>
              </w:rPr>
              <w:t>ADS</w:t>
            </w:r>
          </w:p>
        </w:tc>
        <w:tc>
          <w:tcPr>
            <w:tcW w:w="76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0"/>
              </w:rPr>
              <w:t>ADSs</w:t>
            </w:r>
          </w:p>
        </w:tc>
        <w:tc>
          <w:tcPr>
            <w:tcW w:w="54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rPr>
              <w:t>ADS</w:t>
            </w:r>
          </w:p>
        </w:tc>
        <w:tc>
          <w:tcPr>
            <w:tcW w:w="300" w:type="dxa"/>
            <w:vAlign w:val="bottom"/>
          </w:tcPr>
          <w:p>
            <w:pPr>
              <w:jc w:val="right"/>
              <w:ind w:right="3"/>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6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4"/>
              </w:rPr>
              <w:t>ADS</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1940" w:type="dxa"/>
            <w:vAlign w:val="bottom"/>
            <w:tcBorders>
              <w:top w:val="single" w:sz="8" w:color="CCEEFF"/>
            </w:tcBorders>
            <w:shd w:val="clear" w:color="auto" w:fill="CCEEFF"/>
          </w:tcPr>
          <w:p>
            <w:pPr>
              <w:spacing w:after="0" w:line="186" w:lineRule="exact"/>
              <w:rPr>
                <w:sz w:val="20"/>
                <w:szCs w:val="20"/>
                <w:color w:val="auto"/>
              </w:rPr>
            </w:pPr>
            <w:r>
              <w:rPr>
                <w:rFonts w:ascii="Arial" w:cs="Arial" w:eastAsia="Arial" w:hAnsi="Arial"/>
                <w:sz w:val="15"/>
                <w:szCs w:val="15"/>
                <w:color w:val="auto"/>
              </w:rPr>
              <w:t>Northpole GLY 1 LP</w:t>
            </w:r>
            <w:r>
              <w:rPr>
                <w:rFonts w:ascii="Arial" w:cs="Arial" w:eastAsia="Arial" w:hAnsi="Arial"/>
                <w:sz w:val="21"/>
                <w:szCs w:val="21"/>
                <w:color w:val="auto"/>
                <w:vertAlign w:val="superscript"/>
              </w:rPr>
              <w:t>(41)</w:t>
            </w:r>
          </w:p>
        </w:tc>
        <w:tc>
          <w:tcPr>
            <w:tcW w:w="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5,166,464</w:t>
            </w:r>
          </w:p>
        </w:tc>
        <w:tc>
          <w:tcPr>
            <w:tcW w:w="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6,951,679</w:t>
            </w:r>
          </w:p>
        </w:tc>
        <w:tc>
          <w:tcPr>
            <w:tcW w:w="240" w:type="dxa"/>
            <w:vAlign w:val="bottom"/>
            <w:tcBorders>
              <w:top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4"/>
              </w:rPr>
              <w:t>(42)</w:t>
            </w:r>
          </w:p>
        </w:tc>
        <w:tc>
          <w:tcPr>
            <w:tcW w:w="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2"/>
        </w:trPr>
        <w:tc>
          <w:tcPr>
            <w:tcW w:w="1940" w:type="dxa"/>
            <w:vAlign w:val="bottom"/>
          </w:tcPr>
          <w:p>
            <w:pPr>
              <w:spacing w:after="0"/>
              <w:rPr>
                <w:sz w:val="20"/>
                <w:szCs w:val="20"/>
                <w:color w:val="auto"/>
              </w:rPr>
            </w:pPr>
            <w:r>
              <w:rPr>
                <w:rFonts w:ascii="Arial" w:cs="Arial" w:eastAsia="Arial" w:hAnsi="Arial"/>
                <w:sz w:val="16"/>
                <w:szCs w:val="16"/>
                <w:color w:val="auto"/>
                <w:w w:val="97"/>
              </w:rPr>
              <w:t>GLY New Mobility 1. LP</w:t>
            </w:r>
            <w:r>
              <w:rPr>
                <w:rFonts w:ascii="Arial" w:cs="Arial" w:eastAsia="Arial" w:hAnsi="Arial"/>
                <w:sz w:val="23"/>
                <w:szCs w:val="23"/>
                <w:color w:val="auto"/>
                <w:w w:val="97"/>
                <w:vertAlign w:val="superscript"/>
              </w:rPr>
              <w:t>(43)</w:t>
            </w:r>
          </w:p>
        </w:tc>
        <w:tc>
          <w:tcPr>
            <w:tcW w:w="860" w:type="dxa"/>
            <w:vAlign w:val="bottom"/>
            <w:gridSpan w:val="3"/>
          </w:tcPr>
          <w:p>
            <w:pPr>
              <w:jc w:val="center"/>
              <w:spacing w:after="0"/>
              <w:rPr>
                <w:sz w:val="20"/>
                <w:szCs w:val="20"/>
                <w:color w:val="auto"/>
              </w:rPr>
            </w:pPr>
            <w:r>
              <w:rPr>
                <w:rFonts w:ascii="Arial" w:cs="Arial" w:eastAsia="Arial" w:hAnsi="Arial"/>
                <w:sz w:val="16"/>
                <w:szCs w:val="16"/>
                <w:color w:val="auto"/>
                <w:w w:val="87"/>
              </w:rPr>
              <w:t>11,667,519</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5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w w:val="87"/>
              </w:rPr>
              <w:t>12,783,278</w:t>
            </w:r>
            <w:r>
              <w:rPr>
                <w:rFonts w:ascii="Arial" w:cs="Arial" w:eastAsia="Arial" w:hAnsi="Arial"/>
                <w:sz w:val="23"/>
                <w:szCs w:val="23"/>
                <w:color w:val="auto"/>
                <w:w w:val="87"/>
                <w:vertAlign w:val="superscript"/>
              </w:rPr>
              <w:t>(44)</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5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6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56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6920" cy="8255"/>
                    </a:xfrm>
                    <a:prstGeom prst="rect">
                      <a:avLst/>
                    </a:prstGeom>
                    <a:noFill/>
                  </pic:spPr>
                </pic:pic>
              </a:graphicData>
            </a:graphic>
          </wp:anchor>
        </w:drawing>
      </w:r>
    </w:p>
    <w:p>
      <w:pPr>
        <w:spacing w:after="0" w:line="53" w:lineRule="exact"/>
        <w:rPr>
          <w:sz w:val="20"/>
          <w:szCs w:val="20"/>
          <w:color w:val="auto"/>
        </w:rPr>
      </w:pPr>
    </w:p>
    <w:p>
      <w:pPr>
        <w:ind w:left="422" w:right="420" w:hanging="422"/>
        <w:spacing w:after="0" w:line="302" w:lineRule="auto"/>
        <w:tabs>
          <w:tab w:leader="none" w:pos="422" w:val="left"/>
        </w:tabs>
        <w:numPr>
          <w:ilvl w:val="0"/>
          <w:numId w:val="4"/>
        </w:numPr>
        <w:rPr>
          <w:rFonts w:ascii="Arial" w:cs="Arial" w:eastAsia="Arial" w:hAnsi="Arial"/>
          <w:sz w:val="15"/>
          <w:szCs w:val="15"/>
          <w:color w:val="auto"/>
        </w:rPr>
      </w:pPr>
      <w:r>
        <w:rPr>
          <w:rFonts w:ascii="Arial" w:cs="Arial" w:eastAsia="Arial" w:hAnsi="Arial"/>
          <w:sz w:val="15"/>
          <w:szCs w:val="15"/>
          <w:color w:val="auto"/>
        </w:rPr>
        <w:t>Consists of 5,166,464 Class A ADSs issued to and held by Northpole GLY 1 LP in connection with the liquidation of Former Parent and subsequent distribution of certain of Northpole GLY 1 LP’s holdings to its limited partners. Northpole GLY 1 LP is managed by Northpole GLY GPl, its General Partner. Geely Financials owns approximately 86.0% of GLy Capital Management Partners (Cayman) Limited, which controls Northpole GLY GPI. (i) Geely Financials is 100% owned by Geely Sweden, (ii) Geely Sweden is 100% owned by Shanghai Geely, (iii) Shanghai Geely is 60.96% owned by Beijing Geely Wanyuan and 39.04% owned by Geely, (iv) Beijing Geely Wanyuan is 100% owned by Beijing Geely Kaisheng, (v) Beijing Geely Kaisheng is 100% owned by Zhejiang Geely, and (vi) Geely is 91.9% owned by Shufu Li. Therefore, Shufu Li is deemed to have voting and dispositive power with respect to the Class A ADSs directly held by Northpole GLY 1 LP. Shufu Li disclaims any beneficial ownership of the securities reported by Northpole GLY 1 LP other than to the extent of any pecuniary interest he may have therein, directly or indirectly. The business address of this Selling Securityholder is 12F H Code, 45 Pottinger St, Central, Hong Kong. The business address of Li Shufu is Room 303, Building 12, No. 980 Mingzhou Road, Xinqi Street, Beilun District, Ningbo, Zhejiang, China.</w:t>
      </w:r>
    </w:p>
    <w:p>
      <w:pPr>
        <w:sectPr>
          <w:pgSz w:w="11900" w:h="16838" w:orient="portrait"/>
          <w:cols w:equalWidth="0" w:num="1">
            <w:col w:w="11122"/>
          </w:cols>
          <w:pgMar w:left="538" w:top="247" w:right="239" w:bottom="1440" w:gutter="0" w:footer="0" w:header="0"/>
        </w:sectPr>
      </w:pPr>
    </w:p>
    <w:bookmarkStart w:id="2" w:name="page3"/>
    <w:bookmarkEnd w:id="2"/>
    <w:p>
      <w:pPr>
        <w:ind w:left="422" w:hanging="422"/>
        <w:spacing w:after="0"/>
        <w:tabs>
          <w:tab w:leader="none" w:pos="422"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6770" cy="38100"/>
                    </a:xfrm>
                    <a:prstGeom prst="rect">
                      <a:avLst/>
                    </a:prstGeom>
                    <a:noFill/>
                  </pic:spPr>
                </pic:pic>
              </a:graphicData>
            </a:graphic>
          </wp:anchor>
        </w:drawing>
        <w:t>Assumes the issuance of 1,785,215 Earn Out Class A Shares to this Selling Securityholder.</w:t>
      </w:r>
    </w:p>
    <w:p>
      <w:pPr>
        <w:spacing w:after="0" w:line="16" w:lineRule="exact"/>
        <w:rPr>
          <w:rFonts w:ascii="Arial" w:cs="Arial" w:eastAsia="Arial" w:hAnsi="Arial"/>
          <w:sz w:val="18"/>
          <w:szCs w:val="18"/>
          <w:color w:val="auto"/>
        </w:rPr>
      </w:pPr>
    </w:p>
    <w:p>
      <w:pPr>
        <w:ind w:left="422" w:right="240" w:hanging="422"/>
        <w:spacing w:after="0" w:line="294" w:lineRule="auto"/>
        <w:tabs>
          <w:tab w:leader="none" w:pos="422" w:val="left"/>
        </w:tabs>
        <w:numPr>
          <w:ilvl w:val="0"/>
          <w:numId w:val="5"/>
        </w:numPr>
        <w:rPr>
          <w:rFonts w:ascii="Arial" w:cs="Arial" w:eastAsia="Arial" w:hAnsi="Arial"/>
          <w:sz w:val="15"/>
          <w:szCs w:val="15"/>
          <w:color w:val="auto"/>
        </w:rPr>
      </w:pPr>
      <w:r>
        <w:rPr>
          <w:rFonts w:ascii="Arial" w:cs="Arial" w:eastAsia="Arial" w:hAnsi="Arial"/>
          <w:sz w:val="15"/>
          <w:szCs w:val="15"/>
          <w:color w:val="auto"/>
        </w:rPr>
        <w:t>Consists of 11,667,519 Class A ADSs issued to, and held by, GLY New Mobility 1. LP in connection with the liquidation of Parent and subsequent distribution of certain of GLY New Mobility 1. LP’s holdings to its limited partners. GLY New Mobility 1. LP is managed by GLY New Mobility GPl, its General Partner. Geely Financials International Limited (“Geely Financials”) owns approximately 86.0% of GLy Capital Management Partners (Cayman) Limited, which controls GLY New Mobility GPl. (i) Geely Financials is 100% owned by Geely Sweden,</w:t>
      </w:r>
    </w:p>
    <w:p>
      <w:pPr>
        <w:spacing w:after="0" w:line="2" w:lineRule="exact"/>
        <w:rPr>
          <w:rFonts w:ascii="Arial" w:cs="Arial" w:eastAsia="Arial" w:hAnsi="Arial"/>
          <w:sz w:val="15"/>
          <w:szCs w:val="15"/>
          <w:color w:val="auto"/>
        </w:rPr>
      </w:pPr>
    </w:p>
    <w:p>
      <w:pPr>
        <w:ind w:left="422"/>
        <w:spacing w:after="0"/>
        <w:rPr>
          <w:rFonts w:ascii="Arial" w:cs="Arial" w:eastAsia="Arial" w:hAnsi="Arial"/>
          <w:sz w:val="15"/>
          <w:szCs w:val="15"/>
          <w:color w:val="auto"/>
        </w:rPr>
      </w:pPr>
      <w:r>
        <w:rPr>
          <w:rFonts w:ascii="Arial" w:cs="Arial" w:eastAsia="Arial" w:hAnsi="Arial"/>
          <w:sz w:val="15"/>
          <w:szCs w:val="15"/>
          <w:color w:val="auto"/>
        </w:rPr>
        <w:t>(ii) Geely Sweden is 100% owned by Shanghai Geely Zhaoyuan International Investment Co., Ltd (“Shanghai Geely”), (iii) Shanghai Geely is</w:t>
      </w:r>
    </w:p>
    <w:p>
      <w:pPr>
        <w:spacing w:after="0" w:line="39" w:lineRule="exact"/>
        <w:rPr>
          <w:rFonts w:ascii="Arial" w:cs="Arial" w:eastAsia="Arial" w:hAnsi="Arial"/>
          <w:sz w:val="15"/>
          <w:szCs w:val="15"/>
          <w:color w:val="auto"/>
        </w:rPr>
      </w:pPr>
    </w:p>
    <w:p>
      <w:pPr>
        <w:ind w:left="422"/>
        <w:spacing w:after="0" w:line="260" w:lineRule="auto"/>
        <w:rPr>
          <w:rFonts w:ascii="Arial" w:cs="Arial" w:eastAsia="Arial" w:hAnsi="Arial"/>
          <w:sz w:val="15"/>
          <w:szCs w:val="15"/>
          <w:color w:val="auto"/>
        </w:rPr>
      </w:pPr>
      <w:r>
        <w:rPr>
          <w:rFonts w:ascii="Arial" w:cs="Arial" w:eastAsia="Arial" w:hAnsi="Arial"/>
          <w:sz w:val="17"/>
          <w:szCs w:val="17"/>
          <w:color w:val="auto"/>
        </w:rPr>
        <w:t>60.96% owned by Beijing Geely Wanyuan International Investment Co. Ltd (“Beijing Geely Wanyuan”) and 39.04% owned by Geely, (iv) Beijing Geely Wanyuan is 100% owned by Beijing Geely Kaisheng International Investment Co., Ltd. (“Beijing Geely Kaisheng”), (v) Beijing Geely Kaisheng is 100% owned by Zhejiang Geely, and (vi) Geely is 91.9% owned by Shufu Li. Therefore, Shufu Li is deemed to have voting and dispositive power with respect to the Class A ADSs directly held by GLY New Mobility 1. LP. Shufu Li disclaims any beneficial ownership of the securities reported by GLY New Mobility 1. LP other than to the extent of any pecuniary interest he may have therein, directly or indirectly. The business address of this Selling Securityholder is 12F H Code, 45 Pottinger St, Central, Hong Kong. The business address of Li Shufu is Room 303, Building 12, No. 980 Mingzhou Road, Xinqi Street, Beilun District, Ningbo, Zhejiang, China.</w:t>
      </w:r>
    </w:p>
    <w:p>
      <w:pPr>
        <w:spacing w:after="0" w:line="1" w:lineRule="exact"/>
        <w:rPr>
          <w:rFonts w:ascii="Arial" w:cs="Arial" w:eastAsia="Arial" w:hAnsi="Arial"/>
          <w:sz w:val="15"/>
          <w:szCs w:val="15"/>
          <w:color w:val="auto"/>
        </w:rPr>
      </w:pPr>
    </w:p>
    <w:p>
      <w:pPr>
        <w:ind w:left="422" w:hanging="422"/>
        <w:spacing w:after="0"/>
        <w:tabs>
          <w:tab w:leader="none" w:pos="422"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Assumes the issuance of 1,115,759 Earn Out Class A Shares to this Selling Securityholder.</w:t>
      </w:r>
    </w:p>
    <w:p>
      <w:pPr>
        <w:spacing w:after="0" w:line="206" w:lineRule="exact"/>
        <w:rPr>
          <w:sz w:val="20"/>
          <w:szCs w:val="20"/>
          <w:color w:val="auto"/>
        </w:rPr>
      </w:pPr>
    </w:p>
    <w:p>
      <w:pPr>
        <w:ind w:left="2" w:right="280"/>
        <w:spacing w:after="0" w:line="255" w:lineRule="auto"/>
        <w:rPr>
          <w:sz w:val="20"/>
          <w:szCs w:val="20"/>
          <w:color w:val="auto"/>
        </w:rPr>
      </w:pPr>
      <w:r>
        <w:rPr>
          <w:rFonts w:ascii="Arial" w:cs="Arial" w:eastAsia="Arial" w:hAnsi="Arial"/>
          <w:sz w:val="18"/>
          <w:szCs w:val="18"/>
          <w:color w:val="auto"/>
        </w:rPr>
        <w:t>We may further amend or supplement the Prospectus and this Supplement No. 1 from time to time by filing amendments or supplements as required. You should read the entire Prospectus, including information incorporated by reference therein, this Supplement No. 1 and any amendments or supplements carefully before you make your investment decision.</w:t>
      </w:r>
    </w:p>
    <w:p>
      <w:pPr>
        <w:spacing w:after="0" w:line="188" w:lineRule="exact"/>
        <w:rPr>
          <w:sz w:val="20"/>
          <w:szCs w:val="20"/>
          <w:color w:val="auto"/>
        </w:rPr>
      </w:pPr>
    </w:p>
    <w:p>
      <w:pPr>
        <w:ind w:left="2"/>
        <w:spacing w:after="0" w:line="255" w:lineRule="auto"/>
        <w:rPr>
          <w:sz w:val="20"/>
          <w:szCs w:val="20"/>
          <w:color w:val="auto"/>
        </w:rPr>
      </w:pPr>
      <w:r>
        <w:rPr>
          <w:rFonts w:ascii="Arial" w:cs="Arial" w:eastAsia="Arial" w:hAnsi="Arial"/>
          <w:sz w:val="18"/>
          <w:szCs w:val="18"/>
          <w:color w:val="auto"/>
        </w:rPr>
        <w:t>Our Class A ADSs and Class C-1 ADSs are listed on the Nasdaq Stock Market LLC (“Nasdaq”), under the trading symbols “PSNY” and “PSNYW,” respectively. On August 14, 2023, the closing price for our Class A ADSs on Nasdaq was $4.01. On August 14, 2023, the closing price for our Class C-1 ADSs on Nasdaq was $0.62.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2708910</wp:posOffset>
            </wp:positionH>
            <wp:positionV relativeFrom="paragraph">
              <wp:posOffset>211455</wp:posOffset>
            </wp:positionV>
            <wp:extent cx="1447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2" w:right="440"/>
        <w:spacing w:after="0" w:line="248" w:lineRule="auto"/>
        <w:rPr>
          <w:sz w:val="20"/>
          <w:szCs w:val="20"/>
          <w:color w:val="auto"/>
        </w:rPr>
      </w:pPr>
      <w:r>
        <w:rPr>
          <w:rFonts w:ascii="Arial" w:cs="Arial" w:eastAsia="Arial" w:hAnsi="Arial"/>
          <w:sz w:val="21"/>
          <w:szCs w:val="21"/>
          <w:b w:val="1"/>
          <w:bCs w:val="1"/>
          <w:color w:val="auto"/>
        </w:rPr>
        <w:t>Investing in our securities involves a high degree of risk. You should carefully review the risks and uncertainties described under the heading “Risk Factors” beginning on page 7 of the Prospectus, as well as the other parts of the Prospectus, information incorporated by reference therein and any prospectus supplement or amendment thereto, before you make an investment in our securities.</w:t>
      </w:r>
    </w:p>
    <w:p>
      <w:pPr>
        <w:sectPr>
          <w:pgSz w:w="11900" w:h="16838" w:orient="portrait"/>
          <w:cols w:equalWidth="0" w:num="1">
            <w:col w:w="10802"/>
          </w:cols>
          <w:pgMar w:left="538" w:top="273" w:right="559" w:bottom="1440" w:gutter="0" w:footer="0" w:header="0"/>
        </w:sectPr>
      </w:pPr>
    </w:p>
    <w:bookmarkStart w:id="3" w:name="page4"/>
    <w:bookmarkEnd w:id="3"/>
    <w:p>
      <w:pPr>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6770" cy="38100"/>
                    </a:xfrm>
                    <a:prstGeom prst="rect">
                      <a:avLst/>
                    </a:prstGeom>
                    <a:noFill/>
                  </pic:spPr>
                </pic:pic>
              </a:graphicData>
            </a:graphic>
          </wp:anchor>
        </w:drawing>
        <w:t>Neither the SEC nor any state or foreign securities commission has approved or disapproved of the securities to which the Prospectus or any supplement thereto relate, or determined if this Supplement No. 1 or the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2707640</wp:posOffset>
            </wp:positionH>
            <wp:positionV relativeFrom="paragraph">
              <wp:posOffset>210185</wp:posOffset>
            </wp:positionV>
            <wp:extent cx="1447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This Supplement No. 1 is dated August 15, 2023</w:t>
      </w:r>
    </w:p>
    <w:sectPr>
      <w:pgSz w:w="11900" w:h="16838" w:orient="portrait"/>
      <w:cols w:equalWidth="0" w:num="1">
        <w:col w:w="10740"/>
      </w:cols>
      <w:pgMar w:left="540" w:top="26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
    </w:lvl>
  </w:abstractNum>
  <w:abstractNum w:abstractNumId="1">
    <w:nsid w:val="2AE8944A"/>
    <w:multiLevelType w:val="hybridMultilevel"/>
    <w:lvl w:ilvl="0">
      <w:lvlJc w:val="left"/>
      <w:lvlText w:val="(%1)"/>
      <w:numFmt w:val="decimal"/>
      <w:start w:val="76"/>
    </w:lvl>
  </w:abstractNum>
  <w:abstractNum w:abstractNumId="2">
    <w:nsid w:val="625558EC"/>
    <w:multiLevelType w:val="hybridMultilevel"/>
    <w:lvl w:ilvl="0">
      <w:lvlJc w:val="left"/>
      <w:lvlText w:val="(%1)"/>
      <w:numFmt w:val="lowerRoman"/>
      <w:start w:val="2"/>
    </w:lvl>
  </w:abstractNum>
  <w:abstractNum w:abstractNumId="3">
    <w:nsid w:val="238E1F29"/>
    <w:multiLevelType w:val="hybridMultilevel"/>
    <w:lvl w:ilvl="0">
      <w:lvlJc w:val="left"/>
      <w:lvlText w:val="(%1)"/>
      <w:numFmt w:val="decimal"/>
      <w:start w:val="41"/>
    </w:lvl>
  </w:abstractNum>
  <w:abstractNum w:abstractNumId="4">
    <w:nsid w:val="46E87CCD"/>
    <w:multiLevelType w:val="hybridMultilevel"/>
    <w:lvl w:ilvl="0">
      <w:lvlJc w:val="left"/>
      <w:lvlText w:val="(%1)"/>
      <w:numFmt w:val="decimal"/>
      <w:start w:val="4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2023-08-15T08:39:41Z</dcterms:created>
  <dcterms:modified xsi:type="dcterms:W3CDTF">2023-08-15T08:39:41Z</dcterms:modified>
</cp:coreProperties>
</file>